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3BF9" w:rsidRPr="00143BF9" w:rsidRDefault="00143BF9" w:rsidP="00143BF9">
      <w:pPr>
        <w:rPr>
          <w:rFonts w:ascii="仿宋_GB2312" w:eastAsia="仿宋_GB2312" w:hAnsi="仿宋_GB2312" w:cs="Calibri"/>
          <w:b/>
          <w:sz w:val="28"/>
          <w:szCs w:val="28"/>
        </w:rPr>
      </w:pPr>
      <w:r w:rsidRPr="00143BF9">
        <w:rPr>
          <w:rFonts w:ascii="Courier New" w:eastAsia="仿宋_GB2312" w:hAnsi="Courier New" w:cs="Courier New"/>
          <w:b/>
          <w:sz w:val="28"/>
          <w:szCs w:val="28"/>
        </w:rPr>
        <w:t>﻿</w:t>
      </w:r>
      <w:r w:rsidRPr="00143BF9">
        <w:rPr>
          <w:rFonts w:ascii="仿宋_GB2312" w:eastAsia="仿宋_GB2312" w:hAnsi="仿宋_GB2312" w:cs="Calibri" w:hint="eastAsia"/>
          <w:b/>
          <w:sz w:val="28"/>
          <w:szCs w:val="28"/>
        </w:rPr>
        <w:t>中国证券监督管理委员会天津监管局</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行政处罚决定书</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津〔2016〕2 号</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行政处罚决定书</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当事人： 辛其兴， 男， 1965 年 10 月出生， 住址： 广州市天</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河区。</w:t>
      </w:r>
    </w:p>
    <w:p w:rsidR="00143BF9" w:rsidRDefault="00143BF9" w:rsidP="00143BF9">
      <w:pPr>
        <w:rPr>
          <w:rFonts w:ascii="仿宋_GB2312" w:eastAsia="仿宋_GB2312" w:hAnsi="仿宋_GB2312" w:cs="Calibri"/>
          <w:b/>
          <w:sz w:val="28"/>
          <w:szCs w:val="28"/>
        </w:rPr>
      </w:pPr>
      <w:r w:rsidRPr="00143BF9">
        <w:rPr>
          <w:rFonts w:ascii="仿宋_GB2312" w:eastAsia="仿宋_GB2312" w:hAnsi="仿宋_GB2312" w:cs="Calibri" w:hint="eastAsia"/>
          <w:b/>
          <w:sz w:val="28"/>
          <w:szCs w:val="28"/>
        </w:rPr>
        <w:t>依据《中华人民共和国证券法》（以下简称《证券法》）的有关规定， 我局对辛其兴内幕交易行为进行了立案调查、审理，并依法向当事人告知了作出行政处罚的事实、理由、依据及当事人依法享有的权利。当事人未提出陈述、申辩意见， 也未要求听证。本案现已调查、审理终结。</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经查明， 辛其兴内幕交易的事实如下：</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一、内幕信息及其形成过程</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4 月 20 日， 天津瑞普生物技术股份有限公司（以下简称瑞普生物或公司）安排公司董事、副总经理前往广州市华南农大生物药品有限公司（以下简称华南生物）深入了解详细情况。考察结束后， 瑞普生物内部将华南生物列为快速谋取合作突破的并购重点。</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4 月 23 日， 瑞普生物以邮件方式将《关于全面合作与股权收购的意向函》发送给华南生物， 向华南生物全体股东提出以股权置换与现金收购相结合的方式收购华南生物股东持有的对应股权， 并注明上述方案构成上市公司内幕信息。</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lastRenderedPageBreak/>
        <w:t>2015 年 4 月 27 日， 华南生物董事长辛其兴等人签署《保密承诺函》， 承诺作为公司重大信息知情人，不进行公司股票内幕交易。同日， 华南生物召开股东会， 讨论瑞普生物拟定的《关于全面合作与股权收购的意向函》。会议决定组成谈判小组同公司开展进一步洽谈， 小组成员包括辛其兴。</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5 月 3 日上午， 华南生物召开股东会， 决定优先与瑞普生物开展股权并购合作， 委派辛其兴等人立即前往瑞普生物进行实地考察和洽谈合作事宜。</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5 月 3 日晚上， 辛其兴等人抵达天津， 在公司会议室与瑞普生物相关人员进行谈判。</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5 月 4 日上午， 双方签署了《关于发行股份购买资产的框架协议》。</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5 月 4 日下午， 瑞普生物股票开市起停牌。</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6 月 9 日， 瑞普生物召开董事会、监事会， 审议通过以发行股份及支付现金方式购买华南生物 65. 02%的股权。</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2015 年 6 月 10 日， 瑞普生物发布《发行股份及支付现金购买资产并募集配套资金暨关联交易预案》等相关公告。</w:t>
      </w:r>
    </w:p>
    <w:p w:rsidR="00143BF9" w:rsidRDefault="00143BF9" w:rsidP="00143BF9">
      <w:pPr>
        <w:rPr>
          <w:rFonts w:ascii="仿宋_GB2312" w:eastAsia="仿宋_GB2312" w:hAnsi="仿宋_GB2312" w:cs="Calibri"/>
          <w:b/>
          <w:sz w:val="28"/>
          <w:szCs w:val="28"/>
        </w:rPr>
      </w:pPr>
      <w:r w:rsidRPr="00143BF9">
        <w:rPr>
          <w:rFonts w:ascii="仿宋_GB2312" w:eastAsia="仿宋_GB2312" w:hAnsi="仿宋_GB2312" w:cs="Calibri" w:hint="eastAsia"/>
          <w:b/>
          <w:sz w:val="28"/>
          <w:szCs w:val="28"/>
        </w:rPr>
        <w:t>2015 年 6 月 19 日， 瑞普生物股票复牌。</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综上， 瑞普生物以发行股份及支付现金相结合的方式收购华南生物部分股权这一事项， 为《证券法》第六十七条第二款规定的重大事件， 属于《证券法》第七十五条第二款规定的内幕信息。</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该内幕信息形成时间不晚于 2015 年 4 月 23 日。辛其兴为该内</w:t>
      </w:r>
      <w:r w:rsidRPr="00143BF9">
        <w:rPr>
          <w:rFonts w:ascii="仿宋_GB2312" w:eastAsia="仿宋_GB2312" w:hAnsi="仿宋_GB2312" w:cs="Calibri" w:hint="eastAsia"/>
          <w:b/>
          <w:sz w:val="28"/>
          <w:szCs w:val="28"/>
        </w:rPr>
        <w:lastRenderedPageBreak/>
        <w:t>幕信息的知情人。</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二、辛其兴交易 "瑞普生物” 股票情况</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辛其兴名下证券账户于 1996 年开立。2001 年， 辛其兴将其证券账户委托其老邻居、好友谢某才操作。该证券账户中的资金属于辛其兴， 账户盈亏由辛其兴承担， 和谢某才无利益分成。2015 年 5 月 4 日上午， 谢某才通过自己电脑下单， 为辛其兴证券账户买入 "瑞普生物” 27375 股， 成交金额 488892. 5 元, 为该账户 2007 年以来单笔买入金额最多的股票，且该账户此前从未交易过 "瑞普生物”。</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在上述交易发生前的 2015 年 5 月 3 日 16 点， 与交易发生后的 2015 年 5 月 4 日 14 点， 辛其兴均电话联系谢某才。</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2016 年 1 月 6 日， 辛其兴证券账户将所持 “瑞普生物” 全部卖出， 亏损 2705. 31 元。</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上述违法事实， 有证券账户资料、相关情况说明、询问笔录等证据证明， 足以认定。</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t>我局认为， 辛其兴为瑞普生物决定收购华南生物股权这一内幕信息的知情人， 在知悉内幕信息后， 与其名下证券账户操作人存在电话联系， 其名下证券账户在该内幕信息公开前买入 "瑞普生物" 股票， 买入时间与该内幕信息形成、变化时间基本一致，且明显与平时交易习惯不同， 并无合理解释。辛其兴交易 "瑞普生物" 股票的行为违反了《证券法》第七十三条、第七十六条第一款的规定， 构成《证券法》第二百零二条所述的违法行为。</w:t>
      </w:r>
    </w:p>
    <w:p w:rsidR="00143BF9" w:rsidRPr="00143BF9" w:rsidRDefault="00143BF9" w:rsidP="00143BF9">
      <w:pPr>
        <w:rPr>
          <w:rFonts w:ascii="仿宋_GB2312" w:eastAsia="仿宋_GB2312" w:hAnsi="仿宋_GB2312" w:cs="Calibri" w:hint="eastAsia"/>
          <w:b/>
          <w:sz w:val="28"/>
          <w:szCs w:val="28"/>
        </w:rPr>
      </w:pPr>
      <w:r w:rsidRPr="00143BF9">
        <w:rPr>
          <w:rFonts w:ascii="仿宋_GB2312" w:eastAsia="仿宋_GB2312" w:hAnsi="仿宋_GB2312" w:cs="Calibri" w:hint="eastAsia"/>
          <w:b/>
          <w:sz w:val="28"/>
          <w:szCs w:val="28"/>
        </w:rPr>
        <w:lastRenderedPageBreak/>
        <w:t>根据当事人违法行为的事实、性质、情节与社会危害程度，依据《证券法》第二百零二条， 我局决定： 对辛其兴处以 5 万元罚款。</w:t>
      </w:r>
    </w:p>
    <w:p w:rsidR="00A9112C" w:rsidRPr="00143BF9" w:rsidRDefault="00143BF9" w:rsidP="00143BF9">
      <w:pPr>
        <w:rPr>
          <w:rFonts w:ascii="仿宋_GB2312" w:eastAsia="仿宋_GB2312" w:hAnsi="仿宋_GB2312"/>
          <w:sz w:val="28"/>
          <w:szCs w:val="28"/>
        </w:rPr>
      </w:pPr>
      <w:r w:rsidRPr="00143BF9">
        <w:rPr>
          <w:rFonts w:ascii="仿宋_GB2312" w:eastAsia="仿宋_GB2312" w:hAnsi="仿宋_GB2312" w:cs="Calibri" w:hint="eastAsia"/>
          <w:b/>
          <w:sz w:val="28"/>
          <w:szCs w:val="28"/>
        </w:rPr>
        <w:t>上述当事人应自收到本处罚决定书之日起 15 日内，将罚款汇交中国证券监督管理委员会（开户银行： 中信银行总行营业部，账号： 7111010189800000162, 由该行直接上缴国库）, 并将注有当事人名称的付款凭证复印件送中国证券监督管理委员会稽查局及我局备案。 当事人如对本处罚决定不服， 可在收到本处罚决定书之日起 60 日内向中国证券监督管理委员会申请行政复议，也可在收到本处罚决定书之日起 6 个月内直接向有管辖权的人民法院提起行政诉讼。复议和诉讼期间， 上述决定不停止执行。</w:t>
      </w:r>
    </w:p>
    <w:sectPr w:rsidR="00A9112C" w:rsidRPr="00143BF9">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5FE9" w:rsidRDefault="00545FE9">
      <w:r>
        <w:separator/>
      </w:r>
    </w:p>
  </w:endnote>
  <w:endnote w:type="continuationSeparator" w:id="0">
    <w:p w:rsidR="00545FE9" w:rsidRDefault="0054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B0604020202020204"/>
    <w:charset w:val="86"/>
    <w:family w:val="modern"/>
    <w:pitch w:val="fixed"/>
    <w:sig w:usb0="00000001" w:usb1="080E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D07" w:rsidRDefault="00643D07">
    <w:pPr>
      <w:pStyle w:val="a4"/>
      <w:framePr w:h="0" w:wrap="around" w:vAnchor="text" w:hAnchor="margin" w:xAlign="center" w:y="1"/>
      <w:rPr>
        <w:rStyle w:val="a3"/>
      </w:rPr>
    </w:pPr>
    <w:r>
      <w:fldChar w:fldCharType="begin"/>
    </w:r>
    <w:r>
      <w:rPr>
        <w:rStyle w:val="a3"/>
      </w:rPr>
      <w:instrText xml:space="preserve">PAGE  </w:instrText>
    </w:r>
    <w:r w:rsidR="00000000">
      <w:fldChar w:fldCharType="separate"/>
    </w:r>
    <w:r>
      <w:fldChar w:fldCharType="end"/>
    </w:r>
  </w:p>
  <w:p w:rsidR="00643D07" w:rsidRDefault="00643D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D07" w:rsidRDefault="00643D07">
    <w:pPr>
      <w:pStyle w:val="a4"/>
      <w:framePr w:h="0" w:wrap="around" w:vAnchor="text" w:hAnchor="margin" w:xAlign="center" w:y="1"/>
      <w:rPr>
        <w:rStyle w:val="a3"/>
      </w:rPr>
    </w:pPr>
    <w:r>
      <w:fldChar w:fldCharType="begin"/>
    </w:r>
    <w:r>
      <w:rPr>
        <w:rStyle w:val="a3"/>
      </w:rPr>
      <w:instrText xml:space="preserve">PAGE  </w:instrText>
    </w:r>
    <w:r>
      <w:fldChar w:fldCharType="separate"/>
    </w:r>
    <w:r>
      <w:rPr>
        <w:rStyle w:val="a3"/>
        <w:noProof/>
      </w:rPr>
      <w:t>1</w:t>
    </w:r>
    <w:r>
      <w:fldChar w:fldCharType="end"/>
    </w:r>
  </w:p>
  <w:p w:rsidR="00643D07" w:rsidRDefault="00643D0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5FE9" w:rsidRDefault="00545FE9">
      <w:r>
        <w:separator/>
      </w:r>
    </w:p>
  </w:footnote>
  <w:footnote w:type="continuationSeparator" w:id="0">
    <w:p w:rsidR="00545FE9" w:rsidRDefault="00545F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07"/>
    <w:rsid w:val="00097A9D"/>
    <w:rsid w:val="00143BF9"/>
    <w:rsid w:val="001D7367"/>
    <w:rsid w:val="00371B14"/>
    <w:rsid w:val="00384569"/>
    <w:rsid w:val="003A6F11"/>
    <w:rsid w:val="003E590C"/>
    <w:rsid w:val="004B21EF"/>
    <w:rsid w:val="00510FD1"/>
    <w:rsid w:val="00545FE9"/>
    <w:rsid w:val="0055235E"/>
    <w:rsid w:val="005C212A"/>
    <w:rsid w:val="00643D07"/>
    <w:rsid w:val="00696084"/>
    <w:rsid w:val="00794CBA"/>
    <w:rsid w:val="007F7CCB"/>
    <w:rsid w:val="00983250"/>
    <w:rsid w:val="00A9112C"/>
    <w:rsid w:val="00B03F26"/>
    <w:rsid w:val="00C70C5E"/>
    <w:rsid w:val="00DB1F72"/>
    <w:rsid w:val="00DC11B1"/>
    <w:rsid w:val="00EA3114"/>
    <w:rsid w:val="00EE3F50"/>
    <w:rsid w:val="00EF4BB9"/>
    <w:rsid w:val="00F8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3F4DE"/>
  <w15:chartTrackingRefBased/>
  <w15:docId w15:val="{1AAAE592-ADEC-264E-B89E-1CB70EFF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D0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43D07"/>
  </w:style>
  <w:style w:type="paragraph" w:styleId="a4">
    <w:name w:val="footer"/>
    <w:basedOn w:val="a"/>
    <w:rsid w:val="00643D07"/>
    <w:pPr>
      <w:tabs>
        <w:tab w:val="center" w:pos="4153"/>
        <w:tab w:val="right" w:pos="8306"/>
      </w:tabs>
      <w:snapToGrid w:val="0"/>
      <w:jc w:val="left"/>
    </w:pPr>
    <w:rPr>
      <w:sz w:val="18"/>
    </w:rPr>
  </w:style>
  <w:style w:type="paragraph" w:customStyle="1" w:styleId="Char">
    <w:name w:val="Char"/>
    <w:basedOn w:val="a"/>
    <w:rsid w:val="00643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301</Words>
  <Characters>1722</Characters>
  <Application>Microsoft Office Word</Application>
  <DocSecurity>0</DocSecurity>
  <Lines>14</Lines>
  <Paragraphs>4</Paragraphs>
  <ScaleCrop>false</ScaleCrop>
  <Company>Lenovo (Beijing) Limited</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申宁</dc:creator>
  <cp:keywords/>
  <cp:lastModifiedBy>俞文瀚</cp:lastModifiedBy>
  <cp:revision>2</cp:revision>
  <dcterms:created xsi:type="dcterms:W3CDTF">2024-11-05T07:27:00Z</dcterms:created>
  <dcterms:modified xsi:type="dcterms:W3CDTF">2024-11-05T07:27:00Z</dcterms:modified>
</cp:coreProperties>
</file>