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EEDA4CB" w:rsidR="00BB6090" w:rsidRPr="00BB6090" w:rsidRDefault="003F154C" w:rsidP="00BB6090">
            <w:pPr>
              <w:widowControl/>
              <w:spacing w:line="450" w:lineRule="atLeast"/>
              <w:jc w:val="left"/>
              <w:rPr>
                <w:rFonts w:ascii="宋体" w:eastAsia="宋体" w:hAnsi="宋体" w:cs="宋体" w:hint="eastAsia"/>
                <w:kern w:val="0"/>
                <w:sz w:val="24"/>
                <w:szCs w:val="24"/>
              </w:rPr>
            </w:pPr>
            <w:r w:rsidRPr="003F154C">
              <w:rPr>
                <w:rFonts w:ascii="宋体" w:eastAsia="宋体" w:hAnsi="宋体" w:cs="宋体" w:hint="eastAsia"/>
                <w:kern w:val="0"/>
                <w:sz w:val="24"/>
                <w:szCs w:val="24"/>
              </w:rPr>
              <w:t>2023-01-09</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CDB2D58" w:rsidR="00BB6090" w:rsidRPr="00BB6090" w:rsidRDefault="002D3163" w:rsidP="00BB6090">
            <w:pPr>
              <w:widowControl/>
              <w:spacing w:line="450"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中国</w:t>
            </w:r>
            <w:r w:rsidRPr="002D3163">
              <w:rPr>
                <w:rFonts w:ascii="宋体" w:eastAsia="宋体" w:hAnsi="宋体" w:cs="宋体" w:hint="eastAsia"/>
                <w:kern w:val="0"/>
                <w:sz w:val="24"/>
                <w:szCs w:val="24"/>
              </w:rPr>
              <w:t>证券监督管理委员会北京监管局行政处罚决定书（刘佳音）</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034AA36" w:rsidR="00BB6090" w:rsidRPr="00BB6090" w:rsidRDefault="003F154C" w:rsidP="00BB6090">
            <w:pPr>
              <w:widowControl/>
              <w:spacing w:line="450" w:lineRule="atLeast"/>
              <w:jc w:val="center"/>
              <w:rPr>
                <w:rFonts w:ascii="宋体" w:eastAsia="宋体" w:hAnsi="宋体" w:cs="宋体" w:hint="eastAsia"/>
                <w:b/>
                <w:bCs/>
                <w:color w:val="666666"/>
                <w:kern w:val="0"/>
                <w:sz w:val="24"/>
                <w:szCs w:val="24"/>
              </w:rPr>
            </w:pPr>
            <w:r w:rsidRPr="003F154C">
              <w:rPr>
                <w:rFonts w:ascii="宋体" w:eastAsia="宋体" w:hAnsi="宋体" w:cs="宋体" w:hint="eastAsia"/>
                <w:b/>
                <w:bCs/>
                <w:color w:val="666666"/>
                <w:kern w:val="0"/>
                <w:sz w:val="24"/>
                <w:szCs w:val="24"/>
              </w:rPr>
              <w:t>〔2022〕27号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48DDFE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D3163" w:rsidRPr="002D3163">
        <w:rPr>
          <w:rFonts w:ascii="微软雅黑" w:eastAsia="微软雅黑" w:hAnsi="微软雅黑" w:cs="宋体" w:hint="eastAsia"/>
          <w:b/>
          <w:bCs/>
          <w:color w:val="333333"/>
          <w:kern w:val="0"/>
          <w:sz w:val="36"/>
          <w:szCs w:val="36"/>
        </w:rPr>
        <w:t>证券监督管理委员会北京监管局行政处罚决定书（刘佳音）</w:t>
      </w:r>
    </w:p>
    <w:p w14:paraId="087C6524"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2022</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27</w:t>
      </w:r>
      <w:r w:rsidRPr="003F154C">
        <w:rPr>
          <w:rFonts w:ascii="Times New Roman" w:eastAsia="宋体" w:hAnsi="Times New Roman" w:cs="宋体" w:hint="eastAsia"/>
          <w:color w:val="333333"/>
          <w:kern w:val="0"/>
          <w:sz w:val="24"/>
          <w:szCs w:val="24"/>
        </w:rPr>
        <w:t>号</w:t>
      </w:r>
    </w:p>
    <w:p w14:paraId="2740C53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DA65C1"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EA5B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A7EFB0"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当事人</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刘佳音</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女</w:t>
      </w:r>
      <w:r w:rsidRPr="003F154C">
        <w:rPr>
          <w:rFonts w:ascii="Times New Roman" w:eastAsia="宋体" w:hAnsi="Times New Roman" w:cs="宋体" w:hint="eastAsia"/>
          <w:color w:val="333333"/>
          <w:kern w:val="0"/>
          <w:sz w:val="24"/>
          <w:szCs w:val="24"/>
        </w:rPr>
        <w:t>,1985</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w:t>
      </w:r>
      <w:r w:rsidRPr="003F154C">
        <w:rPr>
          <w:rFonts w:ascii="Times New Roman" w:eastAsia="宋体" w:hAnsi="Times New Roman" w:cs="宋体" w:hint="eastAsia"/>
          <w:color w:val="333333"/>
          <w:kern w:val="0"/>
          <w:sz w:val="24"/>
          <w:szCs w:val="24"/>
        </w:rPr>
        <w:t>月出生</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住址</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北京市西城区。</w:t>
      </w:r>
    </w:p>
    <w:p w14:paraId="05A3121A"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FA16C8"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依据</w:t>
      </w:r>
      <w:r w:rsidRPr="003F154C">
        <w:rPr>
          <w:rFonts w:ascii="Times New Roman" w:eastAsia="宋体" w:hAnsi="Times New Roman" w:cs="宋体" w:hint="eastAsia"/>
          <w:color w:val="333333"/>
          <w:kern w:val="0"/>
          <w:sz w:val="24"/>
          <w:szCs w:val="24"/>
        </w:rPr>
        <w:t>2005</w:t>
      </w:r>
      <w:r w:rsidRPr="003F154C">
        <w:rPr>
          <w:rFonts w:ascii="Times New Roman" w:eastAsia="宋体" w:hAnsi="Times New Roman" w:cs="宋体" w:hint="eastAsia"/>
          <w:color w:val="333333"/>
          <w:kern w:val="0"/>
          <w:sz w:val="24"/>
          <w:szCs w:val="24"/>
        </w:rPr>
        <w:t>年修订的《中华人民共和国证券法》</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以下简称</w:t>
      </w:r>
      <w:r w:rsidRPr="003F154C">
        <w:rPr>
          <w:rFonts w:ascii="Times New Roman" w:eastAsia="宋体" w:hAnsi="Times New Roman" w:cs="宋体" w:hint="eastAsia"/>
          <w:color w:val="333333"/>
          <w:kern w:val="0"/>
          <w:sz w:val="24"/>
          <w:szCs w:val="24"/>
        </w:rPr>
        <w:t>2005</w:t>
      </w:r>
      <w:r w:rsidRPr="003F154C">
        <w:rPr>
          <w:rFonts w:ascii="Times New Roman" w:eastAsia="宋体" w:hAnsi="Times New Roman" w:cs="宋体" w:hint="eastAsia"/>
          <w:color w:val="333333"/>
          <w:kern w:val="0"/>
          <w:sz w:val="24"/>
          <w:szCs w:val="24"/>
        </w:rPr>
        <w:t>年《证券法》</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的有关规定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我局对刘佳音内幕交易北京翠微大厦股份有限公司</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以下简称翠微股份或公司</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股票行为进行了立案调查、审理</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并依法向当事人告知了作出行政处罚的事实、理由、依据及当事人依法享有的权利。应当事人的要求</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我局举行了听证会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听取了当事人的陈述和申辩。本案现已调查、审理终结。</w:t>
      </w:r>
    </w:p>
    <w:p w14:paraId="2448DE5C"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8731E3"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经查明</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刘佳音存在以下违法事实</w:t>
      </w:r>
      <w:r w:rsidRPr="003F154C">
        <w:rPr>
          <w:rFonts w:ascii="Times New Roman" w:eastAsia="宋体" w:hAnsi="Times New Roman" w:cs="宋体" w:hint="eastAsia"/>
          <w:color w:val="333333"/>
          <w:kern w:val="0"/>
          <w:sz w:val="24"/>
          <w:szCs w:val="24"/>
        </w:rPr>
        <w:t>:</w:t>
      </w:r>
    </w:p>
    <w:p w14:paraId="4F91895C"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4F7B98"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一、内幕信息的形成和公开过程</w:t>
      </w:r>
    </w:p>
    <w:p w14:paraId="0D4542A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A9845"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8</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北京市海淀区国有资产投资经营有限公司</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以下简称海淀国投</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时任总经理刘某</w:t>
      </w:r>
      <w:r w:rsidRPr="003F154C">
        <w:rPr>
          <w:rFonts w:ascii="Times New Roman" w:eastAsia="宋体" w:hAnsi="Times New Roman" w:cs="宋体" w:hint="eastAsia"/>
          <w:color w:val="333333"/>
          <w:kern w:val="0"/>
          <w:sz w:val="24"/>
          <w:szCs w:val="24"/>
        </w:rPr>
        <w:t>1</w:t>
      </w:r>
      <w:r w:rsidRPr="003F154C">
        <w:rPr>
          <w:rFonts w:ascii="Times New Roman" w:eastAsia="宋体" w:hAnsi="Times New Roman" w:cs="宋体" w:hint="eastAsia"/>
          <w:color w:val="333333"/>
          <w:kern w:val="0"/>
          <w:sz w:val="24"/>
          <w:szCs w:val="24"/>
        </w:rPr>
        <w:t>、北京海淀科技发展有限公司</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以下简称海淀科技</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时任总经理刘某</w:t>
      </w:r>
      <w:r w:rsidRPr="003F154C">
        <w:rPr>
          <w:rFonts w:ascii="Times New Roman" w:eastAsia="宋体" w:hAnsi="Times New Roman" w:cs="宋体" w:hint="eastAsia"/>
          <w:color w:val="333333"/>
          <w:kern w:val="0"/>
          <w:sz w:val="24"/>
          <w:szCs w:val="24"/>
        </w:rPr>
        <w:t>2</w:t>
      </w:r>
      <w:r w:rsidRPr="003F154C">
        <w:rPr>
          <w:rFonts w:ascii="Times New Roman" w:eastAsia="宋体" w:hAnsi="Times New Roman" w:cs="宋体" w:hint="eastAsia"/>
          <w:color w:val="333333"/>
          <w:kern w:val="0"/>
          <w:sz w:val="24"/>
          <w:szCs w:val="24"/>
        </w:rPr>
        <w:t>、翠微股份时任董事长匡某兴、北京海科融通支付服务股份有限公司</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以下简称海科融通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时任总经理孟某新等人召开会议初步讨论翠微股份收购海科融通项目方案。</w:t>
      </w:r>
    </w:p>
    <w:p w14:paraId="58507139"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146F9A"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海淀国投、海淀科技、翠微股份、海科融通等的相关人员召开会议</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进一步讨论项目方案</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并安排中介机构尽职调查、报名事宜。</w:t>
      </w:r>
    </w:p>
    <w:p w14:paraId="280A1CE5"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034EA4"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22</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海淀国投、海淀科技、翠微股份、海科融通等的相关人员召开初步方案汇报会。</w:t>
      </w:r>
    </w:p>
    <w:p w14:paraId="44ECAE10"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DE7667"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11</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海淀国投、海淀科技、翠微股份、海科融通等的相关人员召开会议</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汇报项目方案</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讨论方案关注事项与解决方案</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安排整体时间进程。</w:t>
      </w:r>
    </w:p>
    <w:p w14:paraId="5F71180C"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B45AE8"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11</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7</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海淀国投、海淀科技、翠微股份、海科融通等的相关人员进一步商定交易方案</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讨论重要问题与解决方案</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商讨申请停牌事项等。</w:t>
      </w:r>
    </w:p>
    <w:p w14:paraId="721021E3"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F0F6BA"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11</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8</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海淀国投、海淀科技、翠微股份、海科融通等的相关人员召开中介机构协调会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讨论重要问题。同日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翠微股份发布重大资产重组停牌公告</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称公司拟通过发行股份及支付现金方式购买海科融通现有股东所持股权。</w:t>
      </w:r>
    </w:p>
    <w:p w14:paraId="0A3621C1"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B9970B"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翠微股份拟收购海科融通事项</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属于</w:t>
      </w:r>
      <w:r w:rsidRPr="003F154C">
        <w:rPr>
          <w:rFonts w:ascii="Times New Roman" w:eastAsia="宋体" w:hAnsi="Times New Roman" w:cs="宋体" w:hint="eastAsia"/>
          <w:color w:val="333333"/>
          <w:kern w:val="0"/>
          <w:sz w:val="24"/>
          <w:szCs w:val="24"/>
        </w:rPr>
        <w:t>2005</w:t>
      </w:r>
      <w:r w:rsidRPr="003F154C">
        <w:rPr>
          <w:rFonts w:ascii="Times New Roman" w:eastAsia="宋体" w:hAnsi="Times New Roman" w:cs="宋体" w:hint="eastAsia"/>
          <w:color w:val="333333"/>
          <w:kern w:val="0"/>
          <w:sz w:val="24"/>
          <w:szCs w:val="24"/>
        </w:rPr>
        <w:t>年《证券法》第六十七条第二款第二项规定的“公司的重大投资行为和重大的购置财产的决定”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在公开前</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构成</w:t>
      </w:r>
      <w:r w:rsidRPr="003F154C">
        <w:rPr>
          <w:rFonts w:ascii="Times New Roman" w:eastAsia="宋体" w:hAnsi="Times New Roman" w:cs="宋体" w:hint="eastAsia"/>
          <w:color w:val="333333"/>
          <w:kern w:val="0"/>
          <w:sz w:val="24"/>
          <w:szCs w:val="24"/>
        </w:rPr>
        <w:lastRenderedPageBreak/>
        <w:t>2005</w:t>
      </w:r>
      <w:r w:rsidRPr="003F154C">
        <w:rPr>
          <w:rFonts w:ascii="Times New Roman" w:eastAsia="宋体" w:hAnsi="Times New Roman" w:cs="宋体" w:hint="eastAsia"/>
          <w:color w:val="333333"/>
          <w:kern w:val="0"/>
          <w:sz w:val="24"/>
          <w:szCs w:val="24"/>
        </w:rPr>
        <w:t>年《证券法》第七十五条第二款第一项所述的内幕信息。内幕信息不晚于</w:t>
      </w: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8</w:t>
      </w:r>
      <w:r w:rsidRPr="003F154C">
        <w:rPr>
          <w:rFonts w:ascii="Times New Roman" w:eastAsia="宋体" w:hAnsi="Times New Roman" w:cs="宋体" w:hint="eastAsia"/>
          <w:color w:val="333333"/>
          <w:kern w:val="0"/>
          <w:sz w:val="24"/>
          <w:szCs w:val="24"/>
        </w:rPr>
        <w:t>日形成</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公开于</w:t>
      </w: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11</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8</w:t>
      </w:r>
      <w:r w:rsidRPr="003F154C">
        <w:rPr>
          <w:rFonts w:ascii="Times New Roman" w:eastAsia="宋体" w:hAnsi="Times New Roman" w:cs="宋体" w:hint="eastAsia"/>
          <w:color w:val="333333"/>
          <w:kern w:val="0"/>
          <w:sz w:val="24"/>
          <w:szCs w:val="24"/>
        </w:rPr>
        <w:t>日。</w:t>
      </w:r>
    </w:p>
    <w:p w14:paraId="3FE46819"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7A5E8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刘某</w:t>
      </w:r>
      <w:r w:rsidRPr="003F154C">
        <w:rPr>
          <w:rFonts w:ascii="Times New Roman" w:eastAsia="宋体" w:hAnsi="Times New Roman" w:cs="宋体" w:hint="eastAsia"/>
          <w:color w:val="333333"/>
          <w:kern w:val="0"/>
          <w:sz w:val="24"/>
          <w:szCs w:val="24"/>
        </w:rPr>
        <w:t>3</w:t>
      </w:r>
      <w:r w:rsidRPr="003F154C">
        <w:rPr>
          <w:rFonts w:ascii="Times New Roman" w:eastAsia="宋体" w:hAnsi="Times New Roman" w:cs="宋体" w:hint="eastAsia"/>
          <w:color w:val="333333"/>
          <w:kern w:val="0"/>
          <w:sz w:val="24"/>
          <w:szCs w:val="24"/>
        </w:rPr>
        <w:t>作为中信建投证券股份有限公司项目负责人参加了上述</w:t>
      </w: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11</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w:t>
      </w:r>
      <w:r w:rsidRPr="003F154C">
        <w:rPr>
          <w:rFonts w:ascii="Times New Roman" w:eastAsia="宋体" w:hAnsi="Times New Roman" w:cs="宋体" w:hint="eastAsia"/>
          <w:color w:val="333333"/>
          <w:kern w:val="0"/>
          <w:sz w:val="24"/>
          <w:szCs w:val="24"/>
        </w:rPr>
        <w:t>日召开的会议</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为本案内幕信息知情人</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不晚于</w:t>
      </w: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日知悉本案内幕信息。</w:t>
      </w:r>
    </w:p>
    <w:p w14:paraId="4989138B"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BFA5AC"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二、刘佳音在内幕信息敏感期内交易“翠微股份”</w:t>
      </w:r>
    </w:p>
    <w:p w14:paraId="154379B9"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A17790"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一</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刘佳音与内幕信息知情人刘某</w:t>
      </w:r>
      <w:r w:rsidRPr="003F154C">
        <w:rPr>
          <w:rFonts w:ascii="Times New Roman" w:eastAsia="宋体" w:hAnsi="Times New Roman" w:cs="宋体" w:hint="eastAsia"/>
          <w:color w:val="333333"/>
          <w:kern w:val="0"/>
          <w:sz w:val="24"/>
          <w:szCs w:val="24"/>
        </w:rPr>
        <w:t>3</w:t>
      </w:r>
      <w:r w:rsidRPr="003F154C">
        <w:rPr>
          <w:rFonts w:ascii="Times New Roman" w:eastAsia="宋体" w:hAnsi="Times New Roman" w:cs="宋体" w:hint="eastAsia"/>
          <w:color w:val="333333"/>
          <w:kern w:val="0"/>
          <w:sz w:val="24"/>
          <w:szCs w:val="24"/>
        </w:rPr>
        <w:t>在内幕信息敏感期内频繁联络</w:t>
      </w:r>
    </w:p>
    <w:p w14:paraId="4574A27C"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A3A5A"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刘佳音系刘某</w:t>
      </w:r>
      <w:r w:rsidRPr="003F154C">
        <w:rPr>
          <w:rFonts w:ascii="Times New Roman" w:eastAsia="宋体" w:hAnsi="Times New Roman" w:cs="宋体" w:hint="eastAsia"/>
          <w:color w:val="333333"/>
          <w:kern w:val="0"/>
          <w:sz w:val="24"/>
          <w:szCs w:val="24"/>
        </w:rPr>
        <w:t>3</w:t>
      </w:r>
      <w:r w:rsidRPr="003F154C">
        <w:rPr>
          <w:rFonts w:ascii="Times New Roman" w:eastAsia="宋体" w:hAnsi="Times New Roman" w:cs="宋体" w:hint="eastAsia"/>
          <w:color w:val="333333"/>
          <w:kern w:val="0"/>
          <w:sz w:val="24"/>
          <w:szCs w:val="24"/>
        </w:rPr>
        <w:t>的前妻</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二人虽已登记离婚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但共同抚养孩子</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资金往来频繁</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关系密切。内幕信息敏感期内</w:t>
      </w: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8</w:t>
      </w:r>
      <w:r w:rsidRPr="003F154C">
        <w:rPr>
          <w:rFonts w:ascii="Times New Roman" w:eastAsia="宋体" w:hAnsi="Times New Roman" w:cs="宋体" w:hint="eastAsia"/>
          <w:color w:val="333333"/>
          <w:kern w:val="0"/>
          <w:sz w:val="24"/>
          <w:szCs w:val="24"/>
        </w:rPr>
        <w:t>日至</w:t>
      </w:r>
      <w:r w:rsidRPr="003F154C">
        <w:rPr>
          <w:rFonts w:ascii="Times New Roman" w:eastAsia="宋体" w:hAnsi="Times New Roman" w:cs="宋体" w:hint="eastAsia"/>
          <w:color w:val="333333"/>
          <w:kern w:val="0"/>
          <w:sz w:val="24"/>
          <w:szCs w:val="24"/>
        </w:rPr>
        <w:t>21</w:t>
      </w:r>
      <w:r w:rsidRPr="003F154C">
        <w:rPr>
          <w:rFonts w:ascii="Times New Roman" w:eastAsia="宋体" w:hAnsi="Times New Roman" w:cs="宋体" w:hint="eastAsia"/>
          <w:color w:val="333333"/>
          <w:kern w:val="0"/>
          <w:sz w:val="24"/>
          <w:szCs w:val="24"/>
        </w:rPr>
        <w:t>日及</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23</w:t>
      </w:r>
      <w:r w:rsidRPr="003F154C">
        <w:rPr>
          <w:rFonts w:ascii="Times New Roman" w:eastAsia="宋体" w:hAnsi="Times New Roman" w:cs="宋体" w:hint="eastAsia"/>
          <w:color w:val="333333"/>
          <w:kern w:val="0"/>
          <w:sz w:val="24"/>
          <w:szCs w:val="24"/>
        </w:rPr>
        <w:t>日至</w:t>
      </w:r>
      <w:r w:rsidRPr="003F154C">
        <w:rPr>
          <w:rFonts w:ascii="Times New Roman" w:eastAsia="宋体" w:hAnsi="Times New Roman" w:cs="宋体" w:hint="eastAsia"/>
          <w:color w:val="333333"/>
          <w:kern w:val="0"/>
          <w:sz w:val="24"/>
          <w:szCs w:val="24"/>
        </w:rPr>
        <w:t>30</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二人每天都有通话联系</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联络频繁。</w:t>
      </w:r>
    </w:p>
    <w:p w14:paraId="1FED573A"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81F50"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二</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“刘某瑶”证券账户交易情况</w:t>
      </w:r>
    </w:p>
    <w:p w14:paraId="571638B2"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89EF97"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“刘某瑶”证券账户</w:t>
      </w:r>
      <w:r w:rsidRPr="003F154C">
        <w:rPr>
          <w:rFonts w:ascii="Times New Roman" w:eastAsia="宋体" w:hAnsi="Times New Roman" w:cs="宋体" w:hint="eastAsia"/>
          <w:color w:val="333333"/>
          <w:kern w:val="0"/>
          <w:sz w:val="24"/>
          <w:szCs w:val="24"/>
        </w:rPr>
        <w:t>2013</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8</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23</w:t>
      </w:r>
      <w:r w:rsidRPr="003F154C">
        <w:rPr>
          <w:rFonts w:ascii="Times New Roman" w:eastAsia="宋体" w:hAnsi="Times New Roman" w:cs="宋体" w:hint="eastAsia"/>
          <w:color w:val="333333"/>
          <w:kern w:val="0"/>
          <w:sz w:val="24"/>
          <w:szCs w:val="24"/>
        </w:rPr>
        <w:t>日开立于中国银河证券股份有限公司北京珠市口大街证券营业部。</w:t>
      </w:r>
    </w:p>
    <w:p w14:paraId="68B92F0C"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4ECC3B"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刘某瑶系刘佳音姑姑。</w:t>
      </w: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17</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刘佳音从本人银行账户取出现金</w:t>
      </w:r>
      <w:r w:rsidRPr="003F154C">
        <w:rPr>
          <w:rFonts w:ascii="Times New Roman" w:eastAsia="宋体" w:hAnsi="Times New Roman" w:cs="宋体" w:hint="eastAsia"/>
          <w:color w:val="333333"/>
          <w:kern w:val="0"/>
          <w:sz w:val="24"/>
          <w:szCs w:val="24"/>
        </w:rPr>
        <w:t>50</w:t>
      </w:r>
      <w:r w:rsidRPr="003F154C">
        <w:rPr>
          <w:rFonts w:ascii="Times New Roman" w:eastAsia="宋体" w:hAnsi="Times New Roman" w:cs="宋体" w:hint="eastAsia"/>
          <w:color w:val="333333"/>
          <w:kern w:val="0"/>
          <w:sz w:val="24"/>
          <w:szCs w:val="24"/>
        </w:rPr>
        <w:t>万元。</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18</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刘佳音将该</w:t>
      </w:r>
      <w:r w:rsidRPr="003F154C">
        <w:rPr>
          <w:rFonts w:ascii="Times New Roman" w:eastAsia="宋体" w:hAnsi="Times New Roman" w:cs="宋体" w:hint="eastAsia"/>
          <w:color w:val="333333"/>
          <w:kern w:val="0"/>
          <w:sz w:val="24"/>
          <w:szCs w:val="24"/>
        </w:rPr>
        <w:t>50</w:t>
      </w:r>
      <w:r w:rsidRPr="003F154C">
        <w:rPr>
          <w:rFonts w:ascii="Times New Roman" w:eastAsia="宋体" w:hAnsi="Times New Roman" w:cs="宋体" w:hint="eastAsia"/>
          <w:color w:val="333333"/>
          <w:kern w:val="0"/>
          <w:sz w:val="24"/>
          <w:szCs w:val="24"/>
        </w:rPr>
        <w:t>万元现金存入“刘某瑶”证券账户三方存管银行账户。</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22</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刘佳音操作“刘某瑶”证券账户银证转入</w:t>
      </w:r>
      <w:r w:rsidRPr="003F154C">
        <w:rPr>
          <w:rFonts w:ascii="Times New Roman" w:eastAsia="宋体" w:hAnsi="Times New Roman" w:cs="宋体" w:hint="eastAsia"/>
          <w:color w:val="333333"/>
          <w:kern w:val="0"/>
          <w:sz w:val="24"/>
          <w:szCs w:val="24"/>
        </w:rPr>
        <w:t>511,254</w:t>
      </w:r>
      <w:r w:rsidRPr="003F154C">
        <w:rPr>
          <w:rFonts w:ascii="Times New Roman" w:eastAsia="宋体" w:hAnsi="Times New Roman" w:cs="宋体" w:hint="eastAsia"/>
          <w:color w:val="333333"/>
          <w:kern w:val="0"/>
          <w:sz w:val="24"/>
          <w:szCs w:val="24"/>
        </w:rPr>
        <w:t>元。</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22</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23</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29</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刘佳音使用“刘某瑶”证券账户委托买入“翠微股份”</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共计成交</w:t>
      </w:r>
      <w:r w:rsidRPr="003F154C">
        <w:rPr>
          <w:rFonts w:ascii="Times New Roman" w:eastAsia="宋体" w:hAnsi="Times New Roman" w:cs="宋体" w:hint="eastAsia"/>
          <w:color w:val="333333"/>
          <w:kern w:val="0"/>
          <w:sz w:val="24"/>
          <w:szCs w:val="24"/>
        </w:rPr>
        <w:t>51,600</w:t>
      </w:r>
      <w:r w:rsidRPr="003F154C">
        <w:rPr>
          <w:rFonts w:ascii="Times New Roman" w:eastAsia="宋体" w:hAnsi="Times New Roman" w:cs="宋体" w:hint="eastAsia"/>
          <w:color w:val="333333"/>
          <w:kern w:val="0"/>
          <w:sz w:val="24"/>
          <w:szCs w:val="24"/>
        </w:rPr>
        <w:t>股</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成交金额</w:t>
      </w:r>
      <w:r w:rsidRPr="003F154C">
        <w:rPr>
          <w:rFonts w:ascii="Times New Roman" w:eastAsia="宋体" w:hAnsi="Times New Roman" w:cs="宋体" w:hint="eastAsia"/>
          <w:color w:val="333333"/>
          <w:kern w:val="0"/>
          <w:sz w:val="24"/>
          <w:szCs w:val="24"/>
        </w:rPr>
        <w:t>339,672</w:t>
      </w:r>
      <w:r w:rsidRPr="003F154C">
        <w:rPr>
          <w:rFonts w:ascii="Times New Roman" w:eastAsia="宋体" w:hAnsi="Times New Roman" w:cs="宋体" w:hint="eastAsia"/>
          <w:color w:val="333333"/>
          <w:kern w:val="0"/>
          <w:sz w:val="24"/>
          <w:szCs w:val="24"/>
        </w:rPr>
        <w:t>元</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于</w:t>
      </w:r>
      <w:r w:rsidRPr="003F154C">
        <w:rPr>
          <w:rFonts w:ascii="Times New Roman" w:eastAsia="宋体" w:hAnsi="Times New Roman" w:cs="宋体" w:hint="eastAsia"/>
          <w:color w:val="333333"/>
          <w:kern w:val="0"/>
          <w:sz w:val="24"/>
          <w:szCs w:val="24"/>
        </w:rPr>
        <w:t>2020</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3</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11</w:t>
      </w:r>
      <w:r w:rsidRPr="003F154C">
        <w:rPr>
          <w:rFonts w:ascii="Times New Roman" w:eastAsia="宋体" w:hAnsi="Times New Roman" w:cs="宋体" w:hint="eastAsia"/>
          <w:color w:val="333333"/>
          <w:kern w:val="0"/>
          <w:sz w:val="24"/>
          <w:szCs w:val="24"/>
        </w:rPr>
        <w:t>日全部卖出</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获利</w:t>
      </w:r>
      <w:r w:rsidRPr="003F154C">
        <w:rPr>
          <w:rFonts w:ascii="Times New Roman" w:eastAsia="宋体" w:hAnsi="Times New Roman" w:cs="宋体" w:hint="eastAsia"/>
          <w:color w:val="333333"/>
          <w:kern w:val="0"/>
          <w:sz w:val="24"/>
          <w:szCs w:val="24"/>
        </w:rPr>
        <w:t>118,661.30</w:t>
      </w:r>
      <w:r w:rsidRPr="003F154C">
        <w:rPr>
          <w:rFonts w:ascii="Times New Roman" w:eastAsia="宋体" w:hAnsi="Times New Roman" w:cs="宋体" w:hint="eastAsia"/>
          <w:color w:val="333333"/>
          <w:kern w:val="0"/>
          <w:sz w:val="24"/>
          <w:szCs w:val="24"/>
        </w:rPr>
        <w:t>元。</w:t>
      </w:r>
    </w:p>
    <w:p w14:paraId="20FDCA5A"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48AD25"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三</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“刘某瑶”证券账户交易特征</w:t>
      </w:r>
    </w:p>
    <w:p w14:paraId="56274519"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2B60F"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lastRenderedPageBreak/>
        <w:t>2018</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16</w:t>
      </w:r>
      <w:r w:rsidRPr="003F154C">
        <w:rPr>
          <w:rFonts w:ascii="Times New Roman" w:eastAsia="宋体" w:hAnsi="Times New Roman" w:cs="宋体" w:hint="eastAsia"/>
          <w:color w:val="333333"/>
          <w:kern w:val="0"/>
          <w:sz w:val="24"/>
          <w:szCs w:val="24"/>
        </w:rPr>
        <w:t>日至</w:t>
      </w: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21</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“刘某瑶”证券账户没有证券交易记录。</w:t>
      </w:r>
      <w:r w:rsidRPr="003F154C">
        <w:rPr>
          <w:rFonts w:ascii="Times New Roman" w:eastAsia="宋体" w:hAnsi="Times New Roman" w:cs="宋体" w:hint="eastAsia"/>
          <w:color w:val="333333"/>
          <w:kern w:val="0"/>
          <w:sz w:val="24"/>
          <w:szCs w:val="24"/>
        </w:rPr>
        <w:t>2019</w:t>
      </w:r>
      <w:r w:rsidRPr="003F154C">
        <w:rPr>
          <w:rFonts w:ascii="Times New Roman" w:eastAsia="宋体" w:hAnsi="Times New Roman" w:cs="宋体" w:hint="eastAsia"/>
          <w:color w:val="333333"/>
          <w:kern w:val="0"/>
          <w:sz w:val="24"/>
          <w:szCs w:val="24"/>
        </w:rPr>
        <w:t>年</w:t>
      </w:r>
      <w:r w:rsidRPr="003F154C">
        <w:rPr>
          <w:rFonts w:ascii="Times New Roman" w:eastAsia="宋体" w:hAnsi="Times New Roman" w:cs="宋体" w:hint="eastAsia"/>
          <w:color w:val="333333"/>
          <w:kern w:val="0"/>
          <w:sz w:val="24"/>
          <w:szCs w:val="24"/>
        </w:rPr>
        <w:t>10</w:t>
      </w:r>
      <w:r w:rsidRPr="003F154C">
        <w:rPr>
          <w:rFonts w:ascii="Times New Roman" w:eastAsia="宋体" w:hAnsi="Times New Roman" w:cs="宋体" w:hint="eastAsia"/>
          <w:color w:val="333333"/>
          <w:kern w:val="0"/>
          <w:sz w:val="24"/>
          <w:szCs w:val="24"/>
        </w:rPr>
        <w:t>月</w:t>
      </w:r>
      <w:r w:rsidRPr="003F154C">
        <w:rPr>
          <w:rFonts w:ascii="Times New Roman" w:eastAsia="宋体" w:hAnsi="Times New Roman" w:cs="宋体" w:hint="eastAsia"/>
          <w:color w:val="333333"/>
          <w:kern w:val="0"/>
          <w:sz w:val="24"/>
          <w:szCs w:val="24"/>
        </w:rPr>
        <w:t>22</w:t>
      </w:r>
      <w:r w:rsidRPr="003F154C">
        <w:rPr>
          <w:rFonts w:ascii="Times New Roman" w:eastAsia="宋体" w:hAnsi="Times New Roman" w:cs="宋体" w:hint="eastAsia"/>
          <w:color w:val="333333"/>
          <w:kern w:val="0"/>
          <w:sz w:val="24"/>
          <w:szCs w:val="24"/>
        </w:rPr>
        <w:t>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“刘某瑶”证券账户突击转入大额资金</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并于当日开始单一委托买入“翠微股份”</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买入行为与内幕信息形成过程及与刘某</w:t>
      </w:r>
      <w:r w:rsidRPr="003F154C">
        <w:rPr>
          <w:rFonts w:ascii="Times New Roman" w:eastAsia="宋体" w:hAnsi="Times New Roman" w:cs="宋体" w:hint="eastAsia"/>
          <w:color w:val="333333"/>
          <w:kern w:val="0"/>
          <w:sz w:val="24"/>
          <w:szCs w:val="24"/>
        </w:rPr>
        <w:t>3</w:t>
      </w:r>
      <w:r w:rsidRPr="003F154C">
        <w:rPr>
          <w:rFonts w:ascii="Times New Roman" w:eastAsia="宋体" w:hAnsi="Times New Roman" w:cs="宋体" w:hint="eastAsia"/>
          <w:color w:val="333333"/>
          <w:kern w:val="0"/>
          <w:sz w:val="24"/>
          <w:szCs w:val="24"/>
        </w:rPr>
        <w:t>通话联系时间高度吻合</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系该证券账户首次交易“翠微股份”</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交易行为明显异常。刘佳音对此没有合理解释或正当信息来源。</w:t>
      </w:r>
    </w:p>
    <w:p w14:paraId="065F3F7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12357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以上事实有相关公告、证券账户开户及交易资料、证券交易所数据信息、银行流水、相关人员询问笔录等证据证明</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足以认定。</w:t>
      </w:r>
    </w:p>
    <w:p w14:paraId="4899AE0F"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B7462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内幕信息敏感期内</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刘佳音与内幕信息知情人刘某</w:t>
      </w:r>
      <w:r w:rsidRPr="003F154C">
        <w:rPr>
          <w:rFonts w:ascii="Times New Roman" w:eastAsia="宋体" w:hAnsi="Times New Roman" w:cs="宋体" w:hint="eastAsia"/>
          <w:color w:val="333333"/>
          <w:kern w:val="0"/>
          <w:sz w:val="24"/>
          <w:szCs w:val="24"/>
        </w:rPr>
        <w:t>3</w:t>
      </w:r>
      <w:r w:rsidRPr="003F154C">
        <w:rPr>
          <w:rFonts w:ascii="Times New Roman" w:eastAsia="宋体" w:hAnsi="Times New Roman" w:cs="宋体" w:hint="eastAsia"/>
          <w:color w:val="333333"/>
          <w:kern w:val="0"/>
          <w:sz w:val="24"/>
          <w:szCs w:val="24"/>
        </w:rPr>
        <w:t>频繁联络</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使用“刘某瑶”证券账户交易“翠微股份”</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相关交易行为与内幕信息高度吻合</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明显异常且无合理解释或正当信息来源。刘佳音违反</w:t>
      </w:r>
      <w:r w:rsidRPr="003F154C">
        <w:rPr>
          <w:rFonts w:ascii="Times New Roman" w:eastAsia="宋体" w:hAnsi="Times New Roman" w:cs="宋体" w:hint="eastAsia"/>
          <w:color w:val="333333"/>
          <w:kern w:val="0"/>
          <w:sz w:val="24"/>
          <w:szCs w:val="24"/>
        </w:rPr>
        <w:t>2005</w:t>
      </w:r>
      <w:r w:rsidRPr="003F154C">
        <w:rPr>
          <w:rFonts w:ascii="Times New Roman" w:eastAsia="宋体" w:hAnsi="Times New Roman" w:cs="宋体" w:hint="eastAsia"/>
          <w:color w:val="333333"/>
          <w:kern w:val="0"/>
          <w:sz w:val="24"/>
          <w:szCs w:val="24"/>
        </w:rPr>
        <w:t>年《证券法》第七十三条、第七十六条第一款的规定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构成</w:t>
      </w:r>
      <w:r w:rsidRPr="003F154C">
        <w:rPr>
          <w:rFonts w:ascii="Times New Roman" w:eastAsia="宋体" w:hAnsi="Times New Roman" w:cs="宋体" w:hint="eastAsia"/>
          <w:color w:val="333333"/>
          <w:kern w:val="0"/>
          <w:sz w:val="24"/>
          <w:szCs w:val="24"/>
        </w:rPr>
        <w:t>2005</w:t>
      </w:r>
      <w:r w:rsidRPr="003F154C">
        <w:rPr>
          <w:rFonts w:ascii="Times New Roman" w:eastAsia="宋体" w:hAnsi="Times New Roman" w:cs="宋体" w:hint="eastAsia"/>
          <w:color w:val="333333"/>
          <w:kern w:val="0"/>
          <w:sz w:val="24"/>
          <w:szCs w:val="24"/>
        </w:rPr>
        <w:t>年《证券法》第二百零二条所述的内幕交易行为。</w:t>
      </w:r>
    </w:p>
    <w:p w14:paraId="740AEB54"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2F950"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当事人在听证和陈述申辩中提出</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一是</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认定刘佳音决策控制“刘某瑶”证券账户证据不足、事实不清</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“刘某瑶”证券账户由刘某瑶本人决策控制</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该账户内资金归属于刘某瑶</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交易获利由刘某瑶享有。二是</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本案未做到全面、客观、公正地调查并收集有关证据</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违反了《行政处罚法》第五十四条的规定。三是</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交易行为并无明显异常</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与刘某</w:t>
      </w:r>
      <w:r w:rsidRPr="003F154C">
        <w:rPr>
          <w:rFonts w:ascii="Times New Roman" w:eastAsia="宋体" w:hAnsi="Times New Roman" w:cs="宋体" w:hint="eastAsia"/>
          <w:color w:val="333333"/>
          <w:kern w:val="0"/>
          <w:sz w:val="24"/>
          <w:szCs w:val="24"/>
        </w:rPr>
        <w:t>3</w:t>
      </w:r>
      <w:r w:rsidRPr="003F154C">
        <w:rPr>
          <w:rFonts w:ascii="Times New Roman" w:eastAsia="宋体" w:hAnsi="Times New Roman" w:cs="宋体" w:hint="eastAsia"/>
          <w:color w:val="333333"/>
          <w:kern w:val="0"/>
          <w:sz w:val="24"/>
          <w:szCs w:val="24"/>
        </w:rPr>
        <w:t>知悉内幕信息的时间及与刘某</w:t>
      </w:r>
      <w:r w:rsidRPr="003F154C">
        <w:rPr>
          <w:rFonts w:ascii="Times New Roman" w:eastAsia="宋体" w:hAnsi="Times New Roman" w:cs="宋体" w:hint="eastAsia"/>
          <w:color w:val="333333"/>
          <w:kern w:val="0"/>
          <w:sz w:val="24"/>
          <w:szCs w:val="24"/>
        </w:rPr>
        <w:t>3</w:t>
      </w:r>
      <w:r w:rsidRPr="003F154C">
        <w:rPr>
          <w:rFonts w:ascii="Times New Roman" w:eastAsia="宋体" w:hAnsi="Times New Roman" w:cs="宋体" w:hint="eastAsia"/>
          <w:color w:val="333333"/>
          <w:kern w:val="0"/>
          <w:sz w:val="24"/>
          <w:szCs w:val="24"/>
        </w:rPr>
        <w:t>的通话联系并不高度吻合。综上</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当事人请求不予处罚。</w:t>
      </w:r>
    </w:p>
    <w:p w14:paraId="41535F62"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F0CF7"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经复核</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我局认为</w:t>
      </w:r>
      <w:r w:rsidRPr="003F154C">
        <w:rPr>
          <w:rFonts w:ascii="Times New Roman" w:eastAsia="宋体" w:hAnsi="Times New Roman" w:cs="宋体" w:hint="eastAsia"/>
          <w:color w:val="333333"/>
          <w:kern w:val="0"/>
          <w:sz w:val="24"/>
          <w:szCs w:val="24"/>
        </w:rPr>
        <w:t>:</w:t>
      </w:r>
    </w:p>
    <w:p w14:paraId="43213BD1"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0A3D4"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第一</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综合账户资金流水、交易记录、账户登录及询问笔录等证据情况</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足以认定刘佳音使用“刘某瑶”证券账户实施案涉交易行为。</w:t>
      </w:r>
    </w:p>
    <w:p w14:paraId="4C99F33A"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14D19C"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第二</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我局在本案中全面、客观、公正地调查</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收集有关证据</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不存在违反《行政处罚法》第五十四条的情形。</w:t>
      </w:r>
    </w:p>
    <w:p w14:paraId="3EBA29D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E3BA42"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第三</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“刘某瑶”证券账户存在闲置一年后重新起用、突击转入大额资金、涉案期间单一委托买入“翠微股份”、首次交易“翠微股份”等明显异常特征</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相关交易行为与内幕信息形成过程及与内幕信息知情人通话联系时间高度吻合。</w:t>
      </w:r>
    </w:p>
    <w:p w14:paraId="696D1C5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E50F72"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综上</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我局对当事人的陈述申辩意见均不予采纳。</w:t>
      </w:r>
    </w:p>
    <w:p w14:paraId="038E5A17"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22D763"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根据当事人违法行为的事实、性质、情节与社会危害程度</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依据</w:t>
      </w:r>
      <w:r w:rsidRPr="003F154C">
        <w:rPr>
          <w:rFonts w:ascii="Times New Roman" w:eastAsia="宋体" w:hAnsi="Times New Roman" w:cs="宋体" w:hint="eastAsia"/>
          <w:color w:val="333333"/>
          <w:kern w:val="0"/>
          <w:sz w:val="24"/>
          <w:szCs w:val="24"/>
        </w:rPr>
        <w:t>2005</w:t>
      </w:r>
      <w:r w:rsidRPr="003F154C">
        <w:rPr>
          <w:rFonts w:ascii="Times New Roman" w:eastAsia="宋体" w:hAnsi="Times New Roman" w:cs="宋体" w:hint="eastAsia"/>
          <w:color w:val="333333"/>
          <w:kern w:val="0"/>
          <w:sz w:val="24"/>
          <w:szCs w:val="24"/>
        </w:rPr>
        <w:t>年《证券法》第二百零二条的规定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我局决定</w:t>
      </w:r>
      <w:r w:rsidRPr="003F154C">
        <w:rPr>
          <w:rFonts w:ascii="Times New Roman" w:eastAsia="宋体" w:hAnsi="Times New Roman" w:cs="宋体" w:hint="eastAsia"/>
          <w:color w:val="333333"/>
          <w:kern w:val="0"/>
          <w:sz w:val="24"/>
          <w:szCs w:val="24"/>
        </w:rPr>
        <w:t>:</w:t>
      </w:r>
    </w:p>
    <w:p w14:paraId="5EAD98D3"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CCC8C5"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没收刘佳音违法所得</w:t>
      </w:r>
      <w:r w:rsidRPr="003F154C">
        <w:rPr>
          <w:rFonts w:ascii="Times New Roman" w:eastAsia="宋体" w:hAnsi="Times New Roman" w:cs="宋体" w:hint="eastAsia"/>
          <w:color w:val="333333"/>
          <w:kern w:val="0"/>
          <w:sz w:val="24"/>
          <w:szCs w:val="24"/>
        </w:rPr>
        <w:t>118,661.30</w:t>
      </w:r>
      <w:r w:rsidRPr="003F154C">
        <w:rPr>
          <w:rFonts w:ascii="Times New Roman" w:eastAsia="宋体" w:hAnsi="Times New Roman" w:cs="宋体" w:hint="eastAsia"/>
          <w:color w:val="333333"/>
          <w:kern w:val="0"/>
          <w:sz w:val="24"/>
          <w:szCs w:val="24"/>
        </w:rPr>
        <w:t>元</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并处以</w:t>
      </w:r>
      <w:r w:rsidRPr="003F154C">
        <w:rPr>
          <w:rFonts w:ascii="Times New Roman" w:eastAsia="宋体" w:hAnsi="Times New Roman" w:cs="宋体" w:hint="eastAsia"/>
          <w:color w:val="333333"/>
          <w:kern w:val="0"/>
          <w:sz w:val="24"/>
          <w:szCs w:val="24"/>
        </w:rPr>
        <w:t>355,983.90</w:t>
      </w:r>
      <w:r w:rsidRPr="003F154C">
        <w:rPr>
          <w:rFonts w:ascii="Times New Roman" w:eastAsia="宋体" w:hAnsi="Times New Roman" w:cs="宋体" w:hint="eastAsia"/>
          <w:color w:val="333333"/>
          <w:kern w:val="0"/>
          <w:sz w:val="24"/>
          <w:szCs w:val="24"/>
        </w:rPr>
        <w:t>元的罚款。</w:t>
      </w:r>
    </w:p>
    <w:p w14:paraId="7F3EF98A"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F82A61"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上述当事人应自收到本处罚决定书之日起</w:t>
      </w:r>
      <w:r w:rsidRPr="003F154C">
        <w:rPr>
          <w:rFonts w:ascii="Times New Roman" w:eastAsia="宋体" w:hAnsi="Times New Roman" w:cs="宋体" w:hint="eastAsia"/>
          <w:color w:val="333333"/>
          <w:kern w:val="0"/>
          <w:sz w:val="24"/>
          <w:szCs w:val="24"/>
        </w:rPr>
        <w:t>15</w:t>
      </w:r>
      <w:r w:rsidRPr="003F154C">
        <w:rPr>
          <w:rFonts w:ascii="Times New Roman" w:eastAsia="宋体" w:hAnsi="Times New Roman" w:cs="宋体" w:hint="eastAsia"/>
          <w:color w:val="333333"/>
          <w:kern w:val="0"/>
          <w:sz w:val="24"/>
          <w:szCs w:val="24"/>
        </w:rPr>
        <w:t>日内</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将罚款汇交中国证券监督管理委员会</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开户银行</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中信银行北京分行营业部</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账号</w:t>
      </w:r>
      <w:r w:rsidRPr="003F154C">
        <w:rPr>
          <w:rFonts w:ascii="Times New Roman" w:eastAsia="宋体" w:hAnsi="Times New Roman" w:cs="宋体" w:hint="eastAsia"/>
          <w:color w:val="333333"/>
          <w:kern w:val="0"/>
          <w:sz w:val="24"/>
          <w:szCs w:val="24"/>
        </w:rPr>
        <w:t>:7111010189800000162,</w:t>
      </w:r>
      <w:r w:rsidRPr="003F154C">
        <w:rPr>
          <w:rFonts w:ascii="Times New Roman" w:eastAsia="宋体" w:hAnsi="Times New Roman" w:cs="宋体" w:hint="eastAsia"/>
          <w:color w:val="333333"/>
          <w:kern w:val="0"/>
          <w:sz w:val="24"/>
          <w:szCs w:val="24"/>
        </w:rPr>
        <w:t>由该行直接上缴国库</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可在收到本处罚决定书之日起</w:t>
      </w:r>
      <w:r w:rsidRPr="003F154C">
        <w:rPr>
          <w:rFonts w:ascii="Times New Roman" w:eastAsia="宋体" w:hAnsi="Times New Roman" w:cs="宋体" w:hint="eastAsia"/>
          <w:color w:val="333333"/>
          <w:kern w:val="0"/>
          <w:sz w:val="24"/>
          <w:szCs w:val="24"/>
        </w:rPr>
        <w:t>60</w:t>
      </w:r>
      <w:r w:rsidRPr="003F154C">
        <w:rPr>
          <w:rFonts w:ascii="Times New Roman" w:eastAsia="宋体" w:hAnsi="Times New Roman" w:cs="宋体" w:hint="eastAsia"/>
          <w:color w:val="333333"/>
          <w:kern w:val="0"/>
          <w:sz w:val="24"/>
          <w:szCs w:val="24"/>
        </w:rPr>
        <w:t>日内向中国证券监督管理委员会申请行政复议</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也可在收到本处罚决定书之日起</w:t>
      </w:r>
      <w:r w:rsidRPr="003F154C">
        <w:rPr>
          <w:rFonts w:ascii="Times New Roman" w:eastAsia="宋体" w:hAnsi="Times New Roman" w:cs="宋体" w:hint="eastAsia"/>
          <w:color w:val="333333"/>
          <w:kern w:val="0"/>
          <w:sz w:val="24"/>
          <w:szCs w:val="24"/>
        </w:rPr>
        <w:t>6</w:t>
      </w:r>
      <w:r w:rsidRPr="003F154C">
        <w:rPr>
          <w:rFonts w:ascii="Times New Roman" w:eastAsia="宋体" w:hAnsi="Times New Roman" w:cs="宋体" w:hint="eastAsia"/>
          <w:color w:val="333333"/>
          <w:kern w:val="0"/>
          <w:sz w:val="24"/>
          <w:szCs w:val="24"/>
        </w:rPr>
        <w:t>个月内向有管辖权的人民法院提起行政诉讼。复议和诉讼期间</w:t>
      </w:r>
      <w:r w:rsidRPr="003F154C">
        <w:rPr>
          <w:rFonts w:ascii="Times New Roman" w:eastAsia="宋体" w:hAnsi="Times New Roman" w:cs="宋体" w:hint="eastAsia"/>
          <w:color w:val="333333"/>
          <w:kern w:val="0"/>
          <w:sz w:val="24"/>
          <w:szCs w:val="24"/>
        </w:rPr>
        <w:t>,</w:t>
      </w:r>
      <w:r w:rsidRPr="003F154C">
        <w:rPr>
          <w:rFonts w:ascii="Times New Roman" w:eastAsia="宋体" w:hAnsi="Times New Roman" w:cs="宋体" w:hint="eastAsia"/>
          <w:color w:val="333333"/>
          <w:kern w:val="0"/>
          <w:sz w:val="24"/>
          <w:szCs w:val="24"/>
        </w:rPr>
        <w:t>上述决定不停止执行。</w:t>
      </w:r>
    </w:p>
    <w:p w14:paraId="247E9FD6"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68AFE"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CEF93B"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3C26CD"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A93C33"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772D12"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F154C">
        <w:rPr>
          <w:rFonts w:ascii="Times New Roman" w:eastAsia="宋体" w:hAnsi="Times New Roman" w:cs="宋体" w:hint="eastAsia"/>
          <w:color w:val="333333"/>
          <w:kern w:val="0"/>
          <w:sz w:val="24"/>
          <w:szCs w:val="24"/>
        </w:rPr>
        <w:t>中国证监会北京监管局</w:t>
      </w:r>
    </w:p>
    <w:p w14:paraId="2E08DC63" w14:textId="77777777" w:rsidR="003F154C" w:rsidRPr="003F154C" w:rsidRDefault="003F154C" w:rsidP="003F15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24FB9B6E" w:rsidR="006167C8" w:rsidRDefault="003F154C" w:rsidP="003F15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F154C">
        <w:rPr>
          <w:rFonts w:ascii="Times New Roman" w:eastAsia="宋体" w:hAnsi="Times New Roman" w:cs="宋体"/>
          <w:color w:val="333333"/>
          <w:kern w:val="0"/>
          <w:sz w:val="24"/>
          <w:szCs w:val="24"/>
        </w:rPr>
        <w:t>2022</w:t>
      </w:r>
      <w:r w:rsidRPr="003F154C">
        <w:rPr>
          <w:rFonts w:ascii="Times New Roman" w:eastAsia="宋体" w:hAnsi="Times New Roman" w:cs="宋体"/>
          <w:color w:val="333333"/>
          <w:kern w:val="0"/>
          <w:sz w:val="24"/>
          <w:szCs w:val="24"/>
        </w:rPr>
        <w:t>年</w:t>
      </w:r>
      <w:r w:rsidRPr="003F154C">
        <w:rPr>
          <w:rFonts w:ascii="Times New Roman" w:eastAsia="宋体" w:hAnsi="Times New Roman" w:cs="宋体"/>
          <w:color w:val="333333"/>
          <w:kern w:val="0"/>
          <w:sz w:val="24"/>
          <w:szCs w:val="24"/>
        </w:rPr>
        <w:t>12</w:t>
      </w:r>
      <w:r w:rsidRPr="003F154C">
        <w:rPr>
          <w:rFonts w:ascii="Times New Roman" w:eastAsia="宋体" w:hAnsi="Times New Roman" w:cs="宋体"/>
          <w:color w:val="333333"/>
          <w:kern w:val="0"/>
          <w:sz w:val="24"/>
          <w:szCs w:val="24"/>
        </w:rPr>
        <w:t>月</w:t>
      </w:r>
      <w:r w:rsidRPr="003F154C">
        <w:rPr>
          <w:rFonts w:ascii="Times New Roman" w:eastAsia="宋体" w:hAnsi="Times New Roman" w:cs="宋体"/>
          <w:color w:val="333333"/>
          <w:kern w:val="0"/>
          <w:sz w:val="24"/>
          <w:szCs w:val="24"/>
        </w:rPr>
        <w:t>30</w:t>
      </w:r>
      <w:r w:rsidRPr="003F154C">
        <w:rPr>
          <w:rFonts w:ascii="Times New Roman" w:eastAsia="宋体" w:hAnsi="Times New Roman" w:cs="宋体"/>
          <w:color w:val="333333"/>
          <w:kern w:val="0"/>
          <w:sz w:val="24"/>
          <w:szCs w:val="24"/>
        </w:rPr>
        <w:t>日</w:t>
      </w:r>
      <w:r w:rsidRPr="003F154C">
        <w:rPr>
          <w:rFonts w:ascii="Times New Roman" w:eastAsia="宋体" w:hAnsi="Times New Roman" w:cs="宋体"/>
          <w:color w:val="333333"/>
          <w:kern w:val="0"/>
          <w:sz w:val="24"/>
          <w:szCs w:val="24"/>
        </w:rPr>
        <w:t> </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0BF52" w14:textId="77777777" w:rsidR="00BA699A" w:rsidRDefault="00BA699A" w:rsidP="00F968D2">
      <w:pPr>
        <w:rPr>
          <w:rFonts w:hint="eastAsia"/>
        </w:rPr>
      </w:pPr>
      <w:r>
        <w:separator/>
      </w:r>
    </w:p>
  </w:endnote>
  <w:endnote w:type="continuationSeparator" w:id="0">
    <w:p w14:paraId="346894B9" w14:textId="77777777" w:rsidR="00BA699A" w:rsidRDefault="00BA699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A26B0" w14:textId="77777777" w:rsidR="00BA699A" w:rsidRDefault="00BA699A" w:rsidP="00F968D2">
      <w:pPr>
        <w:rPr>
          <w:rFonts w:hint="eastAsia"/>
        </w:rPr>
      </w:pPr>
      <w:r>
        <w:separator/>
      </w:r>
    </w:p>
  </w:footnote>
  <w:footnote w:type="continuationSeparator" w:id="0">
    <w:p w14:paraId="588ABA09" w14:textId="77777777" w:rsidR="00BA699A" w:rsidRDefault="00BA699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2D3163"/>
    <w:rsid w:val="00310267"/>
    <w:rsid w:val="00395F17"/>
    <w:rsid w:val="003F154C"/>
    <w:rsid w:val="004D1A0A"/>
    <w:rsid w:val="004E6B59"/>
    <w:rsid w:val="00575B9A"/>
    <w:rsid w:val="006167C8"/>
    <w:rsid w:val="00623C8D"/>
    <w:rsid w:val="00651337"/>
    <w:rsid w:val="007D2D6F"/>
    <w:rsid w:val="008276CE"/>
    <w:rsid w:val="00840933"/>
    <w:rsid w:val="00AC7653"/>
    <w:rsid w:val="00B4746E"/>
    <w:rsid w:val="00BA699A"/>
    <w:rsid w:val="00BB6090"/>
    <w:rsid w:val="00BE43C3"/>
    <w:rsid w:val="00D2310A"/>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2024-12-16T06:27:00Z</dcterms:created>
  <dcterms:modified xsi:type="dcterms:W3CDTF">2024-12-16T06:27:00Z</dcterms:modified>
</cp:coreProperties>
</file>