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674396" w:rsidRPr="00BB6090" w14:paraId="616BF138"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2A7E0B"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432314F" w14:textId="77777777" w:rsidR="00674396" w:rsidRPr="00BB6090" w:rsidRDefault="00674396"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49A57DA"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02909DC" w14:textId="77777777" w:rsidR="00674396" w:rsidRPr="00BB6090" w:rsidRDefault="00674396"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674396" w:rsidRPr="00BB6090" w14:paraId="3A8D4B68"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511E94F"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B3027C2"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1720FD3"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FD5DD08" w14:textId="4BF3D673" w:rsidR="00674396" w:rsidRPr="00BB6090" w:rsidRDefault="00674396" w:rsidP="00590277">
            <w:pPr>
              <w:widowControl/>
              <w:spacing w:line="450" w:lineRule="atLeast"/>
              <w:jc w:val="left"/>
              <w:rPr>
                <w:rFonts w:ascii="宋体" w:eastAsia="宋体" w:hAnsi="宋体" w:cs="宋体" w:hint="eastAsia"/>
                <w:kern w:val="0"/>
                <w:sz w:val="24"/>
                <w:szCs w:val="24"/>
              </w:rPr>
            </w:pPr>
            <w:r w:rsidRPr="00377C05">
              <w:rPr>
                <w:rFonts w:ascii="Times New Roman" w:eastAsia="宋体" w:hAnsi="Times New Roman" w:cs="宋体" w:hint="eastAsia"/>
                <w:color w:val="333333"/>
                <w:kern w:val="0"/>
                <w:sz w:val="24"/>
                <w:szCs w:val="24"/>
              </w:rPr>
              <w:t>2024-05-14</w:t>
            </w:r>
          </w:p>
        </w:tc>
      </w:tr>
      <w:tr w:rsidR="00674396" w:rsidRPr="00BB6090" w14:paraId="3F36E459"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992A3E7"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9A6CDED" w14:textId="678188CD" w:rsidR="00674396" w:rsidRPr="00F226C0" w:rsidRDefault="00674396"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674396">
              <w:rPr>
                <w:rFonts w:ascii="宋体" w:eastAsia="宋体" w:hAnsi="宋体" w:cs="宋体" w:hint="eastAsia"/>
                <w:kern w:val="0"/>
                <w:sz w:val="24"/>
                <w:szCs w:val="24"/>
              </w:rPr>
              <w:t>证券监督管理委员会北京监管局行政处罚决定书（朱明武）</w:t>
            </w:r>
          </w:p>
        </w:tc>
      </w:tr>
      <w:tr w:rsidR="00674396" w:rsidRPr="00BB6090" w14:paraId="4F99F972"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7E30FB6"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CDE89BE" w14:textId="1DBBF49B"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674396">
              <w:rPr>
                <w:rFonts w:ascii="宋体" w:eastAsia="宋体" w:hAnsi="宋体" w:cs="宋体" w:hint="eastAsia"/>
                <w:b/>
                <w:bCs/>
                <w:color w:val="666666"/>
                <w:kern w:val="0"/>
                <w:sz w:val="24"/>
                <w:szCs w:val="24"/>
              </w:rPr>
              <w:t>〔2024〕7号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0570296"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50AEFB0" w14:textId="77777777" w:rsidR="00674396" w:rsidRPr="00BB6090" w:rsidRDefault="00674396" w:rsidP="00590277">
            <w:pPr>
              <w:widowControl/>
              <w:spacing w:line="450" w:lineRule="atLeast"/>
              <w:jc w:val="center"/>
              <w:rPr>
                <w:rFonts w:ascii="宋体" w:eastAsia="宋体" w:hAnsi="宋体" w:cs="宋体" w:hint="eastAsia"/>
                <w:b/>
                <w:bCs/>
                <w:color w:val="666666"/>
                <w:kern w:val="0"/>
                <w:sz w:val="24"/>
                <w:szCs w:val="24"/>
              </w:rPr>
            </w:pPr>
          </w:p>
        </w:tc>
      </w:tr>
    </w:tbl>
    <w:p w14:paraId="61036154" w14:textId="30CE6D0A" w:rsidR="00674396" w:rsidRPr="00BB6090" w:rsidRDefault="00674396" w:rsidP="00674396">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674396">
        <w:rPr>
          <w:rFonts w:ascii="微软雅黑" w:eastAsia="微软雅黑" w:hAnsi="微软雅黑" w:cs="宋体" w:hint="eastAsia"/>
          <w:b/>
          <w:bCs/>
          <w:color w:val="333333"/>
          <w:kern w:val="0"/>
          <w:sz w:val="36"/>
          <w:szCs w:val="36"/>
        </w:rPr>
        <w:t>证券监督管理委员会北京监管局行政处罚决定书（朱明武）</w:t>
      </w:r>
    </w:p>
    <w:p w14:paraId="76367945" w14:textId="4EA39F0C"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2024</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7</w:t>
      </w:r>
      <w:r w:rsidRPr="00377C05">
        <w:rPr>
          <w:rFonts w:ascii="Times New Roman" w:eastAsia="宋体" w:hAnsi="Times New Roman" w:cs="宋体" w:hint="eastAsia"/>
          <w:color w:val="333333"/>
          <w:kern w:val="0"/>
          <w:sz w:val="24"/>
          <w:szCs w:val="24"/>
        </w:rPr>
        <w:t>号</w:t>
      </w:r>
      <w:r w:rsidRPr="00377C05">
        <w:rPr>
          <w:rFonts w:ascii="Times New Roman" w:eastAsia="宋体" w:hAnsi="Times New Roman" w:cs="宋体" w:hint="eastAsia"/>
          <w:color w:val="333333"/>
          <w:kern w:val="0"/>
          <w:sz w:val="24"/>
          <w:szCs w:val="24"/>
        </w:rPr>
        <w:br/>
      </w:r>
    </w:p>
    <w:p w14:paraId="22D74A66"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当事人</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男</w:t>
      </w:r>
      <w:r w:rsidRPr="00377C05">
        <w:rPr>
          <w:rFonts w:ascii="Times New Roman" w:eastAsia="宋体" w:hAnsi="Times New Roman" w:cs="宋体" w:hint="eastAsia"/>
          <w:color w:val="333333"/>
          <w:kern w:val="0"/>
          <w:sz w:val="24"/>
          <w:szCs w:val="24"/>
        </w:rPr>
        <w:t>,1975</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1</w:t>
      </w:r>
      <w:r w:rsidRPr="00377C05">
        <w:rPr>
          <w:rFonts w:ascii="Times New Roman" w:eastAsia="宋体" w:hAnsi="Times New Roman" w:cs="宋体" w:hint="eastAsia"/>
          <w:color w:val="333333"/>
          <w:kern w:val="0"/>
          <w:sz w:val="24"/>
          <w:szCs w:val="24"/>
        </w:rPr>
        <w:t>月出生</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住址</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广州市天河区。</w:t>
      </w:r>
    </w:p>
    <w:p w14:paraId="384DE81F"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依据《中华人民共和国证券法》</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以下简称《证券法》</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的有关规定</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我局对朱明武内幕交易北京华宇软件股份有限公司</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以下简称华宇软件或公司</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股票行为进行了立案调查、审理</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并依法向当事人告知了作出行政处罚的事实、理由、依据及当事人依法享有的权利。应当事人朱明武的要求</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我局举行了听证会</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听取了当事人及其代理人的陈述和申辩。本案现已调查、审理终结。</w:t>
      </w:r>
    </w:p>
    <w:p w14:paraId="1FCEC88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经查明</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朱明武存在以下违法事实</w:t>
      </w:r>
      <w:r w:rsidRPr="00377C05">
        <w:rPr>
          <w:rFonts w:ascii="Times New Roman" w:eastAsia="宋体" w:hAnsi="Times New Roman" w:cs="宋体" w:hint="eastAsia"/>
          <w:color w:val="333333"/>
          <w:kern w:val="0"/>
          <w:sz w:val="24"/>
          <w:szCs w:val="24"/>
        </w:rPr>
        <w:t>:</w:t>
      </w:r>
    </w:p>
    <w:p w14:paraId="5AEF9FA9"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一、内幕信息的形成和公开过程</w:t>
      </w:r>
    </w:p>
    <w:p w14:paraId="35CCEE36"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lastRenderedPageBreak/>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3</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22</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有权机关通知华宇软件</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对华宇软件时任董事长、总经理邵某涉嫌违法立案调查并自</w:t>
      </w: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3</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21</w:t>
      </w:r>
      <w:r w:rsidRPr="00377C05">
        <w:rPr>
          <w:rFonts w:ascii="Times New Roman" w:eastAsia="宋体" w:hAnsi="Times New Roman" w:cs="宋体" w:hint="eastAsia"/>
          <w:color w:val="333333"/>
          <w:kern w:val="0"/>
          <w:sz w:val="24"/>
          <w:szCs w:val="24"/>
        </w:rPr>
        <w:t>日起对邵某实施留置措施</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华宇软件时任董事、首席财务官王某和时任副总经理谢某接待有权机关工作人员</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知悉前述事项。</w:t>
      </w:r>
    </w:p>
    <w:p w14:paraId="11DB62F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3</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22</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王某告知华宇软件时任董事、副总经理赵某明前述事项</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王某、谢某告知时任华宇软件子公司北京华宇信息技术有限公司董事长朱某宇前述事项。</w:t>
      </w:r>
    </w:p>
    <w:p w14:paraId="28704CF0"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4</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赵某明告知华宇软件时任董事会秘书韦某宇前述事项。</w:t>
      </w:r>
    </w:p>
    <w:p w14:paraId="7744574B"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8</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29</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华宇软件发布《关于公司重大事件的公告》</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披露了公司董事长、总经理邵某涉嫌违法被有权机关立案调查并留置的事项。</w:t>
      </w:r>
    </w:p>
    <w:p w14:paraId="13D5DCB9"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邵某涉嫌违法被有权机关调查的事项</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属于《证券法》第八十条第二款第十二项、《上市公司信息披露管理办法》</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证监会令第</w:t>
      </w:r>
      <w:r w:rsidRPr="00377C05">
        <w:rPr>
          <w:rFonts w:ascii="Times New Roman" w:eastAsia="宋体" w:hAnsi="Times New Roman" w:cs="宋体" w:hint="eastAsia"/>
          <w:color w:val="333333"/>
          <w:kern w:val="0"/>
          <w:sz w:val="24"/>
          <w:szCs w:val="24"/>
        </w:rPr>
        <w:t>40</w:t>
      </w:r>
      <w:r w:rsidRPr="00377C05">
        <w:rPr>
          <w:rFonts w:ascii="Times New Roman" w:eastAsia="宋体" w:hAnsi="Times New Roman" w:cs="宋体" w:hint="eastAsia"/>
          <w:color w:val="333333"/>
          <w:kern w:val="0"/>
          <w:sz w:val="24"/>
          <w:szCs w:val="24"/>
        </w:rPr>
        <w:t>号</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第三十条第二款第十一项规定的“公司董事、监事、高级管理人员涉嫌违法违纪被有权机关调查或者采取强制措施”的重大事件</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在公开前依据《证券法》第五十二条第二款的规定构成内幕信息。该内幕信息不晚于</w:t>
      </w: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3</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21</w:t>
      </w:r>
      <w:r w:rsidRPr="00377C05">
        <w:rPr>
          <w:rFonts w:ascii="Times New Roman" w:eastAsia="宋体" w:hAnsi="Times New Roman" w:cs="宋体" w:hint="eastAsia"/>
          <w:color w:val="333333"/>
          <w:kern w:val="0"/>
          <w:sz w:val="24"/>
          <w:szCs w:val="24"/>
        </w:rPr>
        <w:t>日形成</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公开于</w:t>
      </w: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8</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29</w:t>
      </w:r>
      <w:r w:rsidRPr="00377C05">
        <w:rPr>
          <w:rFonts w:ascii="Times New Roman" w:eastAsia="宋体" w:hAnsi="Times New Roman" w:cs="宋体" w:hint="eastAsia"/>
          <w:color w:val="333333"/>
          <w:kern w:val="0"/>
          <w:sz w:val="24"/>
          <w:szCs w:val="24"/>
        </w:rPr>
        <w:t>日。王某、谢某、赵某明、朱某宇、韦某宇等人为内幕信息知情人。</w:t>
      </w:r>
    </w:p>
    <w:p w14:paraId="0E815E15"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二、朱明武内幕交易“华宇软件”情况</w:t>
      </w:r>
    </w:p>
    <w:p w14:paraId="1402F9F0"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一</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朱明武与内幕信息知情人赵某明、王某在内幕信息敏感期内联络接触</w:t>
      </w:r>
    </w:p>
    <w:p w14:paraId="513B296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朱明武时任华宇软件子公司联奕科技股份有限公司董事、总经理</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亦时任华宇软件子公司北京亿信华辰软件有限责任公司董事。内幕信息敏感期内</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朱明武与赵某明存在电话联络</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并与王某见面接触且多次电话联络。朱明武与内幕信息知情人联络接触频繁。</w:t>
      </w:r>
    </w:p>
    <w:p w14:paraId="65B03D9E"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二</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朱明武使用本人证券账户交易“华宇软件”</w:t>
      </w:r>
    </w:p>
    <w:p w14:paraId="3538B123"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2015</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7</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10</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“朱明武”证券账户开立于平安证券有限责任公司北京知春路证券营业部</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后更名为平安证券股份有限公司北京望京证券营业部</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。该账户由朱明武实际控制和使用。</w:t>
      </w:r>
    </w:p>
    <w:p w14:paraId="5AF0644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内幕信息敏感期内</w:t>
      </w:r>
      <w:r w:rsidRPr="00377C05">
        <w:rPr>
          <w:rFonts w:ascii="Times New Roman" w:eastAsia="宋体" w:hAnsi="Times New Roman" w:cs="宋体" w:hint="eastAsia"/>
          <w:color w:val="333333"/>
          <w:kern w:val="0"/>
          <w:sz w:val="24"/>
          <w:szCs w:val="24"/>
        </w:rPr>
        <w:t>,2021</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17</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28</w:t>
      </w:r>
      <w:r w:rsidRPr="00377C05">
        <w:rPr>
          <w:rFonts w:ascii="Times New Roman" w:eastAsia="宋体" w:hAnsi="Times New Roman" w:cs="宋体" w:hint="eastAsia"/>
          <w:color w:val="333333"/>
          <w:kern w:val="0"/>
          <w:sz w:val="24"/>
          <w:szCs w:val="24"/>
        </w:rPr>
        <w:t>日和</w:t>
      </w:r>
      <w:r w:rsidRPr="00377C05">
        <w:rPr>
          <w:rFonts w:ascii="Times New Roman" w:eastAsia="宋体" w:hAnsi="Times New Roman" w:cs="宋体" w:hint="eastAsia"/>
          <w:color w:val="333333"/>
          <w:kern w:val="0"/>
          <w:sz w:val="24"/>
          <w:szCs w:val="24"/>
        </w:rPr>
        <w:t>6</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10</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“朱明武”证券账户共计卖出“华宇软件”</w:t>
      </w:r>
      <w:r w:rsidRPr="00377C05">
        <w:rPr>
          <w:rFonts w:ascii="Times New Roman" w:eastAsia="宋体" w:hAnsi="Times New Roman" w:cs="宋体" w:hint="eastAsia"/>
          <w:color w:val="333333"/>
          <w:kern w:val="0"/>
          <w:sz w:val="24"/>
          <w:szCs w:val="24"/>
        </w:rPr>
        <w:t>127.12</w:t>
      </w:r>
      <w:r w:rsidRPr="00377C05">
        <w:rPr>
          <w:rFonts w:ascii="Times New Roman" w:eastAsia="宋体" w:hAnsi="Times New Roman" w:cs="宋体" w:hint="eastAsia"/>
          <w:color w:val="333333"/>
          <w:kern w:val="0"/>
          <w:sz w:val="24"/>
          <w:szCs w:val="24"/>
        </w:rPr>
        <w:t>万股</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成交金额</w:t>
      </w:r>
      <w:r w:rsidRPr="00377C05">
        <w:rPr>
          <w:rFonts w:ascii="Times New Roman" w:eastAsia="宋体" w:hAnsi="Times New Roman" w:cs="宋体" w:hint="eastAsia"/>
          <w:color w:val="333333"/>
          <w:kern w:val="0"/>
          <w:sz w:val="24"/>
          <w:szCs w:val="24"/>
        </w:rPr>
        <w:t>23,735,463.59</w:t>
      </w:r>
      <w:r w:rsidRPr="00377C05">
        <w:rPr>
          <w:rFonts w:ascii="Times New Roman" w:eastAsia="宋体" w:hAnsi="Times New Roman" w:cs="宋体" w:hint="eastAsia"/>
          <w:color w:val="333333"/>
          <w:kern w:val="0"/>
          <w:sz w:val="24"/>
          <w:szCs w:val="24"/>
        </w:rPr>
        <w:t>元</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避损金额</w:t>
      </w:r>
      <w:r w:rsidRPr="00377C05">
        <w:rPr>
          <w:rFonts w:ascii="Times New Roman" w:eastAsia="宋体" w:hAnsi="Times New Roman" w:cs="宋体" w:hint="eastAsia"/>
          <w:color w:val="333333"/>
          <w:kern w:val="0"/>
          <w:sz w:val="24"/>
          <w:szCs w:val="24"/>
        </w:rPr>
        <w:t>7,561,409.82</w:t>
      </w:r>
      <w:r w:rsidRPr="00377C05">
        <w:rPr>
          <w:rFonts w:ascii="Times New Roman" w:eastAsia="宋体" w:hAnsi="Times New Roman" w:cs="宋体" w:hint="eastAsia"/>
          <w:color w:val="333333"/>
          <w:kern w:val="0"/>
          <w:sz w:val="24"/>
          <w:szCs w:val="24"/>
        </w:rPr>
        <w:t>元。</w:t>
      </w:r>
    </w:p>
    <w:p w14:paraId="5343EC75"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lastRenderedPageBreak/>
        <w:t>(</w:t>
      </w:r>
      <w:r w:rsidRPr="00377C05">
        <w:rPr>
          <w:rFonts w:ascii="Times New Roman" w:eastAsia="宋体" w:hAnsi="Times New Roman" w:cs="宋体" w:hint="eastAsia"/>
          <w:color w:val="333333"/>
          <w:kern w:val="0"/>
          <w:sz w:val="24"/>
          <w:szCs w:val="24"/>
        </w:rPr>
        <w:t>三</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内幕信息敏感期内</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朱明武交易“华宇软件”行为明显异常且无合理解释</w:t>
      </w:r>
    </w:p>
    <w:p w14:paraId="6FD31739"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朱明武交易“华宇软件”的行为明显异常。朱明武</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7</w:t>
      </w:r>
      <w:r w:rsidRPr="00377C05">
        <w:rPr>
          <w:rFonts w:ascii="Times New Roman" w:eastAsia="宋体" w:hAnsi="Times New Roman" w:cs="宋体" w:hint="eastAsia"/>
          <w:color w:val="333333"/>
          <w:kern w:val="0"/>
          <w:sz w:val="24"/>
          <w:szCs w:val="24"/>
        </w:rPr>
        <w:t>日与赵某明电话联络</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8</w:t>
      </w:r>
      <w:r w:rsidRPr="00377C05">
        <w:rPr>
          <w:rFonts w:ascii="Times New Roman" w:eastAsia="宋体" w:hAnsi="Times New Roman" w:cs="宋体" w:hint="eastAsia"/>
          <w:color w:val="333333"/>
          <w:kern w:val="0"/>
          <w:sz w:val="24"/>
          <w:szCs w:val="24"/>
        </w:rPr>
        <w:t>日至</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11</w:t>
      </w:r>
      <w:r w:rsidRPr="00377C05">
        <w:rPr>
          <w:rFonts w:ascii="Times New Roman" w:eastAsia="宋体" w:hAnsi="Times New Roman" w:cs="宋体" w:hint="eastAsia"/>
          <w:color w:val="333333"/>
          <w:kern w:val="0"/>
          <w:sz w:val="24"/>
          <w:szCs w:val="24"/>
        </w:rPr>
        <w:t>日与王某会面、电话联络</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17</w:t>
      </w:r>
      <w:r w:rsidRPr="00377C05">
        <w:rPr>
          <w:rFonts w:ascii="Times New Roman" w:eastAsia="宋体" w:hAnsi="Times New Roman" w:cs="宋体" w:hint="eastAsia"/>
          <w:color w:val="333333"/>
          <w:kern w:val="0"/>
          <w:sz w:val="24"/>
          <w:szCs w:val="24"/>
        </w:rPr>
        <w:t>日“朱明武”证券账户首次卖出“华宇软件”。“朱明武”证券账户交易“华宇软件”的时点与朱明武和内幕信息知情人联络接触时点高度吻合</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相关交易行为具有卖出意愿强烈、单笔卖出量放大、集中卖出“华宇软件”等特征</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明显异常。朱明武对此没有合理解释或正当信息来源。</w:t>
      </w:r>
    </w:p>
    <w:p w14:paraId="102ED3EE"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上述违法事实</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有相关公告、证券账户资料、银行账户资料、询问笔录、情况说明等证据证明</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足以认定。</w:t>
      </w:r>
    </w:p>
    <w:p w14:paraId="6F850C6D"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朱明武在内幕信息敏感期内与内幕信息知情人联络接触</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在内幕信息公开前卖出“华宇软件”</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交易行为明显异常</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没有合理解释或正当信息来源</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违反了《证券法》第五十条、第五十三条第一款的规定</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构成《证券法》第一百九十一条第一款所述的内幕交易行为。朱明武在接受调查过程中</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能够积极配合调查。</w:t>
      </w:r>
    </w:p>
    <w:p w14:paraId="5E3AAFED"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当事人在听证和陈述申辩中提出</w:t>
      </w:r>
      <w:r w:rsidRPr="00377C05">
        <w:rPr>
          <w:rFonts w:ascii="Times New Roman" w:eastAsia="宋体" w:hAnsi="Times New Roman" w:cs="宋体" w:hint="eastAsia"/>
          <w:color w:val="333333"/>
          <w:kern w:val="0"/>
          <w:sz w:val="24"/>
          <w:szCs w:val="24"/>
        </w:rPr>
        <w:t>:</w:t>
      </w:r>
    </w:p>
    <w:p w14:paraId="0C7BFA88"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其一</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我局认定朱明武知悉内幕信息证据不足</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不能达到明显优势的证明标准。内幕信息知情人没有向朱明武泄露过内幕信息</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不应以推定方式认定朱明武知悉内幕信息。</w:t>
      </w:r>
    </w:p>
    <w:p w14:paraId="0B46E84F"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其二</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朱明武因购房需要而卖出“华宇软件”</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存在正当合理的理由</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不存在交易异常。</w:t>
      </w:r>
    </w:p>
    <w:p w14:paraId="3A4ADB51"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综上</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当事人请求认定不构成内幕交易</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不予行政处罚。</w:t>
      </w:r>
    </w:p>
    <w:p w14:paraId="64CC8A3D"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经复核</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我局认为</w:t>
      </w:r>
      <w:r w:rsidRPr="00377C05">
        <w:rPr>
          <w:rFonts w:ascii="Times New Roman" w:eastAsia="宋体" w:hAnsi="Times New Roman" w:cs="宋体" w:hint="eastAsia"/>
          <w:color w:val="333333"/>
          <w:kern w:val="0"/>
          <w:sz w:val="24"/>
          <w:szCs w:val="24"/>
        </w:rPr>
        <w:t>:</w:t>
      </w:r>
    </w:p>
    <w:p w14:paraId="15E041DF"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第一</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内幕信息敏感期内</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朱明武卖出“华宇软件”前与内幕信息知情人赵某明、王某存在通讯联络和见面接触</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具有获取内幕信息的途径。案涉账户三次卖出“华宇软件”前</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朱明武与内幕信息知情人均存在联络接触</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卖出“华宇软件”时点与联络接触时点高度吻合。</w:t>
      </w:r>
    </w:p>
    <w:p w14:paraId="574BB73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第二</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案涉交易行为明显异常</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存在卖出意愿强烈、单笔卖出量放大、集中卖出等特征</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与以往交易习惯明显不同。综合全案事实、证据</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朱明武卖出“华宇软件”用于购房的理由不足以对前述明显异常的交易行为做出合理说明</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不能排除</w:t>
      </w:r>
      <w:r w:rsidRPr="00377C05">
        <w:rPr>
          <w:rFonts w:ascii="Times New Roman" w:eastAsia="宋体" w:hAnsi="Times New Roman" w:cs="宋体" w:hint="eastAsia"/>
          <w:color w:val="333333"/>
          <w:kern w:val="0"/>
          <w:sz w:val="24"/>
          <w:szCs w:val="24"/>
        </w:rPr>
        <w:lastRenderedPageBreak/>
        <w:t>其利用内幕信息从事证券交易活动</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我局认定其构成内幕交易具有充分的事实和法律依据。</w:t>
      </w:r>
    </w:p>
    <w:p w14:paraId="0EC0A375"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综上</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我局对当事人的上述申辩意见不予采纳。</w:t>
      </w:r>
    </w:p>
    <w:p w14:paraId="0F4B7741"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根据当事人违法行为的事实、性质、情节与社会危害程度</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依据《证券法》第一百九十一条第一款的规定</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我局决定</w:t>
      </w:r>
      <w:r w:rsidRPr="00377C05">
        <w:rPr>
          <w:rFonts w:ascii="Times New Roman" w:eastAsia="宋体" w:hAnsi="Times New Roman" w:cs="宋体" w:hint="eastAsia"/>
          <w:color w:val="333333"/>
          <w:kern w:val="0"/>
          <w:sz w:val="24"/>
          <w:szCs w:val="24"/>
        </w:rPr>
        <w:t>:</w:t>
      </w:r>
    </w:p>
    <w:p w14:paraId="5D2AB17B"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对朱明武没收违法所得</w:t>
      </w:r>
      <w:r w:rsidRPr="00377C05">
        <w:rPr>
          <w:rFonts w:ascii="Times New Roman" w:eastAsia="宋体" w:hAnsi="Times New Roman" w:cs="宋体" w:hint="eastAsia"/>
          <w:color w:val="333333"/>
          <w:kern w:val="0"/>
          <w:sz w:val="24"/>
          <w:szCs w:val="24"/>
        </w:rPr>
        <w:t>7,561,409.82</w:t>
      </w:r>
      <w:r w:rsidRPr="00377C05">
        <w:rPr>
          <w:rFonts w:ascii="Times New Roman" w:eastAsia="宋体" w:hAnsi="Times New Roman" w:cs="宋体" w:hint="eastAsia"/>
          <w:color w:val="333333"/>
          <w:kern w:val="0"/>
          <w:sz w:val="24"/>
          <w:szCs w:val="24"/>
        </w:rPr>
        <w:t>元</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并处以</w:t>
      </w:r>
      <w:r w:rsidRPr="00377C05">
        <w:rPr>
          <w:rFonts w:ascii="Times New Roman" w:eastAsia="宋体" w:hAnsi="Times New Roman" w:cs="宋体" w:hint="eastAsia"/>
          <w:color w:val="333333"/>
          <w:kern w:val="0"/>
          <w:sz w:val="24"/>
          <w:szCs w:val="24"/>
        </w:rPr>
        <w:t>7,561,409.82</w:t>
      </w:r>
      <w:r w:rsidRPr="00377C05">
        <w:rPr>
          <w:rFonts w:ascii="Times New Roman" w:eastAsia="宋体" w:hAnsi="Times New Roman" w:cs="宋体" w:hint="eastAsia"/>
          <w:color w:val="333333"/>
          <w:kern w:val="0"/>
          <w:sz w:val="24"/>
          <w:szCs w:val="24"/>
        </w:rPr>
        <w:t>元的罚款。</w:t>
      </w:r>
    </w:p>
    <w:p w14:paraId="49E7B6B7"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上述当事人应自收到本处罚决定书之日起</w:t>
      </w:r>
      <w:r w:rsidRPr="00377C05">
        <w:rPr>
          <w:rFonts w:ascii="Times New Roman" w:eastAsia="宋体" w:hAnsi="Times New Roman" w:cs="宋体" w:hint="eastAsia"/>
          <w:color w:val="333333"/>
          <w:kern w:val="0"/>
          <w:sz w:val="24"/>
          <w:szCs w:val="24"/>
        </w:rPr>
        <w:t>15</w:t>
      </w:r>
      <w:r w:rsidRPr="00377C05">
        <w:rPr>
          <w:rFonts w:ascii="Times New Roman" w:eastAsia="宋体" w:hAnsi="Times New Roman" w:cs="宋体" w:hint="eastAsia"/>
          <w:color w:val="333333"/>
          <w:kern w:val="0"/>
          <w:sz w:val="24"/>
          <w:szCs w:val="24"/>
        </w:rPr>
        <w:t>日内</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将罚没款汇交中国证券监督管理委员会开户银行</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中信银行北京分行营业部</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账号</w:t>
      </w:r>
      <w:r w:rsidRPr="00377C05">
        <w:rPr>
          <w:rFonts w:ascii="Times New Roman" w:eastAsia="宋体" w:hAnsi="Times New Roman" w:cs="宋体" w:hint="eastAsia"/>
          <w:color w:val="333333"/>
          <w:kern w:val="0"/>
          <w:sz w:val="24"/>
          <w:szCs w:val="24"/>
        </w:rPr>
        <w:t>:7111010189800000162,</w:t>
      </w:r>
      <w:r w:rsidRPr="00377C05">
        <w:rPr>
          <w:rFonts w:ascii="Times New Roman" w:eastAsia="宋体" w:hAnsi="Times New Roman" w:cs="宋体" w:hint="eastAsia"/>
          <w:color w:val="333333"/>
          <w:kern w:val="0"/>
          <w:sz w:val="24"/>
          <w:szCs w:val="24"/>
        </w:rPr>
        <w:t>由该行直接上缴国库</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可在收到本处罚决定书之日起</w:t>
      </w:r>
      <w:r w:rsidRPr="00377C05">
        <w:rPr>
          <w:rFonts w:ascii="Times New Roman" w:eastAsia="宋体" w:hAnsi="Times New Roman" w:cs="宋体" w:hint="eastAsia"/>
          <w:color w:val="333333"/>
          <w:kern w:val="0"/>
          <w:sz w:val="24"/>
          <w:szCs w:val="24"/>
        </w:rPr>
        <w:t>60</w:t>
      </w:r>
      <w:r w:rsidRPr="00377C05">
        <w:rPr>
          <w:rFonts w:ascii="Times New Roman" w:eastAsia="宋体" w:hAnsi="Times New Roman" w:cs="宋体" w:hint="eastAsia"/>
          <w:color w:val="333333"/>
          <w:kern w:val="0"/>
          <w:sz w:val="24"/>
          <w:szCs w:val="24"/>
        </w:rPr>
        <w:t>日内向中国证券监督管理委员会申请行政复议</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也可在收到本处罚决定书之日起</w:t>
      </w:r>
      <w:r w:rsidRPr="00377C05">
        <w:rPr>
          <w:rFonts w:ascii="Times New Roman" w:eastAsia="宋体" w:hAnsi="Times New Roman" w:cs="宋体" w:hint="eastAsia"/>
          <w:color w:val="333333"/>
          <w:kern w:val="0"/>
          <w:sz w:val="24"/>
          <w:szCs w:val="24"/>
        </w:rPr>
        <w:t>6</w:t>
      </w:r>
      <w:r w:rsidRPr="00377C05">
        <w:rPr>
          <w:rFonts w:ascii="Times New Roman" w:eastAsia="宋体" w:hAnsi="Times New Roman" w:cs="宋体" w:hint="eastAsia"/>
          <w:color w:val="333333"/>
          <w:kern w:val="0"/>
          <w:sz w:val="24"/>
          <w:szCs w:val="24"/>
        </w:rPr>
        <w:t>个月内直接向有管辖权的人民法院提起行政诉讼。复议和诉讼期间</w:t>
      </w:r>
      <w:r w:rsidRPr="00377C05">
        <w:rPr>
          <w:rFonts w:ascii="Times New Roman" w:eastAsia="宋体" w:hAnsi="Times New Roman" w:cs="宋体" w:hint="eastAsia"/>
          <w:color w:val="333333"/>
          <w:kern w:val="0"/>
          <w:sz w:val="24"/>
          <w:szCs w:val="24"/>
        </w:rPr>
        <w:t>,</w:t>
      </w:r>
      <w:r w:rsidRPr="00377C05">
        <w:rPr>
          <w:rFonts w:ascii="Times New Roman" w:eastAsia="宋体" w:hAnsi="Times New Roman" w:cs="宋体" w:hint="eastAsia"/>
          <w:color w:val="333333"/>
          <w:kern w:val="0"/>
          <w:sz w:val="24"/>
          <w:szCs w:val="24"/>
        </w:rPr>
        <w:t>上述决定不停止执行。</w:t>
      </w:r>
    </w:p>
    <w:p w14:paraId="59596E0F"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br/>
      </w:r>
    </w:p>
    <w:p w14:paraId="56E01EA6"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br/>
      </w:r>
    </w:p>
    <w:p w14:paraId="6F04A10A"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中国证监会北京监管局</w:t>
      </w:r>
    </w:p>
    <w:p w14:paraId="1FA2FB90" w14:textId="77777777" w:rsidR="00377C05" w:rsidRPr="00377C05" w:rsidRDefault="00377C05" w:rsidP="00377C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C05">
        <w:rPr>
          <w:rFonts w:ascii="Times New Roman" w:eastAsia="宋体" w:hAnsi="Times New Roman" w:cs="宋体" w:hint="eastAsia"/>
          <w:color w:val="333333"/>
          <w:kern w:val="0"/>
          <w:sz w:val="24"/>
          <w:szCs w:val="24"/>
        </w:rPr>
        <w:t>2024</w:t>
      </w:r>
      <w:r w:rsidRPr="00377C05">
        <w:rPr>
          <w:rFonts w:ascii="Times New Roman" w:eastAsia="宋体" w:hAnsi="Times New Roman" w:cs="宋体" w:hint="eastAsia"/>
          <w:color w:val="333333"/>
          <w:kern w:val="0"/>
          <w:sz w:val="24"/>
          <w:szCs w:val="24"/>
        </w:rPr>
        <w:t>年</w:t>
      </w:r>
      <w:r w:rsidRPr="00377C05">
        <w:rPr>
          <w:rFonts w:ascii="Times New Roman" w:eastAsia="宋体" w:hAnsi="Times New Roman" w:cs="宋体" w:hint="eastAsia"/>
          <w:color w:val="333333"/>
          <w:kern w:val="0"/>
          <w:sz w:val="24"/>
          <w:szCs w:val="24"/>
        </w:rPr>
        <w:t>5</w:t>
      </w:r>
      <w:r w:rsidRPr="00377C05">
        <w:rPr>
          <w:rFonts w:ascii="Times New Roman" w:eastAsia="宋体" w:hAnsi="Times New Roman" w:cs="宋体" w:hint="eastAsia"/>
          <w:color w:val="333333"/>
          <w:kern w:val="0"/>
          <w:sz w:val="24"/>
          <w:szCs w:val="24"/>
        </w:rPr>
        <w:t>月</w:t>
      </w:r>
      <w:r w:rsidRPr="00377C05">
        <w:rPr>
          <w:rFonts w:ascii="Times New Roman" w:eastAsia="宋体" w:hAnsi="Times New Roman" w:cs="宋体" w:hint="eastAsia"/>
          <w:color w:val="333333"/>
          <w:kern w:val="0"/>
          <w:sz w:val="24"/>
          <w:szCs w:val="24"/>
        </w:rPr>
        <w:t>13</w:t>
      </w:r>
      <w:r w:rsidRPr="00377C05">
        <w:rPr>
          <w:rFonts w:ascii="Times New Roman" w:eastAsia="宋体" w:hAnsi="Times New Roman" w:cs="宋体" w:hint="eastAsia"/>
          <w:color w:val="333333"/>
          <w:kern w:val="0"/>
          <w:sz w:val="24"/>
          <w:szCs w:val="24"/>
        </w:rPr>
        <w:t>日</w:t>
      </w:r>
      <w:r w:rsidRPr="00377C05">
        <w:rPr>
          <w:rFonts w:ascii="Times New Roman" w:eastAsia="宋体" w:hAnsi="Times New Roman" w:cs="宋体" w:hint="eastAsia"/>
          <w:color w:val="333333"/>
          <w:kern w:val="0"/>
          <w:sz w:val="24"/>
          <w:szCs w:val="24"/>
        </w:rPr>
        <w:t> </w:t>
      </w:r>
      <w:r w:rsidRPr="00377C05">
        <w:rPr>
          <w:rFonts w:ascii="Times New Roman" w:eastAsia="宋体" w:hAnsi="Times New Roman" w:cs="宋体" w:hint="eastAsia"/>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18528" w14:textId="77777777" w:rsidR="00B7499D" w:rsidRDefault="00B7499D" w:rsidP="00F968D2">
      <w:pPr>
        <w:rPr>
          <w:rFonts w:hint="eastAsia"/>
        </w:rPr>
      </w:pPr>
      <w:r>
        <w:separator/>
      </w:r>
    </w:p>
  </w:endnote>
  <w:endnote w:type="continuationSeparator" w:id="0">
    <w:p w14:paraId="62063FCD" w14:textId="77777777" w:rsidR="00B7499D" w:rsidRDefault="00B7499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06805" w14:textId="77777777" w:rsidR="00B7499D" w:rsidRDefault="00B7499D" w:rsidP="00F968D2">
      <w:pPr>
        <w:rPr>
          <w:rFonts w:hint="eastAsia"/>
        </w:rPr>
      </w:pPr>
      <w:r>
        <w:separator/>
      </w:r>
    </w:p>
  </w:footnote>
  <w:footnote w:type="continuationSeparator" w:id="0">
    <w:p w14:paraId="4F10BC47" w14:textId="77777777" w:rsidR="00B7499D" w:rsidRDefault="00B7499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53D20"/>
    <w:rsid w:val="00377C05"/>
    <w:rsid w:val="00395F17"/>
    <w:rsid w:val="004D1A0A"/>
    <w:rsid w:val="004E6B59"/>
    <w:rsid w:val="00575B9A"/>
    <w:rsid w:val="006167C8"/>
    <w:rsid w:val="00623C8D"/>
    <w:rsid w:val="00651337"/>
    <w:rsid w:val="00652ECC"/>
    <w:rsid w:val="00674396"/>
    <w:rsid w:val="006B3134"/>
    <w:rsid w:val="007D2D6F"/>
    <w:rsid w:val="008276CE"/>
    <w:rsid w:val="00840933"/>
    <w:rsid w:val="008E133E"/>
    <w:rsid w:val="00AC7653"/>
    <w:rsid w:val="00B4746E"/>
    <w:rsid w:val="00B7499D"/>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791561995">
      <w:bodyDiv w:val="1"/>
      <w:marLeft w:val="0"/>
      <w:marRight w:val="0"/>
      <w:marTop w:val="0"/>
      <w:marBottom w:val="0"/>
      <w:divBdr>
        <w:top w:val="none" w:sz="0" w:space="0" w:color="auto"/>
        <w:left w:val="none" w:sz="0" w:space="0" w:color="auto"/>
        <w:bottom w:val="none" w:sz="0" w:space="0" w:color="auto"/>
        <w:right w:val="none" w:sz="0" w:space="0" w:color="auto"/>
      </w:divBdr>
      <w:divsChild>
        <w:div w:id="1987198210">
          <w:marLeft w:val="0"/>
          <w:marRight w:val="0"/>
          <w:marTop w:val="0"/>
          <w:marBottom w:val="375"/>
          <w:divBdr>
            <w:top w:val="none" w:sz="0" w:space="0" w:color="auto"/>
            <w:left w:val="none" w:sz="0" w:space="0" w:color="auto"/>
            <w:bottom w:val="none" w:sz="0" w:space="0" w:color="auto"/>
            <w:right w:val="none" w:sz="0" w:space="0" w:color="auto"/>
          </w:divBdr>
          <w:divsChild>
            <w:div w:id="765615023">
              <w:marLeft w:val="0"/>
              <w:marRight w:val="0"/>
              <w:marTop w:val="0"/>
              <w:marBottom w:val="0"/>
              <w:divBdr>
                <w:top w:val="none" w:sz="0" w:space="0" w:color="auto"/>
                <w:left w:val="none" w:sz="0" w:space="0" w:color="auto"/>
                <w:bottom w:val="none" w:sz="0" w:space="0" w:color="auto"/>
                <w:right w:val="none" w:sz="0" w:space="0" w:color="auto"/>
              </w:divBdr>
              <w:divsChild>
                <w:div w:id="97625526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73524559">
          <w:marLeft w:val="0"/>
          <w:marRight w:val="0"/>
          <w:marTop w:val="450"/>
          <w:marBottom w:val="0"/>
          <w:divBdr>
            <w:top w:val="none" w:sz="0" w:space="0" w:color="auto"/>
            <w:left w:val="none" w:sz="0" w:space="0" w:color="auto"/>
            <w:bottom w:val="none" w:sz="0" w:space="0" w:color="auto"/>
            <w:right w:val="none" w:sz="0" w:space="0" w:color="auto"/>
          </w:divBdr>
        </w:div>
      </w:divsChild>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381130410">
      <w:bodyDiv w:val="1"/>
      <w:marLeft w:val="0"/>
      <w:marRight w:val="0"/>
      <w:marTop w:val="0"/>
      <w:marBottom w:val="0"/>
      <w:divBdr>
        <w:top w:val="none" w:sz="0" w:space="0" w:color="auto"/>
        <w:left w:val="none" w:sz="0" w:space="0" w:color="auto"/>
        <w:bottom w:val="none" w:sz="0" w:space="0" w:color="auto"/>
        <w:right w:val="none" w:sz="0" w:space="0" w:color="auto"/>
      </w:divBdr>
      <w:divsChild>
        <w:div w:id="1924223272">
          <w:marLeft w:val="0"/>
          <w:marRight w:val="0"/>
          <w:marTop w:val="0"/>
          <w:marBottom w:val="375"/>
          <w:divBdr>
            <w:top w:val="none" w:sz="0" w:space="0" w:color="auto"/>
            <w:left w:val="none" w:sz="0" w:space="0" w:color="auto"/>
            <w:bottom w:val="none" w:sz="0" w:space="0" w:color="auto"/>
            <w:right w:val="none" w:sz="0" w:space="0" w:color="auto"/>
          </w:divBdr>
          <w:divsChild>
            <w:div w:id="988631102">
              <w:marLeft w:val="0"/>
              <w:marRight w:val="0"/>
              <w:marTop w:val="0"/>
              <w:marBottom w:val="0"/>
              <w:divBdr>
                <w:top w:val="none" w:sz="0" w:space="0" w:color="auto"/>
                <w:left w:val="none" w:sz="0" w:space="0" w:color="auto"/>
                <w:bottom w:val="none" w:sz="0" w:space="0" w:color="auto"/>
                <w:right w:val="none" w:sz="0" w:space="0" w:color="auto"/>
              </w:divBdr>
              <w:divsChild>
                <w:div w:id="59293288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4425076">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2024-12-16T05:25:00Z</dcterms:created>
  <dcterms:modified xsi:type="dcterms:W3CDTF">2024-12-16T08:25:00Z</dcterms:modified>
</cp:coreProperties>
</file>