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CAF5C" w14:textId="77777777" w:rsidR="000E7439" w:rsidRPr="000E7439" w:rsidRDefault="000E7439" w:rsidP="000E7439">
      <w:pPr>
        <w:widowControl/>
        <w:shd w:val="clear" w:color="auto" w:fill="FFFFFF"/>
        <w:spacing w:line="525" w:lineRule="atLeast"/>
        <w:jc w:val="center"/>
        <w:rPr>
          <w:rFonts w:ascii="微软雅黑" w:eastAsia="微软雅黑" w:hAnsi="微软雅黑" w:cs="宋体"/>
          <w:b/>
          <w:bCs/>
          <w:color w:val="0C5CB1"/>
          <w:kern w:val="0"/>
          <w:sz w:val="30"/>
          <w:szCs w:val="30"/>
        </w:rPr>
      </w:pPr>
      <w:r w:rsidRPr="000E7439">
        <w:rPr>
          <w:rFonts w:ascii="微软雅黑" w:eastAsia="微软雅黑" w:hAnsi="微软雅黑" w:cs="宋体" w:hint="eastAsia"/>
          <w:b/>
          <w:bCs/>
          <w:color w:val="0C5CB1"/>
          <w:kern w:val="0"/>
          <w:sz w:val="30"/>
          <w:szCs w:val="30"/>
        </w:rPr>
        <w:t>中国证券监督管理委员会厦门监管局行政处罚决定书〔2020〕3号</w:t>
      </w:r>
    </w:p>
    <w:p w14:paraId="3A40567B" w14:textId="77777777" w:rsidR="000E7439" w:rsidRPr="000E7439" w:rsidRDefault="000E7439" w:rsidP="000E7439">
      <w:pPr>
        <w:widowControl/>
        <w:shd w:val="clear" w:color="auto" w:fill="FFFFFF"/>
        <w:jc w:val="center"/>
        <w:rPr>
          <w:rFonts w:ascii="宋体" w:eastAsia="宋体" w:hAnsi="宋体" w:cs="宋体" w:hint="eastAsia"/>
          <w:color w:val="888888"/>
          <w:kern w:val="0"/>
          <w:sz w:val="18"/>
          <w:szCs w:val="18"/>
        </w:rPr>
      </w:pPr>
      <w:r w:rsidRPr="000E7439">
        <w:rPr>
          <w:rFonts w:ascii="宋体" w:eastAsia="宋体" w:hAnsi="宋体" w:cs="宋体" w:hint="eastAsia"/>
          <w:color w:val="888888"/>
          <w:kern w:val="0"/>
          <w:sz w:val="18"/>
          <w:szCs w:val="18"/>
        </w:rPr>
        <w:t>时间：2020-06-18 来源：</w:t>
      </w:r>
    </w:p>
    <w:p w14:paraId="5142827A" w14:textId="77777777" w:rsidR="000E7439" w:rsidRPr="000E7439" w:rsidRDefault="000E7439" w:rsidP="000E7439">
      <w:pPr>
        <w:widowControl/>
        <w:shd w:val="clear" w:color="auto" w:fill="FFFFFF"/>
        <w:spacing w:line="315" w:lineRule="atLeast"/>
        <w:ind w:firstLine="640"/>
        <w:jc w:val="left"/>
        <w:rPr>
          <w:rFonts w:ascii="inherit" w:eastAsia="宋体" w:hAnsi="inherit" w:cs="宋体" w:hint="eastAsia"/>
          <w:color w:val="333333"/>
          <w:kern w:val="0"/>
          <w:szCs w:val="21"/>
        </w:rPr>
      </w:pPr>
      <w:bookmarkStart w:id="0" w:name="_GoBack"/>
      <w:bookmarkEnd w:id="0"/>
      <w:r w:rsidRPr="000E7439">
        <w:rPr>
          <w:rFonts w:ascii="宋体" w:eastAsia="宋体" w:hAnsi="宋体" w:cs="宋体" w:hint="eastAsia"/>
          <w:color w:val="333333"/>
          <w:kern w:val="0"/>
          <w:sz w:val="24"/>
          <w:szCs w:val="24"/>
        </w:rPr>
        <w:t> </w:t>
      </w:r>
    </w:p>
    <w:p w14:paraId="7F945B55" w14:textId="77777777" w:rsidR="000E7439" w:rsidRPr="000E7439" w:rsidRDefault="000E7439" w:rsidP="000E7439">
      <w:pPr>
        <w:widowControl/>
        <w:shd w:val="clear" w:color="auto" w:fill="FFFFFF"/>
        <w:spacing w:line="315" w:lineRule="atLeast"/>
        <w:ind w:firstLine="480"/>
        <w:jc w:val="left"/>
        <w:rPr>
          <w:rFonts w:ascii="宋体" w:eastAsia="宋体" w:hAnsi="宋体" w:cs="宋体"/>
          <w:color w:val="333333"/>
          <w:kern w:val="0"/>
          <w:szCs w:val="21"/>
        </w:rPr>
      </w:pPr>
      <w:r w:rsidRPr="000E7439">
        <w:rPr>
          <w:rFonts w:ascii="宋体" w:eastAsia="宋体" w:hAnsi="宋体" w:cs="宋体" w:hint="eastAsia"/>
          <w:color w:val="333333"/>
          <w:kern w:val="0"/>
          <w:sz w:val="24"/>
          <w:szCs w:val="24"/>
        </w:rPr>
        <w:t>当事人：蒋华伟，女，1969年3月出生，住址：浙江省诸暨市店口镇。</w:t>
      </w:r>
    </w:p>
    <w:p w14:paraId="7980C3FC"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朱琼，女，1982年3月出生，住址：浙江省杭州市下城区。</w:t>
      </w:r>
    </w:p>
    <w:p w14:paraId="5BEBA157"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依据2005年修订的《中华人民共和国证券法》（以下简称2005年《证券法》）有关规定，我局对蒋华伟、朱琼内幕交易</w:t>
      </w:r>
      <w:proofErr w:type="gramStart"/>
      <w:r w:rsidRPr="000E7439">
        <w:rPr>
          <w:rFonts w:ascii="宋体" w:eastAsia="宋体" w:hAnsi="宋体" w:cs="宋体" w:hint="eastAsia"/>
          <w:color w:val="333333"/>
          <w:kern w:val="0"/>
          <w:sz w:val="24"/>
          <w:szCs w:val="24"/>
        </w:rPr>
        <w:t>浙江盾安人工环境</w:t>
      </w:r>
      <w:proofErr w:type="gramEnd"/>
      <w:r w:rsidRPr="000E7439">
        <w:rPr>
          <w:rFonts w:ascii="宋体" w:eastAsia="宋体" w:hAnsi="宋体" w:cs="宋体" w:hint="eastAsia"/>
          <w:color w:val="333333"/>
          <w:kern w:val="0"/>
          <w:sz w:val="24"/>
          <w:szCs w:val="24"/>
        </w:rPr>
        <w:t>股份有限公司（以下</w:t>
      </w:r>
      <w:proofErr w:type="gramStart"/>
      <w:r w:rsidRPr="000E7439">
        <w:rPr>
          <w:rFonts w:ascii="宋体" w:eastAsia="宋体" w:hAnsi="宋体" w:cs="宋体" w:hint="eastAsia"/>
          <w:color w:val="333333"/>
          <w:kern w:val="0"/>
          <w:sz w:val="24"/>
          <w:szCs w:val="24"/>
        </w:rPr>
        <w:t>简称盾安环境</w:t>
      </w:r>
      <w:proofErr w:type="gramEnd"/>
      <w:r w:rsidRPr="000E7439">
        <w:rPr>
          <w:rFonts w:ascii="宋体" w:eastAsia="宋体" w:hAnsi="宋体" w:cs="宋体" w:hint="eastAsia"/>
          <w:color w:val="333333"/>
          <w:kern w:val="0"/>
          <w:sz w:val="24"/>
          <w:szCs w:val="24"/>
        </w:rPr>
        <w:t>）股票、安徽江南化工股份有限公司（以下简称江南化工）股票案进行了立案调查、审理，并依法向当事人告知了</w:t>
      </w:r>
      <w:proofErr w:type="gramStart"/>
      <w:r w:rsidRPr="000E7439">
        <w:rPr>
          <w:rFonts w:ascii="宋体" w:eastAsia="宋体" w:hAnsi="宋体" w:cs="宋体" w:hint="eastAsia"/>
          <w:color w:val="333333"/>
          <w:kern w:val="0"/>
          <w:sz w:val="24"/>
          <w:szCs w:val="24"/>
        </w:rPr>
        <w:t>作出</w:t>
      </w:r>
      <w:proofErr w:type="gramEnd"/>
      <w:r w:rsidRPr="000E7439">
        <w:rPr>
          <w:rFonts w:ascii="宋体" w:eastAsia="宋体" w:hAnsi="宋体" w:cs="宋体" w:hint="eastAsia"/>
          <w:color w:val="333333"/>
          <w:kern w:val="0"/>
          <w:sz w:val="24"/>
          <w:szCs w:val="24"/>
        </w:rPr>
        <w:t>行政处罚的事实、理由、依据及当事人依法享有的权利。应当事人要求，我局依法举行了两次听证，并听取了蒋华伟、朱琼及其代理人的陈述和申辩。本案现已调查、审理终结。</w:t>
      </w:r>
    </w:p>
    <w:p w14:paraId="79997E1D"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经查明，蒋华伟、朱琼存在以下违法事实：</w:t>
      </w:r>
    </w:p>
    <w:p w14:paraId="108813E0"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一、内幕信息的形成和公开过程</w:t>
      </w:r>
    </w:p>
    <w:p w14:paraId="4F6F3D3C"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proofErr w:type="gramStart"/>
      <w:r w:rsidRPr="000E7439">
        <w:rPr>
          <w:rFonts w:ascii="宋体" w:eastAsia="宋体" w:hAnsi="宋体" w:cs="宋体" w:hint="eastAsia"/>
          <w:color w:val="333333"/>
          <w:kern w:val="0"/>
          <w:sz w:val="24"/>
          <w:szCs w:val="24"/>
        </w:rPr>
        <w:t>盾安控股</w:t>
      </w:r>
      <w:proofErr w:type="gramEnd"/>
      <w:r w:rsidRPr="000E7439">
        <w:rPr>
          <w:rFonts w:ascii="宋体" w:eastAsia="宋体" w:hAnsi="宋体" w:cs="宋体" w:hint="eastAsia"/>
          <w:color w:val="333333"/>
          <w:kern w:val="0"/>
          <w:sz w:val="24"/>
          <w:szCs w:val="24"/>
        </w:rPr>
        <w:t>集团有限公司（以下</w:t>
      </w:r>
      <w:proofErr w:type="gramStart"/>
      <w:r w:rsidRPr="000E7439">
        <w:rPr>
          <w:rFonts w:ascii="宋体" w:eastAsia="宋体" w:hAnsi="宋体" w:cs="宋体" w:hint="eastAsia"/>
          <w:color w:val="333333"/>
          <w:kern w:val="0"/>
          <w:sz w:val="24"/>
          <w:szCs w:val="24"/>
        </w:rPr>
        <w:t>简称盾安集团</w:t>
      </w:r>
      <w:proofErr w:type="gramEnd"/>
      <w:r w:rsidRPr="000E7439">
        <w:rPr>
          <w:rFonts w:ascii="宋体" w:eastAsia="宋体" w:hAnsi="宋体" w:cs="宋体" w:hint="eastAsia"/>
          <w:color w:val="333333"/>
          <w:kern w:val="0"/>
          <w:sz w:val="24"/>
          <w:szCs w:val="24"/>
        </w:rPr>
        <w:t>）为上市公司江南化工控股股东，并通过直接和间接持股，合计持有上市公司</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30%以上股份。</w:t>
      </w: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法定代表人姚某义系江南化工、</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实际控制人。</w:t>
      </w:r>
    </w:p>
    <w:p w14:paraId="798CFDDC"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为偿还2018年5月9日、2018年5月24日累计两笔合计22亿元到期债券，计划于2018年4月20日、2018年4月25日，在银行间债券市场发行两笔额度分别为12亿元、10亿元超短期融资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。其中该笔12亿元超短期融资</w:t>
      </w:r>
      <w:proofErr w:type="gramStart"/>
      <w:r w:rsidRPr="000E7439">
        <w:rPr>
          <w:rFonts w:ascii="宋体" w:eastAsia="宋体" w:hAnsi="宋体" w:cs="宋体" w:hint="eastAsia"/>
          <w:color w:val="333333"/>
          <w:kern w:val="0"/>
          <w:sz w:val="24"/>
          <w:szCs w:val="24"/>
        </w:rPr>
        <w:t>券对盾安集团</w:t>
      </w:r>
      <w:proofErr w:type="gramEnd"/>
      <w:r w:rsidRPr="000E7439">
        <w:rPr>
          <w:rFonts w:ascii="宋体" w:eastAsia="宋体" w:hAnsi="宋体" w:cs="宋体" w:hint="eastAsia"/>
          <w:color w:val="333333"/>
          <w:kern w:val="0"/>
          <w:sz w:val="24"/>
          <w:szCs w:val="24"/>
        </w:rPr>
        <w:t>影响重大，如果发行失败将</w:t>
      </w:r>
      <w:proofErr w:type="gramStart"/>
      <w:r w:rsidRPr="000E7439">
        <w:rPr>
          <w:rFonts w:ascii="宋体" w:eastAsia="宋体" w:hAnsi="宋体" w:cs="宋体" w:hint="eastAsia"/>
          <w:color w:val="333333"/>
          <w:kern w:val="0"/>
          <w:sz w:val="24"/>
          <w:szCs w:val="24"/>
        </w:rPr>
        <w:t>引发盾安集团</w:t>
      </w:r>
      <w:proofErr w:type="gramEnd"/>
      <w:r w:rsidRPr="000E7439">
        <w:rPr>
          <w:rFonts w:ascii="宋体" w:eastAsia="宋体" w:hAnsi="宋体" w:cs="宋体" w:hint="eastAsia"/>
          <w:color w:val="333333"/>
          <w:kern w:val="0"/>
          <w:sz w:val="24"/>
          <w:szCs w:val="24"/>
        </w:rPr>
        <w:t>债务危机，因此在该笔超短期融资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发行前</w:t>
      </w:r>
      <w:proofErr w:type="gramStart"/>
      <w:r w:rsidRPr="000E7439">
        <w:rPr>
          <w:rFonts w:ascii="宋体" w:eastAsia="宋体" w:hAnsi="宋体" w:cs="宋体" w:hint="eastAsia"/>
          <w:color w:val="333333"/>
          <w:kern w:val="0"/>
          <w:sz w:val="24"/>
          <w:szCs w:val="24"/>
        </w:rPr>
        <w:t>一个月盾安集团</w:t>
      </w:r>
      <w:proofErr w:type="gramEnd"/>
      <w:r w:rsidRPr="000E7439">
        <w:rPr>
          <w:rFonts w:ascii="宋体" w:eastAsia="宋体" w:hAnsi="宋体" w:cs="宋体" w:hint="eastAsia"/>
          <w:color w:val="333333"/>
          <w:kern w:val="0"/>
          <w:sz w:val="24"/>
          <w:szCs w:val="24"/>
        </w:rPr>
        <w:t>就和相关银行进行了事先沟通，请求尽量帮忙寻找投资者。按照相关发行程序及方案，12亿超短期融资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应于4月20日9时00分至4月23日14时00分期间完成申购，并应于2018年4月24日11时00分前完成募集，但截至2018年4月24日11时00分，</w:t>
      </w: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未能完成募集，该笔超短期融资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发行失败</w:t>
      </w:r>
      <w:proofErr w:type="gramStart"/>
      <w:r w:rsidRPr="000E7439">
        <w:rPr>
          <w:rFonts w:ascii="宋体" w:eastAsia="宋体" w:hAnsi="宋体" w:cs="宋体" w:hint="eastAsia"/>
          <w:color w:val="333333"/>
          <w:kern w:val="0"/>
          <w:sz w:val="24"/>
          <w:szCs w:val="24"/>
        </w:rPr>
        <w:t>导致盾安集团</w:t>
      </w:r>
      <w:proofErr w:type="gramEnd"/>
      <w:r w:rsidRPr="000E7439">
        <w:rPr>
          <w:rFonts w:ascii="宋体" w:eastAsia="宋体" w:hAnsi="宋体" w:cs="宋体" w:hint="eastAsia"/>
          <w:color w:val="333333"/>
          <w:kern w:val="0"/>
          <w:sz w:val="24"/>
          <w:szCs w:val="24"/>
        </w:rPr>
        <w:t>出现债务危机。</w:t>
      </w:r>
    </w:p>
    <w:p w14:paraId="30F3E3AC"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资金部部长周某负责集团资金筹措、调度和管理工作，一直密切关注上述资金募集情况，2018年4月24日11时左右，其得知上述超短期融资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发行失败后，立即</w:t>
      </w:r>
      <w:proofErr w:type="gramStart"/>
      <w:r w:rsidRPr="000E7439">
        <w:rPr>
          <w:rFonts w:ascii="宋体" w:eastAsia="宋体" w:hAnsi="宋体" w:cs="宋体" w:hint="eastAsia"/>
          <w:color w:val="333333"/>
          <w:kern w:val="0"/>
          <w:sz w:val="24"/>
          <w:szCs w:val="24"/>
        </w:rPr>
        <w:t>向盾安集团管理层喻某</w:t>
      </w:r>
      <w:proofErr w:type="gramEnd"/>
      <w:r w:rsidRPr="000E7439">
        <w:rPr>
          <w:rFonts w:ascii="宋体" w:eastAsia="宋体" w:hAnsi="宋体" w:cs="宋体" w:hint="eastAsia"/>
          <w:color w:val="333333"/>
          <w:kern w:val="0"/>
          <w:sz w:val="24"/>
          <w:szCs w:val="24"/>
        </w:rPr>
        <w:t>、姚某义汇报了相关情况。经姚某义同意后，资金部资金经理赵某于2018年4月24日13时36分向该笔超短期融资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主承销商兴业银行</w:t>
      </w:r>
      <w:proofErr w:type="gramStart"/>
      <w:r w:rsidRPr="000E7439">
        <w:rPr>
          <w:rFonts w:ascii="宋体" w:eastAsia="宋体" w:hAnsi="宋体" w:cs="宋体" w:hint="eastAsia"/>
          <w:color w:val="333333"/>
          <w:kern w:val="0"/>
          <w:sz w:val="24"/>
          <w:szCs w:val="24"/>
        </w:rPr>
        <w:t>工作人员微信发送</w:t>
      </w:r>
      <w:proofErr w:type="gramEnd"/>
      <w:r w:rsidRPr="000E7439">
        <w:rPr>
          <w:rFonts w:ascii="宋体" w:eastAsia="宋体" w:hAnsi="宋体" w:cs="宋体" w:hint="eastAsia"/>
          <w:color w:val="333333"/>
          <w:kern w:val="0"/>
          <w:sz w:val="24"/>
          <w:szCs w:val="24"/>
        </w:rPr>
        <w:t>了盖章后的《盾安控股集团有限公司2018年第三季度超短期融资券取消发行的公告》。</w:t>
      </w:r>
    </w:p>
    <w:p w14:paraId="177215FA"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2018年4月24日晚，姚某义</w:t>
      </w:r>
      <w:proofErr w:type="gramStart"/>
      <w:r w:rsidRPr="000E7439">
        <w:rPr>
          <w:rFonts w:ascii="宋体" w:eastAsia="宋体" w:hAnsi="宋体" w:cs="宋体" w:hint="eastAsia"/>
          <w:color w:val="333333"/>
          <w:kern w:val="0"/>
          <w:sz w:val="24"/>
          <w:szCs w:val="24"/>
        </w:rPr>
        <w:t>召集盾安集团管理层喻某</w:t>
      </w:r>
      <w:proofErr w:type="gramEnd"/>
      <w:r w:rsidRPr="000E7439">
        <w:rPr>
          <w:rFonts w:ascii="宋体" w:eastAsia="宋体" w:hAnsi="宋体" w:cs="宋体" w:hint="eastAsia"/>
          <w:color w:val="333333"/>
          <w:kern w:val="0"/>
          <w:sz w:val="24"/>
          <w:szCs w:val="24"/>
        </w:rPr>
        <w:t>、王某等人开会研究</w:t>
      </w:r>
      <w:proofErr w:type="gramStart"/>
      <w:r w:rsidRPr="000E7439">
        <w:rPr>
          <w:rFonts w:ascii="宋体" w:eastAsia="宋体" w:hAnsi="宋体" w:cs="宋体" w:hint="eastAsia"/>
          <w:color w:val="333333"/>
          <w:kern w:val="0"/>
          <w:sz w:val="24"/>
          <w:szCs w:val="24"/>
        </w:rPr>
        <w:t>应对盾安集团</w:t>
      </w:r>
      <w:proofErr w:type="gramEnd"/>
      <w:r w:rsidRPr="000E7439">
        <w:rPr>
          <w:rFonts w:ascii="宋体" w:eastAsia="宋体" w:hAnsi="宋体" w:cs="宋体" w:hint="eastAsia"/>
          <w:color w:val="333333"/>
          <w:kern w:val="0"/>
          <w:sz w:val="24"/>
          <w:szCs w:val="24"/>
        </w:rPr>
        <w:t>债务危机，会议决定向浙江省人民政府</w:t>
      </w:r>
      <w:proofErr w:type="gramStart"/>
      <w:r w:rsidRPr="000E7439">
        <w:rPr>
          <w:rFonts w:ascii="宋体" w:eastAsia="宋体" w:hAnsi="宋体" w:cs="宋体" w:hint="eastAsia"/>
          <w:color w:val="333333"/>
          <w:kern w:val="0"/>
          <w:sz w:val="24"/>
          <w:szCs w:val="24"/>
        </w:rPr>
        <w:t>报告盾安集团</w:t>
      </w:r>
      <w:proofErr w:type="gramEnd"/>
      <w:r w:rsidRPr="000E7439">
        <w:rPr>
          <w:rFonts w:ascii="宋体" w:eastAsia="宋体" w:hAnsi="宋体" w:cs="宋体" w:hint="eastAsia"/>
          <w:color w:val="333333"/>
          <w:kern w:val="0"/>
          <w:sz w:val="24"/>
          <w:szCs w:val="24"/>
        </w:rPr>
        <w:t>债务危机情况。</w:t>
      </w:r>
      <w:proofErr w:type="gramStart"/>
      <w:r w:rsidRPr="000E7439">
        <w:rPr>
          <w:rFonts w:ascii="宋体" w:eastAsia="宋体" w:hAnsi="宋体" w:cs="宋体" w:hint="eastAsia"/>
          <w:color w:val="333333"/>
          <w:kern w:val="0"/>
          <w:sz w:val="24"/>
          <w:szCs w:val="24"/>
        </w:rPr>
        <w:t>时任盾安集团</w:t>
      </w:r>
      <w:proofErr w:type="gramEnd"/>
      <w:r w:rsidRPr="000E7439">
        <w:rPr>
          <w:rFonts w:ascii="宋体" w:eastAsia="宋体" w:hAnsi="宋体" w:cs="宋体" w:hint="eastAsia"/>
          <w:color w:val="333333"/>
          <w:kern w:val="0"/>
          <w:sz w:val="24"/>
          <w:szCs w:val="24"/>
        </w:rPr>
        <w:t>下属浙江如山汇金资本管理有限公司（以下简称如山资本）投资经理蒋华伟（姚某义妻弟媳）参加了本次会议。会后喻某草拟了《关于盾安集团债务危机情况的紧急报告》，并于2018年4月24日22时57分、2018年4月25日7时46分通过电子邮件先后两次发给姚某义、蒋华伟等人征求意见。</w:t>
      </w:r>
    </w:p>
    <w:p w14:paraId="0EC1DF28"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2018年4月28日，姚某义、喻某前往浙江省人民政府向相关领导汇报</w:t>
      </w:r>
      <w:proofErr w:type="gramStart"/>
      <w:r w:rsidRPr="000E7439">
        <w:rPr>
          <w:rFonts w:ascii="宋体" w:eastAsia="宋体" w:hAnsi="宋体" w:cs="宋体" w:hint="eastAsia"/>
          <w:color w:val="333333"/>
          <w:kern w:val="0"/>
          <w:sz w:val="24"/>
          <w:szCs w:val="24"/>
        </w:rPr>
        <w:t>了盾安集团</w:t>
      </w:r>
      <w:proofErr w:type="gramEnd"/>
      <w:r w:rsidRPr="000E7439">
        <w:rPr>
          <w:rFonts w:ascii="宋体" w:eastAsia="宋体" w:hAnsi="宋体" w:cs="宋体" w:hint="eastAsia"/>
          <w:color w:val="333333"/>
          <w:kern w:val="0"/>
          <w:sz w:val="24"/>
          <w:szCs w:val="24"/>
        </w:rPr>
        <w:t>债务危机情况，请求协调解决。</w:t>
      </w:r>
    </w:p>
    <w:p w14:paraId="3E9AB203"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lastRenderedPageBreak/>
        <w:t>2018年5月2日，</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、江南化工同时发布公告，</w:t>
      </w:r>
      <w:proofErr w:type="gramStart"/>
      <w:r w:rsidRPr="000E7439">
        <w:rPr>
          <w:rFonts w:ascii="宋体" w:eastAsia="宋体" w:hAnsi="宋体" w:cs="宋体" w:hint="eastAsia"/>
          <w:color w:val="333333"/>
          <w:kern w:val="0"/>
          <w:sz w:val="24"/>
          <w:szCs w:val="24"/>
        </w:rPr>
        <w:t>称盾安集团</w:t>
      </w:r>
      <w:proofErr w:type="gramEnd"/>
      <w:r w:rsidRPr="000E7439">
        <w:rPr>
          <w:rFonts w:ascii="宋体" w:eastAsia="宋体" w:hAnsi="宋体" w:cs="宋体" w:hint="eastAsia"/>
          <w:color w:val="333333"/>
          <w:kern w:val="0"/>
          <w:sz w:val="24"/>
          <w:szCs w:val="24"/>
        </w:rPr>
        <w:t>存在重大不确定事项，且该事项对公司有重大影响，股票即日起停牌。</w:t>
      </w:r>
    </w:p>
    <w:p w14:paraId="4FABE492"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2018年5月3日、5月4日，江南化工、</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分别发布了《关于对深圳证券交易所关注函的回复公告》，</w:t>
      </w:r>
      <w:proofErr w:type="gramStart"/>
      <w:r w:rsidRPr="000E7439">
        <w:rPr>
          <w:rFonts w:ascii="宋体" w:eastAsia="宋体" w:hAnsi="宋体" w:cs="宋体" w:hint="eastAsia"/>
          <w:color w:val="333333"/>
          <w:kern w:val="0"/>
          <w:sz w:val="24"/>
          <w:szCs w:val="24"/>
        </w:rPr>
        <w:t>称盾安集团</w:t>
      </w:r>
      <w:proofErr w:type="gramEnd"/>
      <w:r w:rsidRPr="000E7439">
        <w:rPr>
          <w:rFonts w:ascii="宋体" w:eastAsia="宋体" w:hAnsi="宋体" w:cs="宋体" w:hint="eastAsia"/>
          <w:color w:val="333333"/>
          <w:kern w:val="0"/>
          <w:sz w:val="24"/>
          <w:szCs w:val="24"/>
        </w:rPr>
        <w:t>若无法妥善解决债务清偿问题，存在公司控制权变更的可能。</w:t>
      </w:r>
    </w:p>
    <w:p w14:paraId="106C99D2"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债务危机事项，在依法公开前，属于2005年《证券法》第七十五条第二款第八项“国务院证券监督管理机构认定的对证券交易价格有显著影响的其他重要信息”规定的内幕信息。该内幕信息形成时间不晚于2018年4月24日11时，公开于2018年5月3日。内幕信息敏感期为2018年4月24日11时至2018年5月3日。姚某义、周某、蒋华伟为内幕信息知情人，其中周某知悉时间不晚于2018年4月24日12时，姚某义知悉时间不晚于2018年4月24日14时，蒋华伟知悉时间不晚于2018年4月24日23时。</w:t>
      </w:r>
    </w:p>
    <w:p w14:paraId="3155CC88"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二、蒋华伟利用“周某军”证券账户内幕交易“盾安环境”情况</w:t>
      </w:r>
    </w:p>
    <w:p w14:paraId="43943C92"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周某军与蒋华伟系夫妻关系。“周某军”证券账户开立于2004年6月1日，2007年后主要交由蒋华伟操作。蒋华伟于2018年4月25日通过本人电脑操作“周某军”证券账户，卖出“盾安环境”1,250,000股，成交金额8,158,811.24元，避免损失3,366,254.27 元，卖出“盾安环境”所得资金转出至蒋华伟名下银行账户。</w:t>
      </w:r>
    </w:p>
    <w:p w14:paraId="28E48B9A"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三、朱琼利用“项某荣”“裘某锋”证券账户内幕交易“盾安环境”情况</w:t>
      </w:r>
    </w:p>
    <w:p w14:paraId="62CC4F43" w14:textId="77777777" w:rsidR="000E7439" w:rsidRPr="000E7439" w:rsidRDefault="000E7439" w:rsidP="000E7439">
      <w:pPr>
        <w:widowControl/>
        <w:shd w:val="clear" w:color="auto" w:fill="FFFFFF"/>
        <w:spacing w:line="315" w:lineRule="atLeast"/>
        <w:ind w:firstLine="388"/>
        <w:jc w:val="left"/>
        <w:rPr>
          <w:rFonts w:ascii="宋体" w:eastAsia="宋体" w:hAnsi="宋体" w:cs="宋体" w:hint="eastAsia"/>
          <w:color w:val="333333"/>
          <w:kern w:val="0"/>
          <w:szCs w:val="21"/>
        </w:rPr>
      </w:pPr>
      <w:r w:rsidRPr="000E7439">
        <w:rPr>
          <w:rFonts w:ascii="宋体" w:eastAsia="宋体" w:hAnsi="宋体" w:cs="宋体" w:hint="eastAsia"/>
          <w:b/>
          <w:bCs/>
          <w:color w:val="333333"/>
          <w:kern w:val="0"/>
          <w:sz w:val="24"/>
          <w:szCs w:val="24"/>
        </w:rPr>
        <w:t>（一）内幕信息敏感期内朱琼与内幕信息知情人存在联络接触</w:t>
      </w:r>
    </w:p>
    <w:p w14:paraId="53099FA5" w14:textId="77777777" w:rsidR="000E7439" w:rsidRPr="000E7439" w:rsidRDefault="000E7439" w:rsidP="000E7439">
      <w:pPr>
        <w:widowControl/>
        <w:shd w:val="clear" w:color="auto" w:fill="FFFFFF"/>
        <w:spacing w:line="315" w:lineRule="atLeast"/>
        <w:ind w:firstLine="386"/>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朱琼时任如山资本副总经理，2018年4月24日13时46分45秒，朱琼与周某存在通话联络，通话时长57秒。同日13时50分01秒，朱琼</w:t>
      </w:r>
      <w:proofErr w:type="gramStart"/>
      <w:r w:rsidRPr="000E7439">
        <w:rPr>
          <w:rFonts w:ascii="宋体" w:eastAsia="宋体" w:hAnsi="宋体" w:cs="宋体" w:hint="eastAsia"/>
          <w:color w:val="333333"/>
          <w:kern w:val="0"/>
          <w:sz w:val="24"/>
          <w:szCs w:val="24"/>
        </w:rPr>
        <w:t>拨打周</w:t>
      </w:r>
      <w:proofErr w:type="gramEnd"/>
      <w:r w:rsidRPr="000E7439">
        <w:rPr>
          <w:rFonts w:ascii="宋体" w:eastAsia="宋体" w:hAnsi="宋体" w:cs="宋体" w:hint="eastAsia"/>
          <w:color w:val="333333"/>
          <w:kern w:val="0"/>
          <w:sz w:val="24"/>
          <w:szCs w:val="24"/>
        </w:rPr>
        <w:t>某电话，通话时长16秒。朱琼与姚某义</w:t>
      </w:r>
      <w:proofErr w:type="gramStart"/>
      <w:r w:rsidRPr="000E7439">
        <w:rPr>
          <w:rFonts w:ascii="宋体" w:eastAsia="宋体" w:hAnsi="宋体" w:cs="宋体" w:hint="eastAsia"/>
          <w:color w:val="333333"/>
          <w:kern w:val="0"/>
          <w:sz w:val="24"/>
          <w:szCs w:val="24"/>
        </w:rPr>
        <w:t>同在盾安大厦</w:t>
      </w:r>
      <w:proofErr w:type="gramEnd"/>
      <w:r w:rsidRPr="000E7439">
        <w:rPr>
          <w:rFonts w:ascii="宋体" w:eastAsia="宋体" w:hAnsi="宋体" w:cs="宋体" w:hint="eastAsia"/>
          <w:color w:val="333333"/>
          <w:kern w:val="0"/>
          <w:sz w:val="24"/>
          <w:szCs w:val="24"/>
        </w:rPr>
        <w:t>21楼办公，且直接向姚某义汇报工作，二人均承认在2018年4月23日至25日期间存在接触。朱琼与蒋华伟系同事，在同一办公室办公，2018年4月24日至25日，公司考勤记录显示二人均正常上班。</w:t>
      </w:r>
    </w:p>
    <w:p w14:paraId="333E62C5" w14:textId="77777777" w:rsidR="000E7439" w:rsidRPr="000E7439" w:rsidRDefault="000E7439" w:rsidP="000E7439">
      <w:pPr>
        <w:widowControl/>
        <w:shd w:val="clear" w:color="auto" w:fill="FFFFFF"/>
        <w:spacing w:line="315" w:lineRule="atLeast"/>
        <w:ind w:firstLine="388"/>
        <w:jc w:val="left"/>
        <w:rPr>
          <w:rFonts w:ascii="宋体" w:eastAsia="宋体" w:hAnsi="宋体" w:cs="宋体" w:hint="eastAsia"/>
          <w:color w:val="333333"/>
          <w:kern w:val="0"/>
          <w:szCs w:val="21"/>
        </w:rPr>
      </w:pPr>
      <w:r w:rsidRPr="000E7439">
        <w:rPr>
          <w:rFonts w:ascii="宋体" w:eastAsia="宋体" w:hAnsi="宋体" w:cs="宋体" w:hint="eastAsia"/>
          <w:b/>
          <w:bCs/>
          <w:color w:val="333333"/>
          <w:kern w:val="0"/>
          <w:sz w:val="24"/>
          <w:szCs w:val="24"/>
        </w:rPr>
        <w:t>（二）“项某荣”“裘某锋”证券账户交易“盾安环境”情况</w:t>
      </w:r>
    </w:p>
    <w:p w14:paraId="7B5FF3A2"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proofErr w:type="gramStart"/>
      <w:r w:rsidRPr="000E7439">
        <w:rPr>
          <w:rFonts w:ascii="宋体" w:eastAsia="宋体" w:hAnsi="宋体" w:cs="宋体" w:hint="eastAsia"/>
          <w:color w:val="333333"/>
          <w:kern w:val="0"/>
          <w:sz w:val="24"/>
          <w:szCs w:val="24"/>
        </w:rPr>
        <w:t>项某荣</w:t>
      </w:r>
      <w:proofErr w:type="gramEnd"/>
      <w:r w:rsidRPr="000E7439">
        <w:rPr>
          <w:rFonts w:ascii="宋体" w:eastAsia="宋体" w:hAnsi="宋体" w:cs="宋体" w:hint="eastAsia"/>
          <w:color w:val="333333"/>
          <w:kern w:val="0"/>
          <w:sz w:val="24"/>
          <w:szCs w:val="24"/>
        </w:rPr>
        <w:t>系姚某义朋友弟弟，</w:t>
      </w:r>
      <w:proofErr w:type="gramStart"/>
      <w:r w:rsidRPr="000E7439">
        <w:rPr>
          <w:rFonts w:ascii="宋体" w:eastAsia="宋体" w:hAnsi="宋体" w:cs="宋体" w:hint="eastAsia"/>
          <w:color w:val="333333"/>
          <w:kern w:val="0"/>
          <w:sz w:val="24"/>
          <w:szCs w:val="24"/>
        </w:rPr>
        <w:t>裘某锋系</w:t>
      </w:r>
      <w:proofErr w:type="gramEnd"/>
      <w:r w:rsidRPr="000E7439">
        <w:rPr>
          <w:rFonts w:ascii="宋体" w:eastAsia="宋体" w:hAnsi="宋体" w:cs="宋体" w:hint="eastAsia"/>
          <w:color w:val="333333"/>
          <w:kern w:val="0"/>
          <w:sz w:val="24"/>
          <w:szCs w:val="24"/>
        </w:rPr>
        <w:t>姚某义朋友。“项某荣”“裘某锋”证券账户分别于2000年6月8日、2014年8月27日开立，账户资金</w:t>
      </w:r>
      <w:proofErr w:type="gramStart"/>
      <w:r w:rsidRPr="000E7439">
        <w:rPr>
          <w:rFonts w:ascii="宋体" w:eastAsia="宋体" w:hAnsi="宋体" w:cs="宋体" w:hint="eastAsia"/>
          <w:color w:val="333333"/>
          <w:kern w:val="0"/>
          <w:sz w:val="24"/>
          <w:szCs w:val="24"/>
        </w:rPr>
        <w:t>系项某荣</w:t>
      </w:r>
      <w:proofErr w:type="gramEnd"/>
      <w:r w:rsidRPr="000E7439">
        <w:rPr>
          <w:rFonts w:ascii="宋体" w:eastAsia="宋体" w:hAnsi="宋体" w:cs="宋体" w:hint="eastAsia"/>
          <w:color w:val="333333"/>
          <w:kern w:val="0"/>
          <w:sz w:val="24"/>
          <w:szCs w:val="24"/>
        </w:rPr>
        <w:t>、裘某锋两人自有资金。二人口头委托姚某义代管账户，但未约定收益分成，姚某义指派朱琼管理两账户。</w:t>
      </w:r>
    </w:p>
    <w:p w14:paraId="2B12866A"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2018年4月25日10时06分至10时23分，朱琼使用本人电脑操作“项某荣”证券账户，集中、清仓、亏损卖出“盾安环境”995,000股，成交金额6,514,944.00元,避免损失2,699,226.63元；2018年4月24日14时13分至4月25日9时37分，朱琼操作“裘某锋”证券账户集中、清仓、亏损卖出“盾安环境”737,400股，成交金额4,855,599.00元,避免损失2,028,716.24元。两账户卖出意志坚决，交易行为明显异常，交易活动与内幕信息高度吻合。</w:t>
      </w:r>
    </w:p>
    <w:p w14:paraId="00BB4E07"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四、蒋华伟、朱琼共同利用“宣某飞”证券账户内幕交易“江南化工”情况</w:t>
      </w:r>
    </w:p>
    <w:p w14:paraId="2CAD1AE4"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proofErr w:type="gramStart"/>
      <w:r w:rsidRPr="000E7439">
        <w:rPr>
          <w:rFonts w:ascii="宋体" w:eastAsia="宋体" w:hAnsi="宋体" w:cs="宋体" w:hint="eastAsia"/>
          <w:color w:val="333333"/>
          <w:kern w:val="0"/>
          <w:sz w:val="24"/>
          <w:szCs w:val="24"/>
        </w:rPr>
        <w:t>宣某飞系</w:t>
      </w:r>
      <w:proofErr w:type="gramEnd"/>
      <w:r w:rsidRPr="000E7439">
        <w:rPr>
          <w:rFonts w:ascii="宋体" w:eastAsia="宋体" w:hAnsi="宋体" w:cs="宋体" w:hint="eastAsia"/>
          <w:color w:val="333333"/>
          <w:kern w:val="0"/>
          <w:sz w:val="24"/>
          <w:szCs w:val="24"/>
        </w:rPr>
        <w:t>蒋华伟兄嫂。“宣某飞”证券账户于2012年1月17日开立，证券公司预留电话为蒋华伟电话，资金来源于蒋华伟，由蒋华伟实际控制，并由朱琼管理操作。2018年4月26日10时25分至11时26分，朱琼操作“宣某飞”证券账户，集中、清仓、亏损卖出“江南化工”2,149,877股，成交金额</w:t>
      </w:r>
      <w:r w:rsidRPr="000E7439">
        <w:rPr>
          <w:rFonts w:ascii="宋体" w:eastAsia="宋体" w:hAnsi="宋体" w:cs="宋体" w:hint="eastAsia"/>
          <w:color w:val="333333"/>
          <w:kern w:val="0"/>
          <w:sz w:val="24"/>
          <w:szCs w:val="24"/>
        </w:rPr>
        <w:lastRenderedPageBreak/>
        <w:t>11,917,042.50元，避免损失688,628.47元。蒋华伟和朱琼系同事关系，二人在同一办公室办公，交流便捷，其中，蒋华伟为内幕信息知情人，朱琼在内幕信息敏感期内与蒋华伟、周某存在联络接触。在“宣某飞”证券账户卖出“江南化工”前，蒋华伟操作“周某军”证券账户进行了内幕交易，朱琼操作</w:t>
      </w:r>
      <w:r w:rsidRPr="000E7439">
        <w:rPr>
          <w:rFonts w:ascii="宋体" w:eastAsia="宋体" w:hAnsi="宋体" w:cs="宋体" w:hint="eastAsia"/>
          <w:b/>
          <w:bCs/>
          <w:color w:val="333333"/>
          <w:kern w:val="0"/>
          <w:sz w:val="24"/>
          <w:szCs w:val="24"/>
        </w:rPr>
        <w:t>“</w:t>
      </w:r>
      <w:r w:rsidRPr="000E7439">
        <w:rPr>
          <w:rFonts w:ascii="宋体" w:eastAsia="宋体" w:hAnsi="宋体" w:cs="宋体" w:hint="eastAsia"/>
          <w:color w:val="333333"/>
          <w:kern w:val="0"/>
          <w:sz w:val="24"/>
          <w:szCs w:val="24"/>
        </w:rPr>
        <w:t>项某荣</w:t>
      </w:r>
      <w:r w:rsidRPr="000E7439">
        <w:rPr>
          <w:rFonts w:ascii="宋体" w:eastAsia="宋体" w:hAnsi="宋体" w:cs="宋体" w:hint="eastAsia"/>
          <w:b/>
          <w:bCs/>
          <w:color w:val="333333"/>
          <w:kern w:val="0"/>
          <w:sz w:val="24"/>
          <w:szCs w:val="24"/>
        </w:rPr>
        <w:t>”“</w:t>
      </w:r>
      <w:r w:rsidRPr="000E7439">
        <w:rPr>
          <w:rFonts w:ascii="宋体" w:eastAsia="宋体" w:hAnsi="宋体" w:cs="宋体" w:hint="eastAsia"/>
          <w:color w:val="333333"/>
          <w:kern w:val="0"/>
          <w:sz w:val="24"/>
          <w:szCs w:val="24"/>
        </w:rPr>
        <w:t>裘某锋</w:t>
      </w:r>
      <w:r w:rsidRPr="000E7439">
        <w:rPr>
          <w:rFonts w:ascii="宋体" w:eastAsia="宋体" w:hAnsi="宋体" w:cs="宋体" w:hint="eastAsia"/>
          <w:b/>
          <w:bCs/>
          <w:color w:val="333333"/>
          <w:kern w:val="0"/>
          <w:sz w:val="24"/>
          <w:szCs w:val="24"/>
        </w:rPr>
        <w:t>”</w:t>
      </w:r>
      <w:r w:rsidRPr="000E7439">
        <w:rPr>
          <w:rFonts w:ascii="宋体" w:eastAsia="宋体" w:hAnsi="宋体" w:cs="宋体" w:hint="eastAsia"/>
          <w:color w:val="333333"/>
          <w:kern w:val="0"/>
          <w:sz w:val="24"/>
          <w:szCs w:val="24"/>
        </w:rPr>
        <w:t>证券账户进行了内幕交易。根据以上事实，可以认定蒋华伟、朱琼存在共同内幕交易行为。</w:t>
      </w:r>
    </w:p>
    <w:p w14:paraId="07ED6716"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上述事实，有</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及江南化工公告、</w:t>
      </w: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提供的相关材料、相关证券账户资料、证券账户交易流水、银行转账记录以及相关人员询问笔录等证据证明。</w:t>
      </w:r>
    </w:p>
    <w:p w14:paraId="39987632"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我局认为，蒋华伟、朱琼的上述行为违反2005年《证券法》第七十三条、七十六条第一款的规定，构成了2005年《证券法》第二百零二条所述内幕交易的违法行为。</w:t>
      </w:r>
    </w:p>
    <w:p w14:paraId="28FB2B07"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在两次听证过程中，蒋华伟及其代理人提出如下陈述申辩意见：</w:t>
      </w:r>
    </w:p>
    <w:p w14:paraId="46AE7905"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第一，本案的二次告知程序不合法。第一次听证会结束后，我局应根据《中华人民共和国行政处罚法》（以下简称《行政处罚法》）的相关规定</w:t>
      </w:r>
      <w:proofErr w:type="gramStart"/>
      <w:r w:rsidRPr="000E7439">
        <w:rPr>
          <w:rFonts w:ascii="宋体" w:eastAsia="宋体" w:hAnsi="宋体" w:cs="宋体" w:hint="eastAsia"/>
          <w:color w:val="333333"/>
          <w:kern w:val="0"/>
          <w:sz w:val="24"/>
          <w:szCs w:val="24"/>
        </w:rPr>
        <w:t>作出</w:t>
      </w:r>
      <w:proofErr w:type="gramEnd"/>
      <w:r w:rsidRPr="000E7439">
        <w:rPr>
          <w:rFonts w:ascii="宋体" w:eastAsia="宋体" w:hAnsi="宋体" w:cs="宋体" w:hint="eastAsia"/>
          <w:color w:val="333333"/>
          <w:kern w:val="0"/>
          <w:sz w:val="24"/>
          <w:szCs w:val="24"/>
        </w:rPr>
        <w:t>决定，而不应二次告知，本案的二次告知程序不合法。</w:t>
      </w:r>
    </w:p>
    <w:p w14:paraId="2E65879D"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第二，债务危机事项不具备“非公开性”。2018年4月24日，</w:t>
      </w: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就已通过上海清算所、中国</w:t>
      </w:r>
      <w:proofErr w:type="gramStart"/>
      <w:r w:rsidRPr="000E7439">
        <w:rPr>
          <w:rFonts w:ascii="宋体" w:eastAsia="宋体" w:hAnsi="宋体" w:cs="宋体" w:hint="eastAsia"/>
          <w:color w:val="333333"/>
          <w:kern w:val="0"/>
          <w:sz w:val="24"/>
          <w:szCs w:val="24"/>
        </w:rPr>
        <w:t>货币网</w:t>
      </w:r>
      <w:proofErr w:type="gramEnd"/>
      <w:r w:rsidRPr="000E7439">
        <w:rPr>
          <w:rFonts w:ascii="宋体" w:eastAsia="宋体" w:hAnsi="宋体" w:cs="宋体" w:hint="eastAsia"/>
          <w:color w:val="333333"/>
          <w:kern w:val="0"/>
          <w:sz w:val="24"/>
          <w:szCs w:val="24"/>
        </w:rPr>
        <w:t>披露了2018年第三期超短期融资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发行失败信息。</w:t>
      </w:r>
      <w:proofErr w:type="gramStart"/>
      <w:r w:rsidRPr="000E7439">
        <w:rPr>
          <w:rFonts w:ascii="宋体" w:eastAsia="宋体" w:hAnsi="宋体" w:cs="宋体" w:hint="eastAsia"/>
          <w:color w:val="333333"/>
          <w:kern w:val="0"/>
          <w:sz w:val="24"/>
          <w:szCs w:val="24"/>
        </w:rPr>
        <w:t>结合盾安集团</w:t>
      </w:r>
      <w:proofErr w:type="gramEnd"/>
      <w:r w:rsidRPr="000E7439">
        <w:rPr>
          <w:rFonts w:ascii="宋体" w:eastAsia="宋体" w:hAnsi="宋体" w:cs="宋体" w:hint="eastAsia"/>
          <w:color w:val="333333"/>
          <w:kern w:val="0"/>
          <w:sz w:val="24"/>
          <w:szCs w:val="24"/>
        </w:rPr>
        <w:t>前期已披露的财务信息，一般投资者可以推断出该次发行失败必然导致债务危机，因此债务危机这一信息在2018年4月24日就已公开，不再满足内幕信息“非公开性”特征。蒋华伟涉案股票交易行为发生于2018年4月24日后，因而不构成内幕交易。</w:t>
      </w:r>
    </w:p>
    <w:p w14:paraId="081060DD"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第三，蒋华伟涉案股票交易行为动机系为女儿买房筹措资金，而</w:t>
      </w:r>
      <w:proofErr w:type="gramStart"/>
      <w:r w:rsidRPr="000E7439">
        <w:rPr>
          <w:rFonts w:ascii="宋体" w:eastAsia="宋体" w:hAnsi="宋体" w:cs="宋体" w:hint="eastAsia"/>
          <w:color w:val="333333"/>
          <w:kern w:val="0"/>
          <w:sz w:val="24"/>
          <w:szCs w:val="24"/>
        </w:rPr>
        <w:t>非利用</w:t>
      </w:r>
      <w:proofErr w:type="gramEnd"/>
      <w:r w:rsidRPr="000E7439">
        <w:rPr>
          <w:rFonts w:ascii="宋体" w:eastAsia="宋体" w:hAnsi="宋体" w:cs="宋体" w:hint="eastAsia"/>
          <w:color w:val="333333"/>
          <w:kern w:val="0"/>
          <w:sz w:val="24"/>
          <w:szCs w:val="24"/>
        </w:rPr>
        <w:t>内幕信息。</w:t>
      </w:r>
    </w:p>
    <w:p w14:paraId="7760B50E"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经复核，我局认为蒋华伟申辩理由不能成立：</w:t>
      </w:r>
    </w:p>
    <w:p w14:paraId="540ED1D2"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第一，两次事先告知并不违反法律规定。根据《行政处罚法》第三十一条规定，“行政机关在</w:t>
      </w:r>
      <w:proofErr w:type="gramStart"/>
      <w:r w:rsidRPr="000E7439">
        <w:rPr>
          <w:rFonts w:ascii="宋体" w:eastAsia="宋体" w:hAnsi="宋体" w:cs="宋体" w:hint="eastAsia"/>
          <w:color w:val="333333"/>
          <w:kern w:val="0"/>
          <w:sz w:val="24"/>
          <w:szCs w:val="24"/>
        </w:rPr>
        <w:t>作出</w:t>
      </w:r>
      <w:proofErr w:type="gramEnd"/>
      <w:r w:rsidRPr="000E7439">
        <w:rPr>
          <w:rFonts w:ascii="宋体" w:eastAsia="宋体" w:hAnsi="宋体" w:cs="宋体" w:hint="eastAsia"/>
          <w:color w:val="333333"/>
          <w:kern w:val="0"/>
          <w:sz w:val="24"/>
          <w:szCs w:val="24"/>
        </w:rPr>
        <w:t>行政处罚决定之前，应当告知当事人</w:t>
      </w:r>
      <w:proofErr w:type="gramStart"/>
      <w:r w:rsidRPr="000E7439">
        <w:rPr>
          <w:rFonts w:ascii="宋体" w:eastAsia="宋体" w:hAnsi="宋体" w:cs="宋体" w:hint="eastAsia"/>
          <w:color w:val="333333"/>
          <w:kern w:val="0"/>
          <w:sz w:val="24"/>
          <w:szCs w:val="24"/>
        </w:rPr>
        <w:t>作出</w:t>
      </w:r>
      <w:proofErr w:type="gramEnd"/>
      <w:r w:rsidRPr="000E7439">
        <w:rPr>
          <w:rFonts w:ascii="宋体" w:eastAsia="宋体" w:hAnsi="宋体" w:cs="宋体" w:hint="eastAsia"/>
          <w:color w:val="333333"/>
          <w:kern w:val="0"/>
          <w:sz w:val="24"/>
          <w:szCs w:val="24"/>
        </w:rPr>
        <w:t>行政处罚决定的事实、理由及依据，并告知当事人依法享有的权利”，但现行法律法规并未对行政处罚事先告知次数进行限制。我局在行政处罚</w:t>
      </w:r>
      <w:proofErr w:type="gramStart"/>
      <w:r w:rsidRPr="000E7439">
        <w:rPr>
          <w:rFonts w:ascii="宋体" w:eastAsia="宋体" w:hAnsi="宋体" w:cs="宋体" w:hint="eastAsia"/>
          <w:color w:val="333333"/>
          <w:kern w:val="0"/>
          <w:sz w:val="24"/>
          <w:szCs w:val="24"/>
        </w:rPr>
        <w:t>作出</w:t>
      </w:r>
      <w:proofErr w:type="gramEnd"/>
      <w:r w:rsidRPr="000E7439">
        <w:rPr>
          <w:rFonts w:ascii="宋体" w:eastAsia="宋体" w:hAnsi="宋体" w:cs="宋体" w:hint="eastAsia"/>
          <w:color w:val="333333"/>
          <w:kern w:val="0"/>
          <w:sz w:val="24"/>
          <w:szCs w:val="24"/>
        </w:rPr>
        <w:t>前，严格依照上述规定，开展了两次事先告知，并公开举行了两场听证，目的在于通过让当事人更多地参与到执法程序中来，更为准确地认定当事人行为性质与责任，更为充分地听取当事人陈述申辩意见，更为全面地保障当事人合法权益，以实现执法的公平与正义。两次事先告知符合行政处罚公正、公开原则，符合程序正义的基本价值，并未违反相关法定程序。</w:t>
      </w:r>
    </w:p>
    <w:p w14:paraId="57944951"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第二，本案内幕信息并</w:t>
      </w:r>
      <w:proofErr w:type="gramStart"/>
      <w:r w:rsidRPr="000E7439">
        <w:rPr>
          <w:rFonts w:ascii="宋体" w:eastAsia="宋体" w:hAnsi="宋体" w:cs="宋体" w:hint="eastAsia"/>
          <w:color w:val="333333"/>
          <w:kern w:val="0"/>
          <w:sz w:val="24"/>
          <w:szCs w:val="24"/>
        </w:rPr>
        <w:t>未因盾安集团</w:t>
      </w:r>
      <w:proofErr w:type="gramEnd"/>
      <w:r w:rsidRPr="000E7439">
        <w:rPr>
          <w:rFonts w:ascii="宋体" w:eastAsia="宋体" w:hAnsi="宋体" w:cs="宋体" w:hint="eastAsia"/>
          <w:color w:val="333333"/>
          <w:kern w:val="0"/>
          <w:sz w:val="24"/>
          <w:szCs w:val="24"/>
        </w:rPr>
        <w:t>披露超短期融资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取消发行公告而公开。其一，本案认定的内幕信息</w:t>
      </w:r>
      <w:proofErr w:type="gramStart"/>
      <w:r w:rsidRPr="000E7439">
        <w:rPr>
          <w:rFonts w:ascii="宋体" w:eastAsia="宋体" w:hAnsi="宋体" w:cs="宋体" w:hint="eastAsia"/>
          <w:color w:val="333333"/>
          <w:kern w:val="0"/>
          <w:sz w:val="24"/>
          <w:szCs w:val="24"/>
        </w:rPr>
        <w:t>为盾安集团</w:t>
      </w:r>
      <w:proofErr w:type="gramEnd"/>
      <w:r w:rsidRPr="000E7439">
        <w:rPr>
          <w:rFonts w:ascii="宋体" w:eastAsia="宋体" w:hAnsi="宋体" w:cs="宋体" w:hint="eastAsia"/>
          <w:color w:val="333333"/>
          <w:kern w:val="0"/>
          <w:sz w:val="24"/>
          <w:szCs w:val="24"/>
        </w:rPr>
        <w:t>债务危机事项，而非单纯</w:t>
      </w:r>
      <w:proofErr w:type="gramStart"/>
      <w:r w:rsidRPr="000E7439">
        <w:rPr>
          <w:rFonts w:ascii="宋体" w:eastAsia="宋体" w:hAnsi="宋体" w:cs="宋体" w:hint="eastAsia"/>
          <w:color w:val="333333"/>
          <w:kern w:val="0"/>
          <w:sz w:val="24"/>
          <w:szCs w:val="24"/>
        </w:rPr>
        <w:t>指盾安集团</w:t>
      </w:r>
      <w:proofErr w:type="gramEnd"/>
      <w:r w:rsidRPr="000E7439">
        <w:rPr>
          <w:rFonts w:ascii="宋体" w:eastAsia="宋体" w:hAnsi="宋体" w:cs="宋体" w:hint="eastAsia"/>
          <w:color w:val="333333"/>
          <w:kern w:val="0"/>
          <w:sz w:val="24"/>
          <w:szCs w:val="24"/>
        </w:rPr>
        <w:t>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取消发行，二者不能等同。超短期融资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取消发行在银行间债券市场并不鲜见，按照公众投资者的一般理解，其与债务危机之间通常并无必然因果关系，例如，</w:t>
      </w:r>
      <w:proofErr w:type="gramStart"/>
      <w:r w:rsidRPr="000E7439">
        <w:rPr>
          <w:rFonts w:ascii="宋体" w:eastAsia="宋体" w:hAnsi="宋体" w:cs="宋体" w:hint="eastAsia"/>
          <w:color w:val="333333"/>
          <w:kern w:val="0"/>
          <w:sz w:val="24"/>
          <w:szCs w:val="24"/>
        </w:rPr>
        <w:t>盾安集团</w:t>
      </w:r>
      <w:proofErr w:type="gramEnd"/>
      <w:r w:rsidRPr="000E7439">
        <w:rPr>
          <w:rFonts w:ascii="宋体" w:eastAsia="宋体" w:hAnsi="宋体" w:cs="宋体" w:hint="eastAsia"/>
          <w:color w:val="333333"/>
          <w:kern w:val="0"/>
          <w:sz w:val="24"/>
          <w:szCs w:val="24"/>
        </w:rPr>
        <w:t>2017年度第十一期超短期融资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也曾因“市场波动较大”而取消发行，但该次取消发行并未导致其陷入债务危机。其二，根据2005年《证券法》第七十条规定，依法必须披露的信息，应当在国务院证券监督管理机构指定的媒体发布，同时将其置备于公司住所、证券交易所，供社会公众查阅。本案中，</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、江南化工在2018年4月24</w:t>
      </w:r>
      <w:proofErr w:type="gramStart"/>
      <w:r w:rsidRPr="000E7439">
        <w:rPr>
          <w:rFonts w:ascii="宋体" w:eastAsia="宋体" w:hAnsi="宋体" w:cs="宋体" w:hint="eastAsia"/>
          <w:color w:val="333333"/>
          <w:kern w:val="0"/>
          <w:sz w:val="24"/>
          <w:szCs w:val="24"/>
        </w:rPr>
        <w:t>日均未</w:t>
      </w:r>
      <w:proofErr w:type="gramEnd"/>
      <w:r w:rsidRPr="000E7439">
        <w:rPr>
          <w:rFonts w:ascii="宋体" w:eastAsia="宋体" w:hAnsi="宋体" w:cs="宋体" w:hint="eastAsia"/>
          <w:color w:val="333333"/>
          <w:kern w:val="0"/>
          <w:sz w:val="24"/>
          <w:szCs w:val="24"/>
        </w:rPr>
        <w:t>在指定媒体上公开</w:t>
      </w:r>
      <w:proofErr w:type="gramStart"/>
      <w:r w:rsidRPr="000E7439">
        <w:rPr>
          <w:rFonts w:ascii="宋体" w:eastAsia="宋体" w:hAnsi="宋体" w:cs="宋体" w:hint="eastAsia"/>
          <w:color w:val="333333"/>
          <w:kern w:val="0"/>
          <w:sz w:val="24"/>
          <w:szCs w:val="24"/>
        </w:rPr>
        <w:t>披露盾安集团</w:t>
      </w:r>
      <w:proofErr w:type="gramEnd"/>
      <w:r w:rsidRPr="000E7439">
        <w:rPr>
          <w:rFonts w:ascii="宋体" w:eastAsia="宋体" w:hAnsi="宋体" w:cs="宋体" w:hint="eastAsia"/>
          <w:color w:val="333333"/>
          <w:kern w:val="0"/>
          <w:sz w:val="24"/>
          <w:szCs w:val="24"/>
        </w:rPr>
        <w:t>债务危机事项。其三，从取消发行公告具体内容来看，该</w:t>
      </w:r>
      <w:r w:rsidRPr="000E7439">
        <w:rPr>
          <w:rFonts w:ascii="宋体" w:eastAsia="宋体" w:hAnsi="宋体" w:cs="宋体" w:hint="eastAsia"/>
          <w:color w:val="333333"/>
          <w:kern w:val="0"/>
          <w:sz w:val="24"/>
          <w:szCs w:val="24"/>
        </w:rPr>
        <w:lastRenderedPageBreak/>
        <w:t>公告称“鉴于近期市场波动较大，盾安控股集团有限公司与主承销商协商决定取消本周超短期融资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的发行，盾安控股集团有限公司将另择机重新发行”，并未完整披露取消发行的具体原因以及</w:t>
      </w:r>
      <w:proofErr w:type="gramStart"/>
      <w:r w:rsidRPr="000E7439">
        <w:rPr>
          <w:rFonts w:ascii="宋体" w:eastAsia="宋体" w:hAnsi="宋体" w:cs="宋体" w:hint="eastAsia"/>
          <w:color w:val="333333"/>
          <w:kern w:val="0"/>
          <w:sz w:val="24"/>
          <w:szCs w:val="24"/>
        </w:rPr>
        <w:t>对盾安集团</w:t>
      </w:r>
      <w:proofErr w:type="gramEnd"/>
      <w:r w:rsidRPr="000E7439">
        <w:rPr>
          <w:rFonts w:ascii="宋体" w:eastAsia="宋体" w:hAnsi="宋体" w:cs="宋体" w:hint="eastAsia"/>
          <w:color w:val="333333"/>
          <w:kern w:val="0"/>
          <w:sz w:val="24"/>
          <w:szCs w:val="24"/>
        </w:rPr>
        <w:t>、</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、江南化工可能造成的影响等内容，该公告发布当日，</w:t>
      </w:r>
      <w:proofErr w:type="gramStart"/>
      <w:r w:rsidRPr="000E7439">
        <w:rPr>
          <w:rFonts w:ascii="宋体" w:eastAsia="宋体" w:hAnsi="宋体" w:cs="宋体" w:hint="eastAsia"/>
          <w:color w:val="333333"/>
          <w:kern w:val="0"/>
          <w:sz w:val="24"/>
          <w:szCs w:val="24"/>
        </w:rPr>
        <w:t>盾安环境</w:t>
      </w:r>
      <w:proofErr w:type="gramEnd"/>
      <w:r w:rsidRPr="000E7439">
        <w:rPr>
          <w:rFonts w:ascii="宋体" w:eastAsia="宋体" w:hAnsi="宋体" w:cs="宋体" w:hint="eastAsia"/>
          <w:color w:val="333333"/>
          <w:kern w:val="0"/>
          <w:sz w:val="24"/>
          <w:szCs w:val="24"/>
        </w:rPr>
        <w:t>、江南化工股票收盘价格也均为上涨，因此上述取消发行公告并未</w:t>
      </w:r>
      <w:proofErr w:type="gramStart"/>
      <w:r w:rsidRPr="000E7439">
        <w:rPr>
          <w:rFonts w:ascii="宋体" w:eastAsia="宋体" w:hAnsi="宋体" w:cs="宋体" w:hint="eastAsia"/>
          <w:color w:val="333333"/>
          <w:kern w:val="0"/>
          <w:sz w:val="24"/>
          <w:szCs w:val="24"/>
        </w:rPr>
        <w:t>使盾安集团</w:t>
      </w:r>
      <w:proofErr w:type="gramEnd"/>
      <w:r w:rsidRPr="000E7439">
        <w:rPr>
          <w:rFonts w:ascii="宋体" w:eastAsia="宋体" w:hAnsi="宋体" w:cs="宋体" w:hint="eastAsia"/>
          <w:color w:val="333333"/>
          <w:kern w:val="0"/>
          <w:sz w:val="24"/>
          <w:szCs w:val="24"/>
        </w:rPr>
        <w:t>债务危机事项为市场主体广泛知悉。</w:t>
      </w:r>
    </w:p>
    <w:p w14:paraId="6ECD9512"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三，蒋华伟关于交易行为动机的辩解不足采信。蒋华伟作为本案内幕信息知情人，知悉时间不晚于2018年4月24日，在内幕信息敏感期内，其本应依法戒绝交易，但其仍于4月25日操作“周某军”证券账户交易“盾安环境”，并于4月26日与朱琼共同利用“宣某飞”证券账户交易“江南化工”，其提出的为女儿购房筹措资金等辩解理由显然不足以推翻对其内幕交易行为的认定。</w:t>
      </w:r>
    </w:p>
    <w:p w14:paraId="5FDCBBEA"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朱琼申请并委托代理人参加了本案第一次听证会，在听证会和书面申辩材料中提出如下申辩意见：</w:t>
      </w:r>
    </w:p>
    <w:p w14:paraId="3221DAE6"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一，朱琼涉案交易行为不满足基于联络接触推定的内幕交易的构成要件。朱琼与周某、姚某义、蒋华伟联络接触存疑。朱琼与周某敏感期内2次通话时长极短，即便朱琼与姚某义、蒋华伟存在联络接触的可能性，也具有正当理由。</w:t>
      </w:r>
    </w:p>
    <w:p w14:paraId="57D769B1"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二，朱琼涉案交易行为与内幕信息不具有高度吻合性。其一，相关账户开户或激活账户的时间、资金进入账户时间与本案认定的内幕信息敏感期不存在吻合性，账户买卖时间与获悉内幕信息时间的吻合度较低。其二，朱琼交易行为符合以往交易习惯，且与相关公司基本面一致。其三，朱琼与“项某荣”“裘某锋”“宣某飞”账户不存在利益关联。</w:t>
      </w:r>
    </w:p>
    <w:p w14:paraId="7DFE97B8"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第三，朱琼对于涉案交易行为具有正当理由和合理解释。一是其交易行为系依据事前确定</w:t>
      </w:r>
      <w:proofErr w:type="gramStart"/>
      <w:r w:rsidRPr="000E7439">
        <w:rPr>
          <w:rFonts w:ascii="宋体" w:eastAsia="宋体" w:hAnsi="宋体" w:cs="宋体" w:hint="eastAsia"/>
          <w:color w:val="333333"/>
          <w:kern w:val="0"/>
          <w:sz w:val="24"/>
          <w:szCs w:val="24"/>
        </w:rPr>
        <w:t>的调仓计划作出</w:t>
      </w:r>
      <w:proofErr w:type="gramEnd"/>
      <w:r w:rsidRPr="000E7439">
        <w:rPr>
          <w:rFonts w:ascii="宋体" w:eastAsia="宋体" w:hAnsi="宋体" w:cs="宋体" w:hint="eastAsia"/>
          <w:color w:val="333333"/>
          <w:kern w:val="0"/>
          <w:sz w:val="24"/>
          <w:szCs w:val="24"/>
        </w:rPr>
        <w:t>，并提供《盾安集团工作联系单》予以佐证。二是朱琼交易行为不符合内幕交易的特征，其操作其他证券账户首次卖出“盾安环境”时点为2018年4月23日下午，早于内幕信息形成时点。</w:t>
      </w:r>
    </w:p>
    <w:p w14:paraId="2B0F67AE"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第四，本案违法所得的计算不合理</w:t>
      </w:r>
      <w:r w:rsidRPr="000E7439">
        <w:rPr>
          <w:rFonts w:ascii="宋体" w:eastAsia="宋体" w:hAnsi="宋体" w:cs="宋体" w:hint="eastAsia"/>
          <w:b/>
          <w:bCs/>
          <w:color w:val="333333"/>
          <w:kern w:val="0"/>
          <w:sz w:val="24"/>
          <w:szCs w:val="24"/>
        </w:rPr>
        <w:t>。</w:t>
      </w:r>
      <w:r w:rsidRPr="000E7439">
        <w:rPr>
          <w:rFonts w:ascii="宋体" w:eastAsia="宋体" w:hAnsi="宋体" w:cs="宋体" w:hint="eastAsia"/>
          <w:color w:val="333333"/>
          <w:kern w:val="0"/>
          <w:sz w:val="24"/>
          <w:szCs w:val="24"/>
        </w:rPr>
        <w:t>其一，本案相关计算标准来源于证监会内部文件，并未向外界公开，市场参与者无法知悉具体内容及该等内容是否合理，其效力存疑。其二，“盾安环境”在2018年10月11日有3个多小时的交易时间且交易活跃、成交量很大。朱琼作为二级市场专业人士，基于其职业特点和重仓持股等原因，完全有能力在这段时间里清仓卖出。本案合理的认定标准应选取2018年10月11日的成交均价计算。其三，对朱琼处以罚款缺乏法律依据和合理性。朱琼本人并非“裘某锋”“项某荣”“宣某飞”三个账户的所有者，与账户资金来源和账户交易盈亏均无利益关联。该等账户即使有违法所得或非法避损，也不应认定为朱琼本人的违法所得或非法避损，相应地，朱琼也不应基于该等违法所得而被处以罚款。</w:t>
      </w:r>
    </w:p>
    <w:p w14:paraId="09093F2D"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经复核，我局认为朱琼申辩理由不能成立：</w:t>
      </w:r>
    </w:p>
    <w:p w14:paraId="42C96755"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一，内幕信息敏感期内朱琼与内幕信息知情人联络接触证据确凿。敏感期内，除了朱琼与蒋华伟、姚某义存在接触事实或进行接触的充分条件外，在案证据还显示，2018年4月24日13时46分45秒，本案内幕信息知情人周某电话拨打了朱琼手机号，通话时长57秒；当日13时50分01秒，朱琼拨打了周某手机号，通话时长16秒。朱琼、周某对于两人通话联络这一客观事实均无异议，两次通话的时长均足以完成本案内幕信息的有效传递。</w:t>
      </w:r>
    </w:p>
    <w:p w14:paraId="438DF461"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lastRenderedPageBreak/>
        <w:t>第二，朱琼涉案交易行为与内幕信息高度吻合。“项某荣”“裘某锋”证券账户自2017年5月买入“盾安环境”后近一年未曾卖出，却唯独选择在内幕信息敏感期内的2018年4月24日、4月25日两天集中、清仓、亏损卖出“盾安环境”，2018年4月26日10时25分至11时26分，集中、清仓、亏损卖出“宣某飞”证券账户持有的“江南化工”。上述交易卖出意志坚决，且卖出时间与内幕信息形成时间及朱琼与内幕信息知情人周某等人联络接触时点高度吻合，足以认定其交易行为明显异常，因此对其提出的“交易行为符合以往交易习惯”、交易行为与公司基本面一致、有能力第一时间卖出而未全部卖出等申辩意见不予采纳。</w:t>
      </w:r>
    </w:p>
    <w:p w14:paraId="37E51889"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三，朱琼针对涉案交易所作的解释并不合理。其一，《盾安集团工作联系单》并不包括计划交易的证券数量、价格、日期等具体交易内容，不足以构成既定交易计划，且“项某荣”“裘某锋”证券账户也未严格执行该调仓计划，两账户卖出“盾安环境”后并未全部</w:t>
      </w:r>
      <w:proofErr w:type="gramStart"/>
      <w:r w:rsidRPr="000E7439">
        <w:rPr>
          <w:rFonts w:ascii="宋体" w:eastAsia="宋体" w:hAnsi="宋体" w:cs="宋体" w:hint="eastAsia"/>
          <w:color w:val="333333"/>
          <w:kern w:val="0"/>
          <w:sz w:val="24"/>
          <w:szCs w:val="24"/>
        </w:rPr>
        <w:t>调仓至</w:t>
      </w:r>
      <w:proofErr w:type="gramEnd"/>
      <w:r w:rsidRPr="000E7439">
        <w:rPr>
          <w:rFonts w:ascii="宋体" w:eastAsia="宋体" w:hAnsi="宋体" w:cs="宋体" w:hint="eastAsia"/>
          <w:color w:val="333333"/>
          <w:kern w:val="0"/>
          <w:sz w:val="24"/>
          <w:szCs w:val="24"/>
        </w:rPr>
        <w:t>“江南化工”，因此朱琼本项申辩理由不能成立。其二，内幕信息形成是一个动态过程，根据日常经验，临近超短期融资</w:t>
      </w:r>
      <w:proofErr w:type="gramStart"/>
      <w:r w:rsidRPr="000E7439">
        <w:rPr>
          <w:rFonts w:ascii="宋体" w:eastAsia="宋体" w:hAnsi="宋体" w:cs="宋体" w:hint="eastAsia"/>
          <w:color w:val="333333"/>
          <w:kern w:val="0"/>
          <w:sz w:val="24"/>
          <w:szCs w:val="24"/>
        </w:rPr>
        <w:t>券</w:t>
      </w:r>
      <w:proofErr w:type="gramEnd"/>
      <w:r w:rsidRPr="000E7439">
        <w:rPr>
          <w:rFonts w:ascii="宋体" w:eastAsia="宋体" w:hAnsi="宋体" w:cs="宋体" w:hint="eastAsia"/>
          <w:color w:val="333333"/>
          <w:kern w:val="0"/>
          <w:sz w:val="24"/>
          <w:szCs w:val="24"/>
        </w:rPr>
        <w:t>申购截止时间，发行人相关直接负责人员根据申购情况，对发行结果通常会有大致预判，在案证据显示2018年4月23日中午朱琼与周某存在电话联络，朱琼在申辩意见中也承认4月23日与姚某义存在接触，因此朱琼4月23日下午操作其他证券账户卖出“盾安环境”行为不能证明其4月24日至26日的交易不具备异常性。</w:t>
      </w:r>
    </w:p>
    <w:p w14:paraId="6AEB1DCD" w14:textId="77777777" w:rsidR="000E7439" w:rsidRPr="000E7439" w:rsidRDefault="000E7439" w:rsidP="000E7439">
      <w:pPr>
        <w:widowControl/>
        <w:shd w:val="clear" w:color="auto" w:fill="FFFFFF"/>
        <w:spacing w:line="315" w:lineRule="atLeast"/>
        <w:ind w:firstLine="504"/>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第四，本案违法所得计算合理。根据2005年《证券法》第七十三条、第二百零二条规定，内幕信息知情人或非法获取内幕信息的人在内幕信息敏感期内利用内幕信息“从事证券交易活动”或“买卖该证券”即构成内幕交易，上述条文并未针对交易账户归属、资金来源、利益归属不同，对行为性质及责任认定</w:t>
      </w:r>
      <w:proofErr w:type="gramStart"/>
      <w:r w:rsidRPr="000E7439">
        <w:rPr>
          <w:rFonts w:ascii="宋体" w:eastAsia="宋体" w:hAnsi="宋体" w:cs="宋体" w:hint="eastAsia"/>
          <w:color w:val="333333"/>
          <w:kern w:val="0"/>
          <w:sz w:val="24"/>
          <w:szCs w:val="24"/>
        </w:rPr>
        <w:t>作出</w:t>
      </w:r>
      <w:proofErr w:type="gramEnd"/>
      <w:r w:rsidRPr="000E7439">
        <w:rPr>
          <w:rFonts w:ascii="宋体" w:eastAsia="宋体" w:hAnsi="宋体" w:cs="宋体" w:hint="eastAsia"/>
          <w:color w:val="333333"/>
          <w:kern w:val="0"/>
          <w:sz w:val="24"/>
          <w:szCs w:val="24"/>
        </w:rPr>
        <w:t>区别规定。涉案交易系由朱琼本人决策，因此无论涉案账户是否开立于朱琼名下、账户资金是否来源于朱琼，交易盈亏是否与朱琼有关联，朱琼作为内幕交易行为人均应当承担内幕交易违法责任。本案违法所得的计算符合我会一贯的执法标准，并无不妥。</w:t>
      </w:r>
    </w:p>
    <w:p w14:paraId="58E3401A"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根据当事人违法行为的事实、性质、情节与社会危害程度，依据2005年《证券法》第二百零二条的规定，我局决定：</w:t>
      </w:r>
    </w:p>
    <w:p w14:paraId="211EFE63"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一、对蒋华伟内幕交易“盾安环境”行为，没收蒋华伟违法所得3,366,254.27元，并处以罚款10,098,762.81元。</w:t>
      </w:r>
    </w:p>
    <w:p w14:paraId="3D11E6BE"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二、对朱琼内幕交易“盾安环境”行为，没收朱琼违法所得4,727,942.87元，并处以罚款4,727,942.87元。</w:t>
      </w:r>
    </w:p>
    <w:p w14:paraId="72CDEB80"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三、对蒋华伟、朱琼共同内幕交易“江南化工”行为，没收蒋华伟、朱琼违法所得688,628.47元，其中蒋华伟承担550,902.78元，朱琼承担137,725.69元，并对蒋华伟处以罚款1,101,805.55元，对朱琼处以罚款275,451.39元。</w:t>
      </w:r>
    </w:p>
    <w:p w14:paraId="60D07D97"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以上合计，没收蒋华伟违法所得3,917,157.05元，并处以罚款11,200,568.36元；没收朱琼违法所得4,865,668.56元，并处以罚款5,003,394.26元。</w:t>
      </w:r>
    </w:p>
    <w:p w14:paraId="396EFFDE"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当事人应自收到本处罚决定书之日起15日内，将罚款汇交中国证券监督管理委员会（开户银行：中信银行北京分行营业部，账号：7111010189800000162，由该行直接上缴国库），并将注明当事人名称的付款凭证复印件送中国证券监督管理委员会稽查局和我局备案。当事人如果对本处罚</w:t>
      </w:r>
      <w:r w:rsidRPr="000E7439">
        <w:rPr>
          <w:rFonts w:ascii="宋体" w:eastAsia="宋体" w:hAnsi="宋体" w:cs="宋体" w:hint="eastAsia"/>
          <w:color w:val="333333"/>
          <w:kern w:val="0"/>
          <w:sz w:val="24"/>
          <w:szCs w:val="24"/>
        </w:rPr>
        <w:lastRenderedPageBreak/>
        <w:t>决定不服，可在收到本处罚决定书之日起60日内向中国证券监督管理委员会申请行政复议，也可在收到本处罚决定书之日起6个月内向有管辖权的人民法院提起行政诉讼。复议和诉讼期间，上述决定不停止执行。</w:t>
      </w:r>
    </w:p>
    <w:p w14:paraId="725AC4B5" w14:textId="77777777" w:rsidR="000E7439" w:rsidRPr="000E7439" w:rsidRDefault="000E7439" w:rsidP="000E7439">
      <w:pPr>
        <w:widowControl/>
        <w:shd w:val="clear" w:color="auto" w:fill="FFFFFF"/>
        <w:spacing w:line="315" w:lineRule="atLeast"/>
        <w:ind w:firstLine="48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 </w:t>
      </w:r>
    </w:p>
    <w:p w14:paraId="1F394486" w14:textId="77777777" w:rsidR="000E7439" w:rsidRPr="000E7439" w:rsidRDefault="000E7439" w:rsidP="000E7439">
      <w:pPr>
        <w:widowControl/>
        <w:shd w:val="clear" w:color="auto" w:fill="FFFFFF"/>
        <w:spacing w:line="315" w:lineRule="atLeast"/>
        <w:ind w:firstLine="640"/>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 </w:t>
      </w:r>
    </w:p>
    <w:p w14:paraId="73068A64" w14:textId="77777777" w:rsidR="000E7439" w:rsidRPr="000E7439" w:rsidRDefault="000E7439" w:rsidP="000E7439">
      <w:pPr>
        <w:widowControl/>
        <w:shd w:val="clear" w:color="auto" w:fill="FFFFFF"/>
        <w:spacing w:line="315" w:lineRule="atLeast"/>
        <w:ind w:firstLine="641"/>
        <w:jc w:val="left"/>
        <w:rPr>
          <w:rFonts w:ascii="宋体" w:eastAsia="宋体" w:hAnsi="宋体" w:cs="宋体" w:hint="eastAsia"/>
          <w:color w:val="333333"/>
          <w:kern w:val="0"/>
          <w:szCs w:val="21"/>
        </w:rPr>
      </w:pPr>
      <w:r w:rsidRPr="000E7439">
        <w:rPr>
          <w:rFonts w:ascii="宋体" w:eastAsia="宋体" w:hAnsi="宋体" w:cs="宋体" w:hint="eastAsia"/>
          <w:color w:val="333333"/>
          <w:kern w:val="0"/>
          <w:sz w:val="24"/>
          <w:szCs w:val="24"/>
        </w:rPr>
        <w:t xml:space="preserve">　　　　　　　　　　　　 　　　　　　　　　　　　　　　　　　　　　　　　　　</w:t>
      </w:r>
    </w:p>
    <w:p w14:paraId="5CF803A1" w14:textId="77777777" w:rsidR="000E7439" w:rsidRPr="000E7439" w:rsidRDefault="000E7439" w:rsidP="000E7439">
      <w:pPr>
        <w:widowControl/>
        <w:shd w:val="clear" w:color="auto" w:fill="FFFFFF"/>
        <w:spacing w:line="315" w:lineRule="atLeast"/>
        <w:ind w:firstLine="640"/>
        <w:jc w:val="right"/>
        <w:rPr>
          <w:rFonts w:ascii="inherit" w:eastAsia="宋体" w:hAnsi="inherit" w:cs="宋体" w:hint="eastAsia"/>
          <w:color w:val="333333"/>
          <w:kern w:val="0"/>
          <w:szCs w:val="21"/>
        </w:rPr>
      </w:pPr>
      <w:r w:rsidRPr="000E7439">
        <w:rPr>
          <w:rFonts w:ascii="宋体" w:eastAsia="宋体" w:hAnsi="宋体" w:cs="宋体" w:hint="eastAsia"/>
          <w:color w:val="333333"/>
          <w:kern w:val="0"/>
          <w:sz w:val="24"/>
          <w:szCs w:val="24"/>
        </w:rPr>
        <w:t> </w:t>
      </w:r>
    </w:p>
    <w:p w14:paraId="31B02782" w14:textId="77777777" w:rsidR="000E7439" w:rsidRPr="000E7439" w:rsidRDefault="000E7439" w:rsidP="000E7439">
      <w:pPr>
        <w:widowControl/>
        <w:shd w:val="clear" w:color="auto" w:fill="FFFFFF"/>
        <w:spacing w:line="315" w:lineRule="atLeast"/>
        <w:ind w:firstLine="641"/>
        <w:jc w:val="right"/>
        <w:rPr>
          <w:rFonts w:ascii="inherit" w:eastAsia="宋体" w:hAnsi="inherit" w:cs="宋体"/>
          <w:color w:val="333333"/>
          <w:kern w:val="0"/>
          <w:szCs w:val="21"/>
        </w:rPr>
      </w:pPr>
      <w:r w:rsidRPr="000E7439">
        <w:rPr>
          <w:rFonts w:ascii="宋体" w:eastAsia="宋体" w:hAnsi="宋体" w:cs="宋体" w:hint="eastAsia"/>
          <w:color w:val="333333"/>
          <w:kern w:val="0"/>
          <w:sz w:val="24"/>
          <w:szCs w:val="24"/>
        </w:rPr>
        <w:t xml:space="preserve">　　　　　　　　　　　　 　　 厦门证监局</w:t>
      </w:r>
    </w:p>
    <w:p w14:paraId="4DE86EE8" w14:textId="77777777" w:rsidR="000E7439" w:rsidRPr="000E7439" w:rsidRDefault="000E7439" w:rsidP="000E7439">
      <w:pPr>
        <w:widowControl/>
        <w:shd w:val="clear" w:color="auto" w:fill="FFFFFF"/>
        <w:wordWrap w:val="0"/>
        <w:spacing w:line="315" w:lineRule="atLeast"/>
        <w:ind w:firstLine="641"/>
        <w:jc w:val="right"/>
        <w:rPr>
          <w:rFonts w:ascii="inherit" w:eastAsia="宋体" w:hAnsi="inherit" w:cs="宋体"/>
          <w:color w:val="333333"/>
          <w:kern w:val="0"/>
          <w:szCs w:val="21"/>
        </w:rPr>
      </w:pPr>
      <w:r w:rsidRPr="000E7439">
        <w:rPr>
          <w:rFonts w:ascii="宋体" w:eastAsia="宋体" w:hAnsi="宋体" w:cs="宋体" w:hint="eastAsia"/>
          <w:color w:val="333333"/>
          <w:kern w:val="0"/>
          <w:sz w:val="24"/>
          <w:szCs w:val="24"/>
        </w:rPr>
        <w:t xml:space="preserve">　　  2020年6月15日</w:t>
      </w:r>
    </w:p>
    <w:p w14:paraId="68F39B76" w14:textId="77777777" w:rsidR="00FB7785" w:rsidRDefault="00FB7785"/>
    <w:sectPr w:rsidR="00FB77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39"/>
    <w:rsid w:val="000E7439"/>
    <w:rsid w:val="00FB77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0DDDD"/>
  <w15:chartTrackingRefBased/>
  <w15:docId w15:val="{76A07D84-7C41-4CD6-892A-94EF870D7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499195">
      <w:bodyDiv w:val="1"/>
      <w:marLeft w:val="0"/>
      <w:marRight w:val="0"/>
      <w:marTop w:val="0"/>
      <w:marBottom w:val="0"/>
      <w:divBdr>
        <w:top w:val="none" w:sz="0" w:space="0" w:color="auto"/>
        <w:left w:val="none" w:sz="0" w:space="0" w:color="auto"/>
        <w:bottom w:val="none" w:sz="0" w:space="0" w:color="auto"/>
        <w:right w:val="none" w:sz="0" w:space="0" w:color="auto"/>
      </w:divBdr>
      <w:divsChild>
        <w:div w:id="716664307">
          <w:marLeft w:val="0"/>
          <w:marRight w:val="0"/>
          <w:marTop w:val="0"/>
          <w:marBottom w:val="0"/>
          <w:divBdr>
            <w:top w:val="none" w:sz="0" w:space="23" w:color="auto"/>
            <w:left w:val="none" w:sz="0" w:space="31" w:color="auto"/>
            <w:bottom w:val="single" w:sz="12" w:space="11" w:color="CCCCCC"/>
            <w:right w:val="none" w:sz="0" w:space="31" w:color="auto"/>
          </w:divBdr>
        </w:div>
        <w:div w:id="822547441">
          <w:marLeft w:val="0"/>
          <w:marRight w:val="0"/>
          <w:marTop w:val="0"/>
          <w:marBottom w:val="300"/>
          <w:divBdr>
            <w:top w:val="none" w:sz="0" w:space="0" w:color="auto"/>
            <w:left w:val="none" w:sz="0" w:space="0" w:color="auto"/>
            <w:bottom w:val="none" w:sz="0" w:space="0" w:color="auto"/>
            <w:right w:val="none" w:sz="0" w:space="0" w:color="auto"/>
          </w:divBdr>
        </w:div>
        <w:div w:id="522786536">
          <w:marLeft w:val="0"/>
          <w:marRight w:val="0"/>
          <w:marTop w:val="0"/>
          <w:marBottom w:val="0"/>
          <w:divBdr>
            <w:top w:val="none" w:sz="0" w:space="0" w:color="auto"/>
            <w:left w:val="none" w:sz="0" w:space="0" w:color="auto"/>
            <w:bottom w:val="none" w:sz="0" w:space="0" w:color="auto"/>
            <w:right w:val="none" w:sz="0" w:space="0" w:color="auto"/>
          </w:divBdr>
        </w:div>
        <w:div w:id="1165121673">
          <w:marLeft w:val="0"/>
          <w:marRight w:val="0"/>
          <w:marTop w:val="0"/>
          <w:marBottom w:val="0"/>
          <w:divBdr>
            <w:top w:val="none" w:sz="0" w:space="0" w:color="auto"/>
            <w:left w:val="none" w:sz="0" w:space="0" w:color="auto"/>
            <w:bottom w:val="none" w:sz="0" w:space="0" w:color="auto"/>
            <w:right w:val="none" w:sz="0" w:space="0" w:color="auto"/>
          </w:divBdr>
        </w:div>
        <w:div w:id="714620456">
          <w:marLeft w:val="0"/>
          <w:marRight w:val="109"/>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5871</Characters>
  <Application>Microsoft Office Word</Application>
  <DocSecurity>0</DocSecurity>
  <Lines>48</Lines>
  <Paragraphs>13</Paragraphs>
  <ScaleCrop>false</ScaleCrop>
  <Company/>
  <LinksUpToDate>false</LinksUpToDate>
  <CharactersWithSpaces>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2021-10-06T07:18:00Z</dcterms:created>
  <dcterms:modified xsi:type="dcterms:W3CDTF">2021-10-06T07:18:00Z</dcterms:modified>
</cp:coreProperties>
</file>