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742F84E8" w:rsidR="00BB6090" w:rsidRPr="00BB6090" w:rsidRDefault="00AB77E6" w:rsidP="00BB6090">
            <w:pPr>
              <w:widowControl/>
              <w:spacing w:line="450" w:lineRule="atLeast"/>
              <w:jc w:val="left"/>
              <w:rPr>
                <w:rFonts w:ascii="宋体" w:eastAsia="宋体" w:hAnsi="宋体" w:cs="宋体" w:hint="eastAsia"/>
                <w:kern w:val="0"/>
                <w:sz w:val="24"/>
                <w:szCs w:val="24"/>
              </w:rPr>
            </w:pPr>
            <w:r w:rsidRPr="00AB77E6">
              <w:rPr>
                <w:rFonts w:ascii="宋体" w:eastAsia="宋体" w:hAnsi="宋体" w:cs="宋体" w:hint="eastAsia"/>
                <w:kern w:val="0"/>
                <w:sz w:val="24"/>
                <w:szCs w:val="24"/>
              </w:rPr>
              <w:t>bm56000001/2023-00014614</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42BF3DC4" w:rsidR="00BB6090" w:rsidRPr="00BB6090" w:rsidRDefault="00AB77E6" w:rsidP="00BB6090">
            <w:pPr>
              <w:widowControl/>
              <w:spacing w:line="450" w:lineRule="atLeast"/>
              <w:jc w:val="left"/>
              <w:rPr>
                <w:rFonts w:ascii="宋体" w:eastAsia="宋体" w:hAnsi="宋体" w:cs="宋体" w:hint="eastAsia"/>
                <w:kern w:val="0"/>
                <w:sz w:val="24"/>
                <w:szCs w:val="24"/>
              </w:rPr>
            </w:pPr>
            <w:r w:rsidRPr="00AB77E6">
              <w:rPr>
                <w:rFonts w:ascii="宋体" w:eastAsia="宋体" w:hAnsi="宋体" w:cs="宋体" w:hint="eastAsia"/>
                <w:kern w:val="0"/>
                <w:sz w:val="24"/>
                <w:szCs w:val="24"/>
              </w:rPr>
              <w:t>2023年12月28日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25E2092F" w:rsidR="00BB6090" w:rsidRPr="00F226C0" w:rsidRDefault="00AB77E6" w:rsidP="00BB6090">
            <w:pPr>
              <w:widowControl/>
              <w:spacing w:line="450" w:lineRule="atLeast"/>
              <w:jc w:val="left"/>
              <w:rPr>
                <w:rFonts w:ascii="宋体" w:eastAsia="宋体" w:hAnsi="宋体" w:cs="宋体" w:hint="eastAsia"/>
                <w:b/>
                <w:bCs/>
                <w:kern w:val="0"/>
                <w:sz w:val="24"/>
                <w:szCs w:val="24"/>
              </w:rPr>
            </w:pPr>
            <w:r w:rsidRPr="00AB77E6">
              <w:rPr>
                <w:rFonts w:ascii="宋体" w:eastAsia="宋体" w:hAnsi="宋体" w:cs="宋体" w:hint="eastAsia"/>
                <w:b/>
                <w:bCs/>
                <w:kern w:val="0"/>
                <w:sz w:val="24"/>
                <w:szCs w:val="24"/>
              </w:rPr>
              <w:t>吴晓莉泄露内幕</w:t>
            </w:r>
            <w:proofErr w:type="gramStart"/>
            <w:r w:rsidRPr="00AB77E6">
              <w:rPr>
                <w:rFonts w:ascii="宋体" w:eastAsia="宋体" w:hAnsi="宋体" w:cs="宋体" w:hint="eastAsia"/>
                <w:b/>
                <w:bCs/>
                <w:kern w:val="0"/>
                <w:sz w:val="24"/>
                <w:szCs w:val="24"/>
              </w:rPr>
              <w:t>信息案行政</w:t>
            </w:r>
            <w:proofErr w:type="gramEnd"/>
            <w:r w:rsidRPr="00AB77E6">
              <w:rPr>
                <w:rFonts w:ascii="宋体" w:eastAsia="宋体" w:hAnsi="宋体" w:cs="宋体" w:hint="eastAsia"/>
                <w:b/>
                <w:bCs/>
                <w:kern w:val="0"/>
                <w:sz w:val="24"/>
                <w:szCs w:val="24"/>
              </w:rPr>
              <w:t>处罚决定书</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199F64C9" w:rsidR="00BB6090" w:rsidRPr="00BB6090" w:rsidRDefault="00AB77E6" w:rsidP="00BB6090">
            <w:pPr>
              <w:widowControl/>
              <w:spacing w:line="450" w:lineRule="atLeast"/>
              <w:jc w:val="center"/>
              <w:rPr>
                <w:rFonts w:ascii="宋体" w:eastAsia="宋体" w:hAnsi="宋体" w:cs="宋体" w:hint="eastAsia"/>
                <w:b/>
                <w:bCs/>
                <w:color w:val="666666"/>
                <w:kern w:val="0"/>
                <w:sz w:val="24"/>
                <w:szCs w:val="24"/>
              </w:rPr>
            </w:pPr>
            <w:bookmarkStart w:id="0" w:name="_Hlk185279922"/>
            <w:r w:rsidRPr="00AB77E6">
              <w:rPr>
                <w:rFonts w:ascii="宋体" w:eastAsia="宋体" w:hAnsi="宋体" w:cs="宋体" w:hint="eastAsia"/>
                <w:b/>
                <w:bCs/>
                <w:color w:val="666666"/>
                <w:kern w:val="0"/>
                <w:sz w:val="24"/>
                <w:szCs w:val="24"/>
              </w:rPr>
              <w:t>〔2023〕4号</w:t>
            </w:r>
            <w:bookmarkEnd w:id="0"/>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750D6E18" w:rsidR="00BB6090" w:rsidRPr="00BB6090" w:rsidRDefault="00AB77E6"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AB77E6">
        <w:rPr>
          <w:rFonts w:ascii="微软雅黑" w:eastAsia="微软雅黑" w:hAnsi="微软雅黑" w:cs="宋体" w:hint="eastAsia"/>
          <w:b/>
          <w:bCs/>
          <w:color w:val="333333"/>
          <w:kern w:val="0"/>
          <w:sz w:val="36"/>
          <w:szCs w:val="36"/>
        </w:rPr>
        <w:t>吴晓莉泄露内幕</w:t>
      </w:r>
      <w:proofErr w:type="gramStart"/>
      <w:r w:rsidRPr="00AB77E6">
        <w:rPr>
          <w:rFonts w:ascii="微软雅黑" w:eastAsia="微软雅黑" w:hAnsi="微软雅黑" w:cs="宋体" w:hint="eastAsia"/>
          <w:b/>
          <w:bCs/>
          <w:color w:val="333333"/>
          <w:kern w:val="0"/>
          <w:sz w:val="36"/>
          <w:szCs w:val="36"/>
        </w:rPr>
        <w:t>信息案行政</w:t>
      </w:r>
      <w:proofErr w:type="gramEnd"/>
      <w:r w:rsidRPr="00AB77E6">
        <w:rPr>
          <w:rFonts w:ascii="微软雅黑" w:eastAsia="微软雅黑" w:hAnsi="微软雅黑" w:cs="宋体" w:hint="eastAsia"/>
          <w:b/>
          <w:bCs/>
          <w:color w:val="333333"/>
          <w:kern w:val="0"/>
          <w:sz w:val="36"/>
          <w:szCs w:val="36"/>
        </w:rPr>
        <w:t>处罚决定书</w:t>
      </w:r>
    </w:p>
    <w:p w14:paraId="0EFEE006" w14:textId="4D4D93CB" w:rsidR="006167C8" w:rsidRDefault="00AB77E6"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B77E6">
        <w:rPr>
          <w:rFonts w:ascii="Times New Roman" w:eastAsia="宋体" w:hAnsi="Times New Roman" w:cs="宋体" w:hint="eastAsia"/>
          <w:color w:val="333333"/>
          <w:kern w:val="0"/>
          <w:sz w:val="24"/>
          <w:szCs w:val="24"/>
        </w:rPr>
        <w:t>〔</w:t>
      </w:r>
      <w:r w:rsidRPr="00AB77E6">
        <w:rPr>
          <w:rFonts w:ascii="Times New Roman" w:eastAsia="宋体" w:hAnsi="Times New Roman" w:cs="宋体" w:hint="eastAsia"/>
          <w:color w:val="333333"/>
          <w:kern w:val="0"/>
          <w:sz w:val="24"/>
          <w:szCs w:val="24"/>
        </w:rPr>
        <w:t>2023</w:t>
      </w:r>
      <w:r w:rsidRPr="00AB77E6">
        <w:rPr>
          <w:rFonts w:ascii="Times New Roman" w:eastAsia="宋体" w:hAnsi="Times New Roman" w:cs="宋体" w:hint="eastAsia"/>
          <w:color w:val="333333"/>
          <w:kern w:val="0"/>
          <w:sz w:val="24"/>
          <w:szCs w:val="24"/>
        </w:rPr>
        <w:t>〕</w:t>
      </w:r>
      <w:r w:rsidRPr="00AB77E6">
        <w:rPr>
          <w:rFonts w:ascii="Times New Roman" w:eastAsia="宋体" w:hAnsi="Times New Roman" w:cs="宋体" w:hint="eastAsia"/>
          <w:color w:val="333333"/>
          <w:kern w:val="0"/>
          <w:sz w:val="24"/>
          <w:szCs w:val="24"/>
        </w:rPr>
        <w:t>4</w:t>
      </w:r>
      <w:r w:rsidRPr="00AB77E6">
        <w:rPr>
          <w:rFonts w:ascii="Times New Roman" w:eastAsia="宋体" w:hAnsi="Times New Roman" w:cs="宋体" w:hint="eastAsia"/>
          <w:color w:val="333333"/>
          <w:kern w:val="0"/>
          <w:sz w:val="24"/>
          <w:szCs w:val="24"/>
        </w:rPr>
        <w:t>号</w:t>
      </w:r>
    </w:p>
    <w:p w14:paraId="08D99B91" w14:textId="77777777" w:rsidR="00AB77E6" w:rsidRDefault="00AB77E6"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B60389" w14:textId="77777777" w:rsidR="00AB77E6" w:rsidRPr="00AB77E6" w:rsidRDefault="00AB77E6" w:rsidP="00AB77E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B77E6">
        <w:rPr>
          <w:rFonts w:ascii="Times New Roman" w:eastAsia="宋体" w:hAnsi="Times New Roman" w:cs="宋体" w:hint="eastAsia"/>
          <w:color w:val="333333"/>
          <w:kern w:val="0"/>
          <w:sz w:val="24"/>
          <w:szCs w:val="24"/>
        </w:rPr>
        <w:t>当事人：吴晓莉，女，</w:t>
      </w:r>
      <w:r w:rsidRPr="00AB77E6">
        <w:rPr>
          <w:rFonts w:ascii="Times New Roman" w:eastAsia="宋体" w:hAnsi="Times New Roman" w:cs="宋体" w:hint="eastAsia"/>
          <w:color w:val="333333"/>
          <w:kern w:val="0"/>
          <w:sz w:val="24"/>
          <w:szCs w:val="24"/>
        </w:rPr>
        <w:t>1969</w:t>
      </w:r>
      <w:r w:rsidRPr="00AB77E6">
        <w:rPr>
          <w:rFonts w:ascii="Times New Roman" w:eastAsia="宋体" w:hAnsi="Times New Roman" w:cs="宋体" w:hint="eastAsia"/>
          <w:color w:val="333333"/>
          <w:kern w:val="0"/>
          <w:sz w:val="24"/>
          <w:szCs w:val="24"/>
        </w:rPr>
        <w:t>年</w:t>
      </w:r>
      <w:r w:rsidRPr="00AB77E6">
        <w:rPr>
          <w:rFonts w:ascii="Times New Roman" w:eastAsia="宋体" w:hAnsi="Times New Roman" w:cs="宋体" w:hint="eastAsia"/>
          <w:color w:val="333333"/>
          <w:kern w:val="0"/>
          <w:sz w:val="24"/>
          <w:szCs w:val="24"/>
        </w:rPr>
        <w:t>7</w:t>
      </w:r>
      <w:r w:rsidRPr="00AB77E6">
        <w:rPr>
          <w:rFonts w:ascii="Times New Roman" w:eastAsia="宋体" w:hAnsi="Times New Roman" w:cs="宋体" w:hint="eastAsia"/>
          <w:color w:val="333333"/>
          <w:kern w:val="0"/>
          <w:sz w:val="24"/>
          <w:szCs w:val="24"/>
        </w:rPr>
        <w:t>月</w:t>
      </w:r>
      <w:r w:rsidRPr="00AB77E6">
        <w:rPr>
          <w:rFonts w:ascii="Times New Roman" w:eastAsia="宋体" w:hAnsi="Times New Roman" w:cs="宋体" w:hint="eastAsia"/>
          <w:color w:val="333333"/>
          <w:kern w:val="0"/>
          <w:sz w:val="24"/>
          <w:szCs w:val="24"/>
        </w:rPr>
        <w:t>24</w:t>
      </w:r>
      <w:r w:rsidRPr="00AB77E6">
        <w:rPr>
          <w:rFonts w:ascii="Times New Roman" w:eastAsia="宋体" w:hAnsi="Times New Roman" w:cs="宋体" w:hint="eastAsia"/>
          <w:color w:val="333333"/>
          <w:kern w:val="0"/>
          <w:sz w:val="24"/>
          <w:szCs w:val="24"/>
        </w:rPr>
        <w:t>日出生，住址：山西省太原市杏花岭区。</w:t>
      </w:r>
    </w:p>
    <w:p w14:paraId="60B26606" w14:textId="77777777" w:rsidR="00AB77E6" w:rsidRPr="00AB77E6" w:rsidRDefault="00AB77E6" w:rsidP="00AB77E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00EA6B" w14:textId="77777777" w:rsidR="00AB77E6" w:rsidRPr="00AB77E6" w:rsidRDefault="00AB77E6" w:rsidP="00AB77E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B77E6">
        <w:rPr>
          <w:rFonts w:ascii="Times New Roman" w:eastAsia="宋体" w:hAnsi="Times New Roman" w:cs="宋体" w:hint="eastAsia"/>
          <w:color w:val="333333"/>
          <w:kern w:val="0"/>
          <w:sz w:val="24"/>
          <w:szCs w:val="24"/>
        </w:rPr>
        <w:t>依据《中华人民共和国证券法》（以下简称《证券法》）的有关规定，我局对吴晓莉内幕交易“太钢不锈”（泄露内幕信息）行为进行了立案调查、审理，并依法向当事人告知了</w:t>
      </w:r>
      <w:proofErr w:type="gramStart"/>
      <w:r w:rsidRPr="00AB77E6">
        <w:rPr>
          <w:rFonts w:ascii="Times New Roman" w:eastAsia="宋体" w:hAnsi="Times New Roman" w:cs="宋体" w:hint="eastAsia"/>
          <w:color w:val="333333"/>
          <w:kern w:val="0"/>
          <w:sz w:val="24"/>
          <w:szCs w:val="24"/>
        </w:rPr>
        <w:t>作出</w:t>
      </w:r>
      <w:proofErr w:type="gramEnd"/>
      <w:r w:rsidRPr="00AB77E6">
        <w:rPr>
          <w:rFonts w:ascii="Times New Roman" w:eastAsia="宋体" w:hAnsi="Times New Roman" w:cs="宋体" w:hint="eastAsia"/>
          <w:color w:val="333333"/>
          <w:kern w:val="0"/>
          <w:sz w:val="24"/>
          <w:szCs w:val="24"/>
        </w:rPr>
        <w:t>行政处罚的事实、理由、依据及当事人依法享有的权利。当事人吴晓莉未提出陈述、申辩意见，也未要求听证。本案现已调查、审理终结。</w:t>
      </w:r>
    </w:p>
    <w:p w14:paraId="392DD679" w14:textId="77777777" w:rsidR="00AB77E6" w:rsidRPr="00AB77E6" w:rsidRDefault="00AB77E6" w:rsidP="00AB77E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89C45D" w14:textId="77777777" w:rsidR="00AB77E6" w:rsidRPr="00AB77E6" w:rsidRDefault="00AB77E6" w:rsidP="00AB77E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B77E6">
        <w:rPr>
          <w:rFonts w:ascii="Times New Roman" w:eastAsia="宋体" w:hAnsi="Times New Roman" w:cs="宋体" w:hint="eastAsia"/>
          <w:color w:val="333333"/>
          <w:kern w:val="0"/>
          <w:sz w:val="24"/>
          <w:szCs w:val="24"/>
        </w:rPr>
        <w:t>经查明，吴晓莉存在以下违法事实：</w:t>
      </w:r>
    </w:p>
    <w:p w14:paraId="763EE68B" w14:textId="77777777" w:rsidR="00AB77E6" w:rsidRPr="00AB77E6" w:rsidRDefault="00AB77E6" w:rsidP="00AB77E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1F5CA1" w14:textId="77777777" w:rsidR="00AB77E6" w:rsidRPr="00AB77E6" w:rsidRDefault="00AB77E6" w:rsidP="00AB77E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B77E6">
        <w:rPr>
          <w:rFonts w:ascii="Times New Roman" w:eastAsia="宋体" w:hAnsi="Times New Roman" w:cs="宋体" w:hint="eastAsia"/>
          <w:color w:val="333333"/>
          <w:kern w:val="0"/>
          <w:sz w:val="24"/>
          <w:szCs w:val="24"/>
        </w:rPr>
        <w:t>一、内幕信息形成与公开过程</w:t>
      </w:r>
    </w:p>
    <w:p w14:paraId="5C316953" w14:textId="77777777" w:rsidR="00AB77E6" w:rsidRPr="00AB77E6" w:rsidRDefault="00AB77E6" w:rsidP="00AB77E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A27103" w14:textId="77777777" w:rsidR="00AB77E6" w:rsidRPr="00AB77E6" w:rsidRDefault="00AB77E6" w:rsidP="00AB77E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B77E6">
        <w:rPr>
          <w:rFonts w:ascii="Times New Roman" w:eastAsia="宋体" w:hAnsi="Times New Roman" w:cs="宋体" w:hint="eastAsia"/>
          <w:color w:val="333333"/>
          <w:kern w:val="0"/>
          <w:sz w:val="24"/>
          <w:szCs w:val="24"/>
        </w:rPr>
        <w:t>2019</w:t>
      </w:r>
      <w:r w:rsidRPr="00AB77E6">
        <w:rPr>
          <w:rFonts w:ascii="Times New Roman" w:eastAsia="宋体" w:hAnsi="Times New Roman" w:cs="宋体" w:hint="eastAsia"/>
          <w:color w:val="333333"/>
          <w:kern w:val="0"/>
          <w:sz w:val="24"/>
          <w:szCs w:val="24"/>
        </w:rPr>
        <w:t>年</w:t>
      </w:r>
      <w:r w:rsidRPr="00AB77E6">
        <w:rPr>
          <w:rFonts w:ascii="Times New Roman" w:eastAsia="宋体" w:hAnsi="Times New Roman" w:cs="宋体" w:hint="eastAsia"/>
          <w:color w:val="333333"/>
          <w:kern w:val="0"/>
          <w:sz w:val="24"/>
          <w:szCs w:val="24"/>
        </w:rPr>
        <w:t>4</w:t>
      </w:r>
      <w:r w:rsidRPr="00AB77E6">
        <w:rPr>
          <w:rFonts w:ascii="Times New Roman" w:eastAsia="宋体" w:hAnsi="Times New Roman" w:cs="宋体" w:hint="eastAsia"/>
          <w:color w:val="333333"/>
          <w:kern w:val="0"/>
          <w:sz w:val="24"/>
          <w:szCs w:val="24"/>
        </w:rPr>
        <w:t>月，山西省国资国企改革行动计划明确提出，将太原钢铁（集团）有限公司（以下简称太钢集团）作为集团层面股权多元化试点单位。</w:t>
      </w:r>
      <w:r w:rsidRPr="00AB77E6">
        <w:rPr>
          <w:rFonts w:ascii="Times New Roman" w:eastAsia="宋体" w:hAnsi="Times New Roman" w:cs="宋体" w:hint="eastAsia"/>
          <w:color w:val="333333"/>
          <w:kern w:val="0"/>
          <w:sz w:val="24"/>
          <w:szCs w:val="24"/>
        </w:rPr>
        <w:t>2019</w:t>
      </w:r>
      <w:r w:rsidRPr="00AB77E6">
        <w:rPr>
          <w:rFonts w:ascii="Times New Roman" w:eastAsia="宋体" w:hAnsi="Times New Roman" w:cs="宋体" w:hint="eastAsia"/>
          <w:color w:val="333333"/>
          <w:kern w:val="0"/>
          <w:sz w:val="24"/>
          <w:szCs w:val="24"/>
        </w:rPr>
        <w:t>年</w:t>
      </w:r>
      <w:r w:rsidRPr="00AB77E6">
        <w:rPr>
          <w:rFonts w:ascii="Times New Roman" w:eastAsia="宋体" w:hAnsi="Times New Roman" w:cs="宋体" w:hint="eastAsia"/>
          <w:color w:val="333333"/>
          <w:kern w:val="0"/>
          <w:sz w:val="24"/>
          <w:szCs w:val="24"/>
        </w:rPr>
        <w:t>12</w:t>
      </w:r>
      <w:r w:rsidRPr="00AB77E6">
        <w:rPr>
          <w:rFonts w:ascii="Times New Roman" w:eastAsia="宋体" w:hAnsi="Times New Roman" w:cs="宋体" w:hint="eastAsia"/>
          <w:color w:val="333333"/>
          <w:kern w:val="0"/>
          <w:sz w:val="24"/>
          <w:szCs w:val="24"/>
        </w:rPr>
        <w:t>月</w:t>
      </w:r>
      <w:r w:rsidRPr="00AB77E6">
        <w:rPr>
          <w:rFonts w:ascii="Times New Roman" w:eastAsia="宋体" w:hAnsi="Times New Roman" w:cs="宋体" w:hint="eastAsia"/>
          <w:color w:val="333333"/>
          <w:kern w:val="0"/>
          <w:sz w:val="24"/>
          <w:szCs w:val="24"/>
        </w:rPr>
        <w:t>13</w:t>
      </w:r>
      <w:r w:rsidRPr="00AB77E6">
        <w:rPr>
          <w:rFonts w:ascii="Times New Roman" w:eastAsia="宋体" w:hAnsi="Times New Roman" w:cs="宋体" w:hint="eastAsia"/>
          <w:color w:val="333333"/>
          <w:kern w:val="0"/>
          <w:sz w:val="24"/>
          <w:szCs w:val="24"/>
        </w:rPr>
        <w:t>日，太钢集团董事长高某明带队走访中国宝武钢铁集团有限公司（以下简称中国宝武），与中国宝武董事长</w:t>
      </w:r>
      <w:proofErr w:type="gramStart"/>
      <w:r w:rsidRPr="00AB77E6">
        <w:rPr>
          <w:rFonts w:ascii="Times New Roman" w:eastAsia="宋体" w:hAnsi="Times New Roman" w:cs="宋体" w:hint="eastAsia"/>
          <w:color w:val="333333"/>
          <w:kern w:val="0"/>
          <w:sz w:val="24"/>
          <w:szCs w:val="24"/>
        </w:rPr>
        <w:t>陈某荣就</w:t>
      </w:r>
      <w:proofErr w:type="gramEnd"/>
      <w:r w:rsidRPr="00AB77E6">
        <w:rPr>
          <w:rFonts w:ascii="Times New Roman" w:eastAsia="宋体" w:hAnsi="Times New Roman" w:cs="宋体" w:hint="eastAsia"/>
          <w:color w:val="333333"/>
          <w:kern w:val="0"/>
          <w:sz w:val="24"/>
          <w:szCs w:val="24"/>
        </w:rPr>
        <w:t>集团层面重组的框架模式进行初步探讨。</w:t>
      </w:r>
    </w:p>
    <w:p w14:paraId="68D67474" w14:textId="77777777" w:rsidR="00AB77E6" w:rsidRPr="00AB77E6" w:rsidRDefault="00AB77E6" w:rsidP="00AB77E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3E636E" w14:textId="77777777" w:rsidR="00AB77E6" w:rsidRPr="00AB77E6" w:rsidRDefault="00AB77E6" w:rsidP="00AB77E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B77E6">
        <w:rPr>
          <w:rFonts w:ascii="Times New Roman" w:eastAsia="宋体" w:hAnsi="Times New Roman" w:cs="宋体" w:hint="eastAsia"/>
          <w:color w:val="333333"/>
          <w:kern w:val="0"/>
          <w:sz w:val="24"/>
          <w:szCs w:val="24"/>
        </w:rPr>
        <w:t>2020</w:t>
      </w:r>
      <w:r w:rsidRPr="00AB77E6">
        <w:rPr>
          <w:rFonts w:ascii="Times New Roman" w:eastAsia="宋体" w:hAnsi="Times New Roman" w:cs="宋体" w:hint="eastAsia"/>
          <w:color w:val="333333"/>
          <w:kern w:val="0"/>
          <w:sz w:val="24"/>
          <w:szCs w:val="24"/>
        </w:rPr>
        <w:t>年</w:t>
      </w:r>
      <w:r w:rsidRPr="00AB77E6">
        <w:rPr>
          <w:rFonts w:ascii="Times New Roman" w:eastAsia="宋体" w:hAnsi="Times New Roman" w:cs="宋体" w:hint="eastAsia"/>
          <w:color w:val="333333"/>
          <w:kern w:val="0"/>
          <w:sz w:val="24"/>
          <w:szCs w:val="24"/>
        </w:rPr>
        <w:t>1</w:t>
      </w:r>
      <w:r w:rsidRPr="00AB77E6">
        <w:rPr>
          <w:rFonts w:ascii="Times New Roman" w:eastAsia="宋体" w:hAnsi="Times New Roman" w:cs="宋体" w:hint="eastAsia"/>
          <w:color w:val="333333"/>
          <w:kern w:val="0"/>
          <w:sz w:val="24"/>
          <w:szCs w:val="24"/>
        </w:rPr>
        <w:t>月</w:t>
      </w:r>
      <w:r w:rsidRPr="00AB77E6">
        <w:rPr>
          <w:rFonts w:ascii="Times New Roman" w:eastAsia="宋体" w:hAnsi="Times New Roman" w:cs="宋体" w:hint="eastAsia"/>
          <w:color w:val="333333"/>
          <w:kern w:val="0"/>
          <w:sz w:val="24"/>
          <w:szCs w:val="24"/>
        </w:rPr>
        <w:t>9</w:t>
      </w:r>
      <w:r w:rsidRPr="00AB77E6">
        <w:rPr>
          <w:rFonts w:ascii="Times New Roman" w:eastAsia="宋体" w:hAnsi="Times New Roman" w:cs="宋体" w:hint="eastAsia"/>
          <w:color w:val="333333"/>
          <w:kern w:val="0"/>
          <w:sz w:val="24"/>
          <w:szCs w:val="24"/>
        </w:rPr>
        <w:t>日，山西省政府召开专题会议讨论通过太钢集团与中国宝武重组事项，并对下一步工作提出具体要求。</w:t>
      </w:r>
    </w:p>
    <w:p w14:paraId="22792BE9" w14:textId="77777777" w:rsidR="00AB77E6" w:rsidRPr="00AB77E6" w:rsidRDefault="00AB77E6" w:rsidP="00AB77E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963EEC" w14:textId="77777777" w:rsidR="00AB77E6" w:rsidRPr="00AB77E6" w:rsidRDefault="00AB77E6" w:rsidP="00AB77E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B77E6">
        <w:rPr>
          <w:rFonts w:ascii="Times New Roman" w:eastAsia="宋体" w:hAnsi="Times New Roman" w:cs="宋体" w:hint="eastAsia"/>
          <w:color w:val="333333"/>
          <w:kern w:val="0"/>
          <w:sz w:val="24"/>
          <w:szCs w:val="24"/>
        </w:rPr>
        <w:t>2020</w:t>
      </w:r>
      <w:r w:rsidRPr="00AB77E6">
        <w:rPr>
          <w:rFonts w:ascii="Times New Roman" w:eastAsia="宋体" w:hAnsi="Times New Roman" w:cs="宋体" w:hint="eastAsia"/>
          <w:color w:val="333333"/>
          <w:kern w:val="0"/>
          <w:sz w:val="24"/>
          <w:szCs w:val="24"/>
        </w:rPr>
        <w:t>年</w:t>
      </w:r>
      <w:r w:rsidRPr="00AB77E6">
        <w:rPr>
          <w:rFonts w:ascii="Times New Roman" w:eastAsia="宋体" w:hAnsi="Times New Roman" w:cs="宋体" w:hint="eastAsia"/>
          <w:color w:val="333333"/>
          <w:kern w:val="0"/>
          <w:sz w:val="24"/>
          <w:szCs w:val="24"/>
        </w:rPr>
        <w:t>2</w:t>
      </w:r>
      <w:r w:rsidRPr="00AB77E6">
        <w:rPr>
          <w:rFonts w:ascii="Times New Roman" w:eastAsia="宋体" w:hAnsi="Times New Roman" w:cs="宋体" w:hint="eastAsia"/>
          <w:color w:val="333333"/>
          <w:kern w:val="0"/>
          <w:sz w:val="24"/>
          <w:szCs w:val="24"/>
        </w:rPr>
        <w:t>月</w:t>
      </w:r>
      <w:r w:rsidRPr="00AB77E6">
        <w:rPr>
          <w:rFonts w:ascii="Times New Roman" w:eastAsia="宋体" w:hAnsi="Times New Roman" w:cs="宋体" w:hint="eastAsia"/>
          <w:color w:val="333333"/>
          <w:kern w:val="0"/>
          <w:sz w:val="24"/>
          <w:szCs w:val="24"/>
        </w:rPr>
        <w:t>8</w:t>
      </w:r>
      <w:r w:rsidRPr="00AB77E6">
        <w:rPr>
          <w:rFonts w:ascii="Times New Roman" w:eastAsia="宋体" w:hAnsi="Times New Roman" w:cs="宋体" w:hint="eastAsia"/>
          <w:color w:val="333333"/>
          <w:kern w:val="0"/>
          <w:sz w:val="24"/>
          <w:szCs w:val="24"/>
        </w:rPr>
        <w:t>日，为快速推进太钢集团与中国宝武重组可行性研究工作相关事宜，太钢集团成立太钢集团与中国宝武重组可行性研究工作组，时任太钢集团董事、副总经理柴某勇任组长。</w:t>
      </w:r>
    </w:p>
    <w:p w14:paraId="27F89CD5" w14:textId="77777777" w:rsidR="00AB77E6" w:rsidRPr="00AB77E6" w:rsidRDefault="00AB77E6" w:rsidP="00AB77E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A55A98" w14:textId="77777777" w:rsidR="00AB77E6" w:rsidRPr="00AB77E6" w:rsidRDefault="00AB77E6" w:rsidP="00AB77E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B77E6">
        <w:rPr>
          <w:rFonts w:ascii="Times New Roman" w:eastAsia="宋体" w:hAnsi="Times New Roman" w:cs="宋体" w:hint="eastAsia"/>
          <w:color w:val="333333"/>
          <w:kern w:val="0"/>
          <w:sz w:val="24"/>
          <w:szCs w:val="24"/>
        </w:rPr>
        <w:t>2020</w:t>
      </w:r>
      <w:r w:rsidRPr="00AB77E6">
        <w:rPr>
          <w:rFonts w:ascii="Times New Roman" w:eastAsia="宋体" w:hAnsi="Times New Roman" w:cs="宋体" w:hint="eastAsia"/>
          <w:color w:val="333333"/>
          <w:kern w:val="0"/>
          <w:sz w:val="24"/>
          <w:szCs w:val="24"/>
        </w:rPr>
        <w:t>年</w:t>
      </w:r>
      <w:r w:rsidRPr="00AB77E6">
        <w:rPr>
          <w:rFonts w:ascii="Times New Roman" w:eastAsia="宋体" w:hAnsi="Times New Roman" w:cs="宋体" w:hint="eastAsia"/>
          <w:color w:val="333333"/>
          <w:kern w:val="0"/>
          <w:sz w:val="24"/>
          <w:szCs w:val="24"/>
        </w:rPr>
        <w:t>4</w:t>
      </w:r>
      <w:r w:rsidRPr="00AB77E6">
        <w:rPr>
          <w:rFonts w:ascii="Times New Roman" w:eastAsia="宋体" w:hAnsi="Times New Roman" w:cs="宋体" w:hint="eastAsia"/>
          <w:color w:val="333333"/>
          <w:kern w:val="0"/>
          <w:sz w:val="24"/>
          <w:szCs w:val="24"/>
        </w:rPr>
        <w:t>月</w:t>
      </w:r>
      <w:r w:rsidRPr="00AB77E6">
        <w:rPr>
          <w:rFonts w:ascii="Times New Roman" w:eastAsia="宋体" w:hAnsi="Times New Roman" w:cs="宋体" w:hint="eastAsia"/>
          <w:color w:val="333333"/>
          <w:kern w:val="0"/>
          <w:sz w:val="24"/>
          <w:szCs w:val="24"/>
        </w:rPr>
        <w:t>26</w:t>
      </w:r>
      <w:r w:rsidRPr="00AB77E6">
        <w:rPr>
          <w:rFonts w:ascii="Times New Roman" w:eastAsia="宋体" w:hAnsi="Times New Roman" w:cs="宋体" w:hint="eastAsia"/>
          <w:color w:val="333333"/>
          <w:kern w:val="0"/>
          <w:sz w:val="24"/>
          <w:szCs w:val="24"/>
        </w:rPr>
        <w:t>日，太钢集团与山西省国有资本运营有限公司（以下简称山西国运）召开工作会议，讨论太钢集团联合重组可行性研究工作组提出的《关于太钢集团与中国宝武联合重组可行性研究分析汇报》。之后，太钢集团、中国宝武、山西国运等多次组织召开工作会议，持续推进太钢集团与中国宝</w:t>
      </w:r>
      <w:proofErr w:type="gramStart"/>
      <w:r w:rsidRPr="00AB77E6">
        <w:rPr>
          <w:rFonts w:ascii="Times New Roman" w:eastAsia="宋体" w:hAnsi="Times New Roman" w:cs="宋体" w:hint="eastAsia"/>
          <w:color w:val="333333"/>
          <w:kern w:val="0"/>
          <w:sz w:val="24"/>
          <w:szCs w:val="24"/>
        </w:rPr>
        <w:t>武联合</w:t>
      </w:r>
      <w:proofErr w:type="gramEnd"/>
      <w:r w:rsidRPr="00AB77E6">
        <w:rPr>
          <w:rFonts w:ascii="Times New Roman" w:eastAsia="宋体" w:hAnsi="Times New Roman" w:cs="宋体" w:hint="eastAsia"/>
          <w:color w:val="333333"/>
          <w:kern w:val="0"/>
          <w:sz w:val="24"/>
          <w:szCs w:val="24"/>
        </w:rPr>
        <w:t>重组项目。</w:t>
      </w:r>
    </w:p>
    <w:p w14:paraId="6D912A12" w14:textId="77777777" w:rsidR="00AB77E6" w:rsidRPr="00AB77E6" w:rsidRDefault="00AB77E6" w:rsidP="00AB77E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07DEDC" w14:textId="77777777" w:rsidR="00AB77E6" w:rsidRPr="00AB77E6" w:rsidRDefault="00AB77E6" w:rsidP="00AB77E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B77E6">
        <w:rPr>
          <w:rFonts w:ascii="Times New Roman" w:eastAsia="宋体" w:hAnsi="Times New Roman" w:cs="宋体" w:hint="eastAsia"/>
          <w:color w:val="333333"/>
          <w:kern w:val="0"/>
          <w:sz w:val="24"/>
          <w:szCs w:val="24"/>
        </w:rPr>
        <w:t>2020</w:t>
      </w:r>
      <w:r w:rsidRPr="00AB77E6">
        <w:rPr>
          <w:rFonts w:ascii="Times New Roman" w:eastAsia="宋体" w:hAnsi="Times New Roman" w:cs="宋体" w:hint="eastAsia"/>
          <w:color w:val="333333"/>
          <w:kern w:val="0"/>
          <w:sz w:val="24"/>
          <w:szCs w:val="24"/>
        </w:rPr>
        <w:t>年</w:t>
      </w:r>
      <w:r w:rsidRPr="00AB77E6">
        <w:rPr>
          <w:rFonts w:ascii="Times New Roman" w:eastAsia="宋体" w:hAnsi="Times New Roman" w:cs="宋体" w:hint="eastAsia"/>
          <w:color w:val="333333"/>
          <w:kern w:val="0"/>
          <w:sz w:val="24"/>
          <w:szCs w:val="24"/>
        </w:rPr>
        <w:t>8</w:t>
      </w:r>
      <w:r w:rsidRPr="00AB77E6">
        <w:rPr>
          <w:rFonts w:ascii="Times New Roman" w:eastAsia="宋体" w:hAnsi="Times New Roman" w:cs="宋体" w:hint="eastAsia"/>
          <w:color w:val="333333"/>
          <w:kern w:val="0"/>
          <w:sz w:val="24"/>
          <w:szCs w:val="24"/>
        </w:rPr>
        <w:t>月</w:t>
      </w:r>
      <w:r w:rsidRPr="00AB77E6">
        <w:rPr>
          <w:rFonts w:ascii="Times New Roman" w:eastAsia="宋体" w:hAnsi="Times New Roman" w:cs="宋体" w:hint="eastAsia"/>
          <w:color w:val="333333"/>
          <w:kern w:val="0"/>
          <w:sz w:val="24"/>
          <w:szCs w:val="24"/>
        </w:rPr>
        <w:t>20</w:t>
      </w:r>
      <w:r w:rsidRPr="00AB77E6">
        <w:rPr>
          <w:rFonts w:ascii="Times New Roman" w:eastAsia="宋体" w:hAnsi="Times New Roman" w:cs="宋体" w:hint="eastAsia"/>
          <w:color w:val="333333"/>
          <w:kern w:val="0"/>
          <w:sz w:val="24"/>
          <w:szCs w:val="24"/>
        </w:rPr>
        <w:t>日，山西太钢不锈钢股份有限公司（以下简称太钢不锈）通过深圳证券交易所披露《关于重大事项停牌公告》，称太钢集团的控股股东将签订涉及太钢不锈实际控制人变更的相关协议。</w:t>
      </w:r>
      <w:r w:rsidRPr="00AB77E6">
        <w:rPr>
          <w:rFonts w:ascii="Times New Roman" w:eastAsia="宋体" w:hAnsi="Times New Roman" w:cs="宋体" w:hint="eastAsia"/>
          <w:color w:val="333333"/>
          <w:kern w:val="0"/>
          <w:sz w:val="24"/>
          <w:szCs w:val="24"/>
        </w:rPr>
        <w:t>2020</w:t>
      </w:r>
      <w:r w:rsidRPr="00AB77E6">
        <w:rPr>
          <w:rFonts w:ascii="Times New Roman" w:eastAsia="宋体" w:hAnsi="Times New Roman" w:cs="宋体" w:hint="eastAsia"/>
          <w:color w:val="333333"/>
          <w:kern w:val="0"/>
          <w:sz w:val="24"/>
          <w:szCs w:val="24"/>
        </w:rPr>
        <w:t>年</w:t>
      </w:r>
      <w:r w:rsidRPr="00AB77E6">
        <w:rPr>
          <w:rFonts w:ascii="Times New Roman" w:eastAsia="宋体" w:hAnsi="Times New Roman" w:cs="宋体" w:hint="eastAsia"/>
          <w:color w:val="333333"/>
          <w:kern w:val="0"/>
          <w:sz w:val="24"/>
          <w:szCs w:val="24"/>
        </w:rPr>
        <w:t>8</w:t>
      </w:r>
      <w:r w:rsidRPr="00AB77E6">
        <w:rPr>
          <w:rFonts w:ascii="Times New Roman" w:eastAsia="宋体" w:hAnsi="Times New Roman" w:cs="宋体" w:hint="eastAsia"/>
          <w:color w:val="333333"/>
          <w:kern w:val="0"/>
          <w:sz w:val="24"/>
          <w:szCs w:val="24"/>
        </w:rPr>
        <w:t>月</w:t>
      </w:r>
      <w:r w:rsidRPr="00AB77E6">
        <w:rPr>
          <w:rFonts w:ascii="Times New Roman" w:eastAsia="宋体" w:hAnsi="Times New Roman" w:cs="宋体" w:hint="eastAsia"/>
          <w:color w:val="333333"/>
          <w:kern w:val="0"/>
          <w:sz w:val="24"/>
          <w:szCs w:val="24"/>
        </w:rPr>
        <w:t>21</w:t>
      </w:r>
      <w:r w:rsidRPr="00AB77E6">
        <w:rPr>
          <w:rFonts w:ascii="Times New Roman" w:eastAsia="宋体" w:hAnsi="Times New Roman" w:cs="宋体" w:hint="eastAsia"/>
          <w:color w:val="333333"/>
          <w:kern w:val="0"/>
          <w:sz w:val="24"/>
          <w:szCs w:val="24"/>
        </w:rPr>
        <w:t>日，山西国运与中国宝</w:t>
      </w:r>
      <w:proofErr w:type="gramStart"/>
      <w:r w:rsidRPr="00AB77E6">
        <w:rPr>
          <w:rFonts w:ascii="Times New Roman" w:eastAsia="宋体" w:hAnsi="Times New Roman" w:cs="宋体" w:hint="eastAsia"/>
          <w:color w:val="333333"/>
          <w:kern w:val="0"/>
          <w:sz w:val="24"/>
          <w:szCs w:val="24"/>
        </w:rPr>
        <w:t>武签署</w:t>
      </w:r>
      <w:proofErr w:type="gramEnd"/>
      <w:r w:rsidRPr="00AB77E6">
        <w:rPr>
          <w:rFonts w:ascii="Times New Roman" w:eastAsia="宋体" w:hAnsi="Times New Roman" w:cs="宋体" w:hint="eastAsia"/>
          <w:color w:val="333333"/>
          <w:kern w:val="0"/>
          <w:sz w:val="24"/>
          <w:szCs w:val="24"/>
        </w:rPr>
        <w:t>《关于太原钢铁（集团）有限公司股权无偿划转协议》。同日，太钢不锈通过深圳证券交易所披露《关于山西省国有资本运营有限公司向</w:t>
      </w:r>
      <w:r w:rsidRPr="00AB77E6">
        <w:rPr>
          <w:rFonts w:ascii="Times New Roman" w:eastAsia="宋体" w:hAnsi="Times New Roman" w:cs="宋体" w:hint="eastAsia"/>
          <w:color w:val="333333"/>
          <w:kern w:val="0"/>
          <w:sz w:val="24"/>
          <w:szCs w:val="24"/>
        </w:rPr>
        <w:lastRenderedPageBreak/>
        <w:t>中国宝武钢铁集团有限公司无偿划转太原钢铁（集团）有限公司</w:t>
      </w:r>
      <w:r w:rsidRPr="00AB77E6">
        <w:rPr>
          <w:rFonts w:ascii="Times New Roman" w:eastAsia="宋体" w:hAnsi="Times New Roman" w:cs="宋体" w:hint="eastAsia"/>
          <w:color w:val="333333"/>
          <w:kern w:val="0"/>
          <w:sz w:val="24"/>
          <w:szCs w:val="24"/>
        </w:rPr>
        <w:t>51%</w:t>
      </w:r>
      <w:r w:rsidRPr="00AB77E6">
        <w:rPr>
          <w:rFonts w:ascii="Times New Roman" w:eastAsia="宋体" w:hAnsi="Times New Roman" w:cs="宋体" w:hint="eastAsia"/>
          <w:color w:val="333333"/>
          <w:kern w:val="0"/>
          <w:sz w:val="24"/>
          <w:szCs w:val="24"/>
        </w:rPr>
        <w:t>股权暨公司实际控制人变更的提示性公告》，称山西国运与中国宝</w:t>
      </w:r>
      <w:proofErr w:type="gramStart"/>
      <w:r w:rsidRPr="00AB77E6">
        <w:rPr>
          <w:rFonts w:ascii="Times New Roman" w:eastAsia="宋体" w:hAnsi="Times New Roman" w:cs="宋体" w:hint="eastAsia"/>
          <w:color w:val="333333"/>
          <w:kern w:val="0"/>
          <w:sz w:val="24"/>
          <w:szCs w:val="24"/>
        </w:rPr>
        <w:t>武签署</w:t>
      </w:r>
      <w:proofErr w:type="gramEnd"/>
      <w:r w:rsidRPr="00AB77E6">
        <w:rPr>
          <w:rFonts w:ascii="Times New Roman" w:eastAsia="宋体" w:hAnsi="Times New Roman" w:cs="宋体" w:hint="eastAsia"/>
          <w:color w:val="333333"/>
          <w:kern w:val="0"/>
          <w:sz w:val="24"/>
          <w:szCs w:val="24"/>
        </w:rPr>
        <w:t>《关于太原钢铁（集团）有限公司股权无偿划转协议》，山西国运将向中国宝武无偿划转其持有的太钢集团</w:t>
      </w:r>
      <w:r w:rsidRPr="00AB77E6">
        <w:rPr>
          <w:rFonts w:ascii="Times New Roman" w:eastAsia="宋体" w:hAnsi="Times New Roman" w:cs="宋体" w:hint="eastAsia"/>
          <w:color w:val="333333"/>
          <w:kern w:val="0"/>
          <w:sz w:val="24"/>
          <w:szCs w:val="24"/>
        </w:rPr>
        <w:t>51%</w:t>
      </w:r>
      <w:r w:rsidRPr="00AB77E6">
        <w:rPr>
          <w:rFonts w:ascii="Times New Roman" w:eastAsia="宋体" w:hAnsi="Times New Roman" w:cs="宋体" w:hint="eastAsia"/>
          <w:color w:val="333333"/>
          <w:kern w:val="0"/>
          <w:sz w:val="24"/>
          <w:szCs w:val="24"/>
        </w:rPr>
        <w:t>股权。本次划转完成后，中国宝武将通过太钢集团间接控制太钢不锈</w:t>
      </w:r>
      <w:r w:rsidRPr="00AB77E6">
        <w:rPr>
          <w:rFonts w:ascii="Times New Roman" w:eastAsia="宋体" w:hAnsi="Times New Roman" w:cs="宋体" w:hint="eastAsia"/>
          <w:color w:val="333333"/>
          <w:kern w:val="0"/>
          <w:sz w:val="24"/>
          <w:szCs w:val="24"/>
        </w:rPr>
        <w:t>62.70%</w:t>
      </w:r>
      <w:r w:rsidRPr="00AB77E6">
        <w:rPr>
          <w:rFonts w:ascii="Times New Roman" w:eastAsia="宋体" w:hAnsi="Times New Roman" w:cs="宋体" w:hint="eastAsia"/>
          <w:color w:val="333333"/>
          <w:kern w:val="0"/>
          <w:sz w:val="24"/>
          <w:szCs w:val="24"/>
        </w:rPr>
        <w:t>的股份，并实现对太钢不锈的控制。太钢不锈的实际控制人将由山西省国有资产监督管理委员会变更为国务院国有资产监督管理委员会。</w:t>
      </w:r>
    </w:p>
    <w:p w14:paraId="49FD9488" w14:textId="77777777" w:rsidR="00AB77E6" w:rsidRPr="00AB77E6" w:rsidRDefault="00AB77E6" w:rsidP="00AB77E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3813EE" w14:textId="77777777" w:rsidR="00AB77E6" w:rsidRPr="00AB77E6" w:rsidRDefault="00AB77E6" w:rsidP="00AB77E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B77E6">
        <w:rPr>
          <w:rFonts w:ascii="Times New Roman" w:eastAsia="宋体" w:hAnsi="Times New Roman" w:cs="宋体" w:hint="eastAsia"/>
          <w:color w:val="333333"/>
          <w:kern w:val="0"/>
          <w:sz w:val="24"/>
          <w:szCs w:val="24"/>
        </w:rPr>
        <w:t>山西国运向中国宝武无偿划转其持有的太钢集团</w:t>
      </w:r>
      <w:r w:rsidRPr="00AB77E6">
        <w:rPr>
          <w:rFonts w:ascii="Times New Roman" w:eastAsia="宋体" w:hAnsi="Times New Roman" w:cs="宋体" w:hint="eastAsia"/>
          <w:color w:val="333333"/>
          <w:kern w:val="0"/>
          <w:sz w:val="24"/>
          <w:szCs w:val="24"/>
        </w:rPr>
        <w:t>51%</w:t>
      </w:r>
      <w:r w:rsidRPr="00AB77E6">
        <w:rPr>
          <w:rFonts w:ascii="Times New Roman" w:eastAsia="宋体" w:hAnsi="Times New Roman" w:cs="宋体" w:hint="eastAsia"/>
          <w:color w:val="333333"/>
          <w:kern w:val="0"/>
          <w:sz w:val="24"/>
          <w:szCs w:val="24"/>
        </w:rPr>
        <w:t>股权，变更太钢不锈实际控制人，属于《证券法》第八十条第二款第八项规定的重大事件，构成《证券法》第五十二条规定的内幕信息。该内幕信息于</w:t>
      </w:r>
      <w:r w:rsidRPr="00AB77E6">
        <w:rPr>
          <w:rFonts w:ascii="Times New Roman" w:eastAsia="宋体" w:hAnsi="Times New Roman" w:cs="宋体" w:hint="eastAsia"/>
          <w:color w:val="333333"/>
          <w:kern w:val="0"/>
          <w:sz w:val="24"/>
          <w:szCs w:val="24"/>
        </w:rPr>
        <w:t>2020</w:t>
      </w:r>
      <w:r w:rsidRPr="00AB77E6">
        <w:rPr>
          <w:rFonts w:ascii="Times New Roman" w:eastAsia="宋体" w:hAnsi="Times New Roman" w:cs="宋体" w:hint="eastAsia"/>
          <w:color w:val="333333"/>
          <w:kern w:val="0"/>
          <w:sz w:val="24"/>
          <w:szCs w:val="24"/>
        </w:rPr>
        <w:t>年</w:t>
      </w:r>
      <w:r w:rsidRPr="00AB77E6">
        <w:rPr>
          <w:rFonts w:ascii="Times New Roman" w:eastAsia="宋体" w:hAnsi="Times New Roman" w:cs="宋体" w:hint="eastAsia"/>
          <w:color w:val="333333"/>
          <w:kern w:val="0"/>
          <w:sz w:val="24"/>
          <w:szCs w:val="24"/>
        </w:rPr>
        <w:t>1</w:t>
      </w:r>
      <w:r w:rsidRPr="00AB77E6">
        <w:rPr>
          <w:rFonts w:ascii="Times New Roman" w:eastAsia="宋体" w:hAnsi="Times New Roman" w:cs="宋体" w:hint="eastAsia"/>
          <w:color w:val="333333"/>
          <w:kern w:val="0"/>
          <w:sz w:val="24"/>
          <w:szCs w:val="24"/>
        </w:rPr>
        <w:t>月</w:t>
      </w:r>
      <w:r w:rsidRPr="00AB77E6">
        <w:rPr>
          <w:rFonts w:ascii="Times New Roman" w:eastAsia="宋体" w:hAnsi="Times New Roman" w:cs="宋体" w:hint="eastAsia"/>
          <w:color w:val="333333"/>
          <w:kern w:val="0"/>
          <w:sz w:val="24"/>
          <w:szCs w:val="24"/>
        </w:rPr>
        <w:t>9</w:t>
      </w:r>
      <w:r w:rsidRPr="00AB77E6">
        <w:rPr>
          <w:rFonts w:ascii="Times New Roman" w:eastAsia="宋体" w:hAnsi="Times New Roman" w:cs="宋体" w:hint="eastAsia"/>
          <w:color w:val="333333"/>
          <w:kern w:val="0"/>
          <w:sz w:val="24"/>
          <w:szCs w:val="24"/>
        </w:rPr>
        <w:t>日形成，于</w:t>
      </w:r>
      <w:r w:rsidRPr="00AB77E6">
        <w:rPr>
          <w:rFonts w:ascii="Times New Roman" w:eastAsia="宋体" w:hAnsi="Times New Roman" w:cs="宋体" w:hint="eastAsia"/>
          <w:color w:val="333333"/>
          <w:kern w:val="0"/>
          <w:sz w:val="24"/>
          <w:szCs w:val="24"/>
        </w:rPr>
        <w:t>2020</w:t>
      </w:r>
      <w:r w:rsidRPr="00AB77E6">
        <w:rPr>
          <w:rFonts w:ascii="Times New Roman" w:eastAsia="宋体" w:hAnsi="Times New Roman" w:cs="宋体" w:hint="eastAsia"/>
          <w:color w:val="333333"/>
          <w:kern w:val="0"/>
          <w:sz w:val="24"/>
          <w:szCs w:val="24"/>
        </w:rPr>
        <w:t>年</w:t>
      </w:r>
      <w:r w:rsidRPr="00AB77E6">
        <w:rPr>
          <w:rFonts w:ascii="Times New Roman" w:eastAsia="宋体" w:hAnsi="Times New Roman" w:cs="宋体" w:hint="eastAsia"/>
          <w:color w:val="333333"/>
          <w:kern w:val="0"/>
          <w:sz w:val="24"/>
          <w:szCs w:val="24"/>
        </w:rPr>
        <w:t>8</w:t>
      </w:r>
      <w:r w:rsidRPr="00AB77E6">
        <w:rPr>
          <w:rFonts w:ascii="Times New Roman" w:eastAsia="宋体" w:hAnsi="Times New Roman" w:cs="宋体" w:hint="eastAsia"/>
          <w:color w:val="333333"/>
          <w:kern w:val="0"/>
          <w:sz w:val="24"/>
          <w:szCs w:val="24"/>
        </w:rPr>
        <w:t>月</w:t>
      </w:r>
      <w:r w:rsidRPr="00AB77E6">
        <w:rPr>
          <w:rFonts w:ascii="Times New Roman" w:eastAsia="宋体" w:hAnsi="Times New Roman" w:cs="宋体" w:hint="eastAsia"/>
          <w:color w:val="333333"/>
          <w:kern w:val="0"/>
          <w:sz w:val="24"/>
          <w:szCs w:val="24"/>
        </w:rPr>
        <w:t>20</w:t>
      </w:r>
      <w:r w:rsidRPr="00AB77E6">
        <w:rPr>
          <w:rFonts w:ascii="Times New Roman" w:eastAsia="宋体" w:hAnsi="Times New Roman" w:cs="宋体" w:hint="eastAsia"/>
          <w:color w:val="333333"/>
          <w:kern w:val="0"/>
          <w:sz w:val="24"/>
          <w:szCs w:val="24"/>
        </w:rPr>
        <w:t>日公开。</w:t>
      </w:r>
    </w:p>
    <w:p w14:paraId="226141DE" w14:textId="77777777" w:rsidR="00AB77E6" w:rsidRPr="00AB77E6" w:rsidRDefault="00AB77E6" w:rsidP="00AB77E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28A22A" w14:textId="77777777" w:rsidR="00AB77E6" w:rsidRPr="00AB77E6" w:rsidRDefault="00AB77E6" w:rsidP="00AB77E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B77E6">
        <w:rPr>
          <w:rFonts w:ascii="Times New Roman" w:eastAsia="宋体" w:hAnsi="Times New Roman" w:cs="宋体" w:hint="eastAsia"/>
          <w:color w:val="333333"/>
          <w:kern w:val="0"/>
          <w:sz w:val="24"/>
          <w:szCs w:val="24"/>
        </w:rPr>
        <w:t>二、吴晓莉泄露内幕信息</w:t>
      </w:r>
    </w:p>
    <w:p w14:paraId="19E1E7CC" w14:textId="77777777" w:rsidR="00AB77E6" w:rsidRPr="00AB77E6" w:rsidRDefault="00AB77E6" w:rsidP="00AB77E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863BFA" w14:textId="77777777" w:rsidR="00AB77E6" w:rsidRPr="00AB77E6" w:rsidRDefault="00AB77E6" w:rsidP="00AB77E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B77E6">
        <w:rPr>
          <w:rFonts w:ascii="Times New Roman" w:eastAsia="宋体" w:hAnsi="Times New Roman" w:cs="宋体" w:hint="eastAsia"/>
          <w:color w:val="333333"/>
          <w:kern w:val="0"/>
          <w:sz w:val="24"/>
          <w:szCs w:val="24"/>
        </w:rPr>
        <w:t>柴某勇作为太钢集团董事、副总经理，直接组织、参与山西国运向中国宝武无偿划转太钢集团</w:t>
      </w:r>
      <w:r w:rsidRPr="00AB77E6">
        <w:rPr>
          <w:rFonts w:ascii="Times New Roman" w:eastAsia="宋体" w:hAnsi="Times New Roman" w:cs="宋体" w:hint="eastAsia"/>
          <w:color w:val="333333"/>
          <w:kern w:val="0"/>
          <w:sz w:val="24"/>
          <w:szCs w:val="24"/>
        </w:rPr>
        <w:t>51%</w:t>
      </w:r>
      <w:r w:rsidRPr="00AB77E6">
        <w:rPr>
          <w:rFonts w:ascii="Times New Roman" w:eastAsia="宋体" w:hAnsi="Times New Roman" w:cs="宋体" w:hint="eastAsia"/>
          <w:color w:val="333333"/>
          <w:kern w:val="0"/>
          <w:sz w:val="24"/>
          <w:szCs w:val="24"/>
        </w:rPr>
        <w:t>股权</w:t>
      </w:r>
      <w:r w:rsidRPr="00AB77E6">
        <w:rPr>
          <w:rFonts w:ascii="Times New Roman" w:eastAsia="宋体" w:hAnsi="Times New Roman" w:cs="宋体" w:hint="eastAsia"/>
          <w:color w:val="333333"/>
          <w:kern w:val="0"/>
          <w:sz w:val="24"/>
          <w:szCs w:val="24"/>
        </w:rPr>
        <w:t>,</w:t>
      </w:r>
      <w:r w:rsidRPr="00AB77E6">
        <w:rPr>
          <w:rFonts w:ascii="Times New Roman" w:eastAsia="宋体" w:hAnsi="Times New Roman" w:cs="宋体" w:hint="eastAsia"/>
          <w:color w:val="333333"/>
          <w:kern w:val="0"/>
          <w:sz w:val="24"/>
          <w:szCs w:val="24"/>
        </w:rPr>
        <w:t>变更太钢不锈实际控制人的动议、筹划和实施，属于《证券法》第五十一条第二项规定的内幕信息知情人。在内幕信息敏感期内，柴某勇数次与项目组成员之外的吴晓莉讨论太钢集团重组相关信息，吴晓莉由此得知内幕信息。吴晓莉和李某英是多年好友，吴晓莉在获知内幕信息后，数次与李某英谈论太钢集团重组的事情，将该内幕信息泄露给李某英。李某英获知内幕信息后，内幕交易“太钢不锈”。</w:t>
      </w:r>
    </w:p>
    <w:p w14:paraId="5AB7A881" w14:textId="77777777" w:rsidR="00AB77E6" w:rsidRPr="00AB77E6" w:rsidRDefault="00AB77E6" w:rsidP="00AB77E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C85007" w14:textId="77777777" w:rsidR="00AB77E6" w:rsidRPr="00AB77E6" w:rsidRDefault="00AB77E6" w:rsidP="00AB77E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B77E6">
        <w:rPr>
          <w:rFonts w:ascii="Times New Roman" w:eastAsia="宋体" w:hAnsi="Times New Roman" w:cs="宋体" w:hint="eastAsia"/>
          <w:color w:val="333333"/>
          <w:kern w:val="0"/>
          <w:sz w:val="24"/>
          <w:szCs w:val="24"/>
        </w:rPr>
        <w:t>上述违法事实有相关公告信息、交易流水、相关当事人的询问笔录、讯问笔录以及悔过书等证据证明，足以认定。</w:t>
      </w:r>
    </w:p>
    <w:p w14:paraId="69B2FD59" w14:textId="77777777" w:rsidR="00AB77E6" w:rsidRPr="00AB77E6" w:rsidRDefault="00AB77E6" w:rsidP="00AB77E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AE3340" w14:textId="77777777" w:rsidR="00AB77E6" w:rsidRPr="00AB77E6" w:rsidRDefault="00AB77E6" w:rsidP="00AB77E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B77E6">
        <w:rPr>
          <w:rFonts w:ascii="Times New Roman" w:eastAsia="宋体" w:hAnsi="Times New Roman" w:cs="宋体" w:hint="eastAsia"/>
          <w:color w:val="333333"/>
          <w:kern w:val="0"/>
          <w:sz w:val="24"/>
          <w:szCs w:val="24"/>
        </w:rPr>
        <w:t>吴晓莉的行为违反了《证券法》第五十三条第一款的规定，构成了《证券法》第一百九十一条第一款所述的内幕交易行为。</w:t>
      </w:r>
    </w:p>
    <w:p w14:paraId="3FF0D1A7" w14:textId="77777777" w:rsidR="00AB77E6" w:rsidRPr="00AB77E6" w:rsidRDefault="00AB77E6" w:rsidP="00AB77E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A7BE60" w14:textId="77777777" w:rsidR="00AB77E6" w:rsidRPr="00AB77E6" w:rsidRDefault="00AB77E6" w:rsidP="00AB77E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B77E6">
        <w:rPr>
          <w:rFonts w:ascii="Times New Roman" w:eastAsia="宋体" w:hAnsi="Times New Roman" w:cs="宋体" w:hint="eastAsia"/>
          <w:color w:val="333333"/>
          <w:kern w:val="0"/>
          <w:sz w:val="24"/>
          <w:szCs w:val="24"/>
        </w:rPr>
        <w:lastRenderedPageBreak/>
        <w:t>根据当事人违法行为的事实、性质、情节与社会危害程度，依据《证券法》第一百九十一条第一款的规定，我局决定：对吴晓莉处以</w:t>
      </w:r>
      <w:r w:rsidRPr="00AB77E6">
        <w:rPr>
          <w:rFonts w:ascii="Times New Roman" w:eastAsia="宋体" w:hAnsi="Times New Roman" w:cs="宋体" w:hint="eastAsia"/>
          <w:color w:val="333333"/>
          <w:kern w:val="0"/>
          <w:sz w:val="24"/>
          <w:szCs w:val="24"/>
        </w:rPr>
        <w:t>50</w:t>
      </w:r>
      <w:r w:rsidRPr="00AB77E6">
        <w:rPr>
          <w:rFonts w:ascii="Times New Roman" w:eastAsia="宋体" w:hAnsi="Times New Roman" w:cs="宋体" w:hint="eastAsia"/>
          <w:color w:val="333333"/>
          <w:kern w:val="0"/>
          <w:sz w:val="24"/>
          <w:szCs w:val="24"/>
        </w:rPr>
        <w:t>万元罚款。</w:t>
      </w:r>
    </w:p>
    <w:p w14:paraId="023F2007" w14:textId="77777777" w:rsidR="00AB77E6" w:rsidRPr="00AB77E6" w:rsidRDefault="00AB77E6" w:rsidP="00AB77E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BC5408" w14:textId="77777777" w:rsidR="00AB77E6" w:rsidRPr="00AB77E6" w:rsidRDefault="00AB77E6" w:rsidP="00AB77E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B77E6">
        <w:rPr>
          <w:rFonts w:ascii="Times New Roman" w:eastAsia="宋体" w:hAnsi="Times New Roman" w:cs="宋体" w:hint="eastAsia"/>
          <w:color w:val="333333"/>
          <w:kern w:val="0"/>
          <w:sz w:val="24"/>
          <w:szCs w:val="24"/>
        </w:rPr>
        <w:t>上述当事人应自收到本处罚决定书之日起</w:t>
      </w:r>
      <w:r w:rsidRPr="00AB77E6">
        <w:rPr>
          <w:rFonts w:ascii="Times New Roman" w:eastAsia="宋体" w:hAnsi="Times New Roman" w:cs="宋体" w:hint="eastAsia"/>
          <w:color w:val="333333"/>
          <w:kern w:val="0"/>
          <w:sz w:val="24"/>
          <w:szCs w:val="24"/>
        </w:rPr>
        <w:t>15</w:t>
      </w:r>
      <w:r w:rsidRPr="00AB77E6">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AB77E6">
        <w:rPr>
          <w:rFonts w:ascii="Times New Roman" w:eastAsia="宋体" w:hAnsi="Times New Roman" w:cs="宋体" w:hint="eastAsia"/>
          <w:color w:val="333333"/>
          <w:kern w:val="0"/>
          <w:sz w:val="24"/>
          <w:szCs w:val="24"/>
        </w:rPr>
        <w:t>7111010189800000162</w:t>
      </w:r>
      <w:r w:rsidRPr="00AB77E6">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，由该行直接上缴国库，并将注有当事人名称的付款凭证复印件送中国证券监督管理委员会行政处罚委员会办公室和我局备案。当事人如果对本处罚决定不服，可在收到本处罚决定书之日起</w:t>
      </w:r>
      <w:r w:rsidRPr="00AB77E6">
        <w:rPr>
          <w:rFonts w:ascii="Times New Roman" w:eastAsia="宋体" w:hAnsi="Times New Roman" w:cs="宋体" w:hint="eastAsia"/>
          <w:color w:val="333333"/>
          <w:kern w:val="0"/>
          <w:sz w:val="24"/>
          <w:szCs w:val="24"/>
        </w:rPr>
        <w:t>60</w:t>
      </w:r>
      <w:r w:rsidRPr="00AB77E6">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AB77E6">
        <w:rPr>
          <w:rFonts w:ascii="Times New Roman" w:eastAsia="宋体" w:hAnsi="Times New Roman" w:cs="宋体" w:hint="eastAsia"/>
          <w:color w:val="333333"/>
          <w:kern w:val="0"/>
          <w:sz w:val="24"/>
          <w:szCs w:val="24"/>
        </w:rPr>
        <w:t>6</w:t>
      </w:r>
      <w:r w:rsidRPr="00AB77E6">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35F0862F" w14:textId="77777777" w:rsidR="00AB77E6" w:rsidRPr="00AB77E6" w:rsidRDefault="00AB77E6" w:rsidP="00AB77E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588A4B" w14:textId="77777777" w:rsidR="00AB77E6" w:rsidRPr="00AB77E6" w:rsidRDefault="00AB77E6" w:rsidP="00AB77E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B77E6">
        <w:rPr>
          <w:rFonts w:ascii="Times New Roman" w:eastAsia="宋体" w:hAnsi="Times New Roman" w:cs="宋体"/>
          <w:color w:val="333333"/>
          <w:kern w:val="0"/>
          <w:sz w:val="24"/>
          <w:szCs w:val="24"/>
        </w:rPr>
        <w:t> </w:t>
      </w:r>
    </w:p>
    <w:p w14:paraId="4ABE5B8D" w14:textId="77777777" w:rsidR="00AB77E6" w:rsidRPr="00AB77E6" w:rsidRDefault="00AB77E6" w:rsidP="00AB77E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CB172E" w14:textId="77777777" w:rsidR="00AB77E6" w:rsidRPr="00AB77E6" w:rsidRDefault="00AB77E6" w:rsidP="00AB77E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B77E6">
        <w:rPr>
          <w:rFonts w:ascii="Times New Roman" w:eastAsia="宋体" w:hAnsi="Times New Roman" w:cs="宋体" w:hint="eastAsia"/>
          <w:color w:val="333333"/>
          <w:kern w:val="0"/>
          <w:sz w:val="24"/>
          <w:szCs w:val="24"/>
        </w:rPr>
        <w:t>中国证券监督管理委员会山西监管局</w:t>
      </w:r>
    </w:p>
    <w:p w14:paraId="2144E2DB" w14:textId="77777777" w:rsidR="00AB77E6" w:rsidRPr="00AB77E6" w:rsidRDefault="00AB77E6" w:rsidP="00AB77E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6ABFA64D" w:rsidR="004D1A0A" w:rsidRDefault="00AB77E6" w:rsidP="00AB77E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B77E6">
        <w:rPr>
          <w:rFonts w:ascii="Times New Roman" w:eastAsia="宋体" w:hAnsi="Times New Roman" w:cs="宋体"/>
          <w:color w:val="333333"/>
          <w:kern w:val="0"/>
          <w:sz w:val="24"/>
          <w:szCs w:val="24"/>
        </w:rPr>
        <w:t>2023</w:t>
      </w:r>
      <w:r w:rsidRPr="00AB77E6">
        <w:rPr>
          <w:rFonts w:ascii="Times New Roman" w:eastAsia="宋体" w:hAnsi="Times New Roman" w:cs="宋体"/>
          <w:color w:val="333333"/>
          <w:kern w:val="0"/>
          <w:sz w:val="24"/>
          <w:szCs w:val="24"/>
        </w:rPr>
        <w:t>年</w:t>
      </w:r>
      <w:r w:rsidRPr="00AB77E6">
        <w:rPr>
          <w:rFonts w:ascii="Times New Roman" w:eastAsia="宋体" w:hAnsi="Times New Roman" w:cs="宋体"/>
          <w:color w:val="333333"/>
          <w:kern w:val="0"/>
          <w:sz w:val="24"/>
          <w:szCs w:val="24"/>
        </w:rPr>
        <w:t>12</w:t>
      </w:r>
      <w:r w:rsidRPr="00AB77E6">
        <w:rPr>
          <w:rFonts w:ascii="Times New Roman" w:eastAsia="宋体" w:hAnsi="Times New Roman" w:cs="宋体"/>
          <w:color w:val="333333"/>
          <w:kern w:val="0"/>
          <w:sz w:val="24"/>
          <w:szCs w:val="24"/>
        </w:rPr>
        <w:t>月</w:t>
      </w:r>
      <w:r w:rsidRPr="00AB77E6">
        <w:rPr>
          <w:rFonts w:ascii="Times New Roman" w:eastAsia="宋体" w:hAnsi="Times New Roman" w:cs="宋体"/>
          <w:color w:val="333333"/>
          <w:kern w:val="0"/>
          <w:sz w:val="24"/>
          <w:szCs w:val="24"/>
        </w:rPr>
        <w:t>21</w:t>
      </w:r>
      <w:r w:rsidRPr="00AB77E6">
        <w:rPr>
          <w:rFonts w:ascii="Times New Roman" w:eastAsia="宋体" w:hAnsi="Times New Roman" w:cs="宋体"/>
          <w:color w:val="333333"/>
          <w:kern w:val="0"/>
          <w:sz w:val="24"/>
          <w:szCs w:val="24"/>
        </w:rPr>
        <w:t>日</w:t>
      </w:r>
      <w:r w:rsidRPr="00AB77E6">
        <w:rPr>
          <w:rFonts w:ascii="Times New Roman" w:eastAsia="宋体" w:hAnsi="Times New Roman" w:cs="宋体"/>
          <w:color w:val="333333"/>
          <w:kern w:val="0"/>
          <w:sz w:val="24"/>
          <w:szCs w:val="24"/>
        </w:rPr>
        <w:t>   </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BEB33E" w14:textId="77777777" w:rsidR="00157197" w:rsidRDefault="00157197" w:rsidP="00F968D2">
      <w:pPr>
        <w:rPr>
          <w:rFonts w:hint="eastAsia"/>
        </w:rPr>
      </w:pPr>
      <w:r>
        <w:separator/>
      </w:r>
    </w:p>
  </w:endnote>
  <w:endnote w:type="continuationSeparator" w:id="0">
    <w:p w14:paraId="531F49E7" w14:textId="77777777" w:rsidR="00157197" w:rsidRDefault="00157197"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D83915" w14:textId="77777777" w:rsidR="00157197" w:rsidRDefault="00157197" w:rsidP="00F968D2">
      <w:pPr>
        <w:rPr>
          <w:rFonts w:hint="eastAsia"/>
        </w:rPr>
      </w:pPr>
      <w:r>
        <w:separator/>
      </w:r>
    </w:p>
  </w:footnote>
  <w:footnote w:type="continuationSeparator" w:id="0">
    <w:p w14:paraId="725C2F62" w14:textId="77777777" w:rsidR="00157197" w:rsidRDefault="00157197"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157197"/>
    <w:rsid w:val="002D0D23"/>
    <w:rsid w:val="00310267"/>
    <w:rsid w:val="00395F17"/>
    <w:rsid w:val="004064CF"/>
    <w:rsid w:val="004D1A0A"/>
    <w:rsid w:val="004E2E16"/>
    <w:rsid w:val="004E6B59"/>
    <w:rsid w:val="00575B9A"/>
    <w:rsid w:val="006167C8"/>
    <w:rsid w:val="00623C8D"/>
    <w:rsid w:val="006463AF"/>
    <w:rsid w:val="00651337"/>
    <w:rsid w:val="006624D3"/>
    <w:rsid w:val="007D2D6F"/>
    <w:rsid w:val="008064C9"/>
    <w:rsid w:val="008276CE"/>
    <w:rsid w:val="00840933"/>
    <w:rsid w:val="00896EFF"/>
    <w:rsid w:val="009625A0"/>
    <w:rsid w:val="00A0056C"/>
    <w:rsid w:val="00AB77E6"/>
    <w:rsid w:val="00AC6146"/>
    <w:rsid w:val="00AC7653"/>
    <w:rsid w:val="00AD214D"/>
    <w:rsid w:val="00B4746E"/>
    <w:rsid w:val="00B5786F"/>
    <w:rsid w:val="00B95DFC"/>
    <w:rsid w:val="00BB6090"/>
    <w:rsid w:val="00BE43C3"/>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300</Words>
  <Characters>1713</Characters>
  <Application>Microsoft Office Word</Application>
  <DocSecurity>0</DocSecurity>
  <Lines>14</Lines>
  <Paragraphs>4</Paragraphs>
  <ScaleCrop>false</ScaleCrop>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2</cp:revision>
  <dcterms:created xsi:type="dcterms:W3CDTF">2024-12-16T14:18:00Z</dcterms:created>
  <dcterms:modified xsi:type="dcterms:W3CDTF">2024-12-16T14:18:00Z</dcterms:modified>
</cp:coreProperties>
</file>