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240" w:line="300" w:lineRule="auto"/>
        <w:jc w:val="center"/>
        <w:rPr>
          <w:rFonts w:hint="eastAsia" w:ascii="方正小标宋简体" w:hAnsi="方正小标宋简体" w:eastAsia="方正小标宋简体"/>
          <w:color w:val="FF0000"/>
          <w:spacing w:val="12"/>
          <w:w w:val="75"/>
          <w:sz w:val="60"/>
        </w:rPr>
      </w:pPr>
      <w:r>
        <w:rPr>
          <w:rFonts w:hint="eastAsia" w:ascii="方正小标宋简体" w:hAnsi="方正小标宋简体" w:eastAsia="方正小标宋简体"/>
          <w:color w:val="FF0000"/>
          <w:w w:val="75"/>
          <w:sz w:val="60"/>
        </w:rPr>
        <w:t>中国证券监督管理委员会广东监管局</w:t>
      </w:r>
    </w:p>
    <w:p>
      <w:pPr>
        <w:snapToGrid w:val="0"/>
        <w:spacing w:line="300" w:lineRule="auto"/>
        <w:ind w:right="-194"/>
        <w:jc w:val="center"/>
        <w:rPr>
          <w:rFonts w:hint="eastAsia" w:ascii="方正小标宋简体" w:hAnsi="方正小标宋简体" w:eastAsia="方正小标宋简体"/>
          <w:snapToGrid w:val="0"/>
          <w:color w:val="FF0000"/>
          <w:spacing w:val="136"/>
          <w:kern w:val="0"/>
          <w:sz w:val="80"/>
        </w:rPr>
      </w:pPr>
      <w:r>
        <w:rPr>
          <w:rFonts w:hint="eastAsia" w:ascii="方正小标宋简体" w:hAnsi="方正小标宋简体" w:eastAsia="方正小标宋简体"/>
          <w:snapToGrid w:val="0"/>
          <w:color w:val="FF0000"/>
          <w:spacing w:val="136"/>
          <w:kern w:val="0"/>
          <w:sz w:val="80"/>
        </w:rPr>
        <w:t>行政处罚决定书</w:t>
      </w:r>
    </w:p>
    <w:p>
      <w:pPr>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left="0" w:leftChars="0" w:right="0" w:rightChars="0"/>
        <w:jc w:val="center"/>
        <w:textAlignment w:val="auto"/>
        <w:outlineLvl w:val="9"/>
        <w:rPr>
          <w:rFonts w:hint="eastAsia" w:ascii="仿宋_GB2312" w:eastAsia="仿宋_GB2312"/>
          <w:spacing w:val="12"/>
          <w:sz w:val="22"/>
          <w:szCs w:val="22"/>
        </w:rPr>
      </w:pPr>
      <w:bookmarkStart w:id="0" w:name="quanwen"/>
    </w:p>
    <w:p>
      <w:pPr>
        <w:keepNext w:val="0"/>
        <w:keepLines w:val="0"/>
        <w:pageBreakBefore w:val="0"/>
        <w:widowControl w:val="0"/>
        <w:kinsoku/>
        <w:wordWrap/>
        <w:overflowPunct/>
        <w:topLinePunct w:val="0"/>
        <w:autoSpaceDE/>
        <w:autoSpaceDN/>
        <w:bidi w:val="0"/>
        <w:snapToGrid w:val="0"/>
        <w:spacing w:before="0" w:beforeLines="0" w:after="0" w:afterLines="0" w:line="324" w:lineRule="auto"/>
        <w:ind w:left="0" w:leftChars="0" w:right="0" w:rightChars="0"/>
        <w:jc w:val="center"/>
        <w:textAlignment w:val="auto"/>
        <w:outlineLvl w:val="9"/>
        <w:rPr>
          <w:rFonts w:hint="eastAsia" w:ascii="仿宋_GB2312" w:eastAsia="仿宋_GB2312"/>
          <w:spacing w:val="12"/>
          <w:sz w:val="28"/>
        </w:rPr>
      </w:pPr>
      <w:r>
        <w:rPr>
          <w:rFonts w:hint="eastAsia" w:ascii="仿宋_GB2312" w:eastAsia="仿宋_GB2312"/>
          <w:spacing w:val="12"/>
          <w:sz w:val="28"/>
        </w:rPr>
        <w:t>〔20</w:t>
      </w:r>
      <w:r>
        <w:rPr>
          <w:rFonts w:hint="eastAsia" w:ascii="仿宋_GB2312" w:eastAsia="仿宋_GB2312"/>
          <w:spacing w:val="12"/>
          <w:sz w:val="28"/>
          <w:lang w:val="en-US" w:eastAsia="zh-CN"/>
        </w:rPr>
        <w:t>2</w:t>
      </w:r>
      <w:r>
        <w:rPr>
          <w:rFonts w:hint="default" w:ascii="仿宋_GB2312" w:eastAsia="仿宋_GB2312"/>
          <w:spacing w:val="12"/>
          <w:sz w:val="28"/>
          <w:lang w:val="en" w:eastAsia="zh-CN"/>
        </w:rPr>
        <w:t>2</w:t>
      </w:r>
      <w:r>
        <w:rPr>
          <w:rFonts w:hint="eastAsia" w:ascii="仿宋_GB2312" w:eastAsia="仿宋_GB2312"/>
          <w:spacing w:val="12"/>
          <w:sz w:val="28"/>
        </w:rPr>
        <w:t>〕</w:t>
      </w:r>
      <w:r>
        <w:rPr>
          <w:rFonts w:hint="default" w:ascii="仿宋_GB2312" w:eastAsia="仿宋_GB2312"/>
          <w:spacing w:val="12"/>
          <w:sz w:val="28"/>
          <w:lang w:val="en" w:eastAsia="zh-CN"/>
        </w:rPr>
        <w:t>8</w:t>
      </w:r>
      <w:r>
        <w:rPr>
          <w:rFonts w:hint="eastAsia" w:ascii="仿宋_GB2312" w:eastAsia="仿宋_GB2312"/>
          <w:spacing w:val="12"/>
          <w:sz w:val="28"/>
        </w:rPr>
        <w:t>号</w:t>
      </w:r>
    </w:p>
    <w:p>
      <w:pPr>
        <w:keepNext w:val="0"/>
        <w:keepLines w:val="0"/>
        <w:pageBreakBefore w:val="0"/>
        <w:widowControl w:val="0"/>
        <w:kinsoku/>
        <w:wordWrap/>
        <w:overflowPunct/>
        <w:topLinePunct w:val="0"/>
        <w:autoSpaceDE/>
        <w:autoSpaceDN/>
        <w:bidi w:val="0"/>
        <w:adjustRightInd w:val="0"/>
        <w:snapToGrid w:val="0"/>
        <w:spacing w:before="0" w:beforeLines="0" w:after="0" w:afterLines="0" w:line="324" w:lineRule="auto"/>
        <w:ind w:left="0" w:leftChars="0" w:right="0" w:rightChars="0" w:firstLine="512" w:firstLineChars="200"/>
        <w:textAlignment w:val="auto"/>
        <w:outlineLvl w:val="9"/>
        <w:rPr>
          <w:rFonts w:hint="eastAsia" w:ascii="仿宋_GB2312" w:eastAsia="仿宋_GB2312"/>
          <w:spacing w:val="8"/>
          <w:sz w:val="24"/>
          <w:szCs w:val="24"/>
        </w:rPr>
      </w:pPr>
    </w:p>
    <w:p>
      <w:pPr>
        <w:keepNext w:val="0"/>
        <w:keepLines w:val="0"/>
        <w:pageBreakBefore w:val="0"/>
        <w:widowControl w:val="0"/>
        <w:kinsoku/>
        <w:wordWrap/>
        <w:overflowPunct/>
        <w:topLinePunct w:val="0"/>
        <w:autoSpaceDE/>
        <w:autoSpaceDN/>
        <w:bidi w:val="0"/>
        <w:adjustRightInd w:val="0"/>
        <w:snapToGrid w:val="0"/>
        <w:spacing w:before="0" w:beforeLines="0" w:after="0" w:afterLines="0" w:line="324" w:lineRule="auto"/>
        <w:ind w:left="0" w:leftChars="0" w:right="0" w:rightChars="0" w:firstLine="512" w:firstLineChars="200"/>
        <w:textAlignment w:val="auto"/>
        <w:outlineLvl w:val="9"/>
        <w:rPr>
          <w:rFonts w:hint="eastAsia" w:ascii="仿宋_GB2312" w:eastAsia="仿宋_GB2312"/>
          <w:spacing w:val="8"/>
          <w:sz w:val="24"/>
          <w:szCs w:val="24"/>
        </w:rPr>
      </w:pPr>
    </w:p>
    <w:p>
      <w:pPr>
        <w:keepNext w:val="0"/>
        <w:keepLines w:val="0"/>
        <w:pageBreakBefore w:val="0"/>
        <w:widowControl w:val="0"/>
        <w:kinsoku/>
        <w:wordWrap/>
        <w:overflowPunct w:val="0"/>
        <w:topLinePunct w:val="0"/>
        <w:autoSpaceDE/>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lang w:val="en-US" w:eastAsia="zh-CN" w:bidi="ar-SA"/>
        </w:rPr>
      </w:pPr>
      <w:r>
        <w:rPr>
          <w:rFonts w:hint="eastAsia" w:ascii="仿宋_GB2312" w:hAnsi="仿宋_GB2312" w:eastAsia="仿宋_GB2312" w:cs="仿宋_GB2312"/>
          <w:color w:val="000000"/>
          <w:spacing w:val="0"/>
          <w:kern w:val="0"/>
          <w:sz w:val="32"/>
          <w:szCs w:val="32"/>
          <w:lang w:val="en-US" w:eastAsia="zh-CN" w:bidi="ar-SA"/>
        </w:rPr>
        <w:t>当事人：</w:t>
      </w:r>
      <w:r>
        <w:rPr>
          <w:rFonts w:hint="default" w:ascii="仿宋_GB2312" w:hAnsi="仿宋_GB2312" w:eastAsia="仿宋_GB2312" w:cs="仿宋_GB2312"/>
          <w:color w:val="000000"/>
          <w:spacing w:val="0"/>
          <w:kern w:val="0"/>
          <w:sz w:val="32"/>
          <w:szCs w:val="32"/>
          <w:lang w:val="en" w:eastAsia="zh-CN" w:bidi="ar-SA"/>
        </w:rPr>
        <w:t>陈某斌</w:t>
      </w:r>
      <w:r>
        <w:rPr>
          <w:rFonts w:hint="eastAsia" w:ascii="仿宋_GB2312" w:hAnsi="仿宋_GB2312" w:eastAsia="仿宋_GB2312" w:cs="仿宋_GB2312"/>
          <w:color w:val="000000"/>
          <w:spacing w:val="0"/>
          <w:kern w:val="0"/>
          <w:sz w:val="32"/>
          <w:szCs w:val="32"/>
          <w:lang w:val="en-US" w:eastAsia="zh-CN" w:bidi="ar-SA"/>
        </w:rPr>
        <w:t>，男，196X年4月出生，住址：广东省广州市越秀区。</w:t>
      </w:r>
      <w:bookmarkStart w:id="1" w:name="_GoBack"/>
      <w:bookmarkEnd w:id="1"/>
    </w:p>
    <w:p>
      <w:pPr>
        <w:keepNext w:val="0"/>
        <w:keepLines w:val="0"/>
        <w:pageBreakBefore w:val="0"/>
        <w:widowControl w:val="0"/>
        <w:kinsoku/>
        <w:wordWrap/>
        <w:overflowPunct w:val="0"/>
        <w:topLinePunct w:val="0"/>
        <w:autoSpaceDE/>
        <w:autoSpaceDN w:val="0"/>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lang w:val="en-US" w:eastAsia="zh-CN" w:bidi="ar-SA"/>
        </w:rPr>
      </w:pPr>
      <w:r>
        <w:rPr>
          <w:rFonts w:hint="eastAsia" w:ascii="仿宋_GB2312" w:hAnsi="仿宋_GB2312" w:eastAsia="仿宋_GB2312" w:cs="仿宋_GB2312"/>
          <w:color w:val="000000"/>
          <w:spacing w:val="0"/>
          <w:kern w:val="0"/>
          <w:sz w:val="32"/>
          <w:szCs w:val="32"/>
          <w:lang w:val="en-US" w:eastAsia="zh-CN" w:bidi="ar-SA"/>
        </w:rPr>
        <w:t>依据《中华人民共和国证券法》（以下简称《证券法》）的有关规定，我局对</w:t>
      </w:r>
      <w:r>
        <w:rPr>
          <w:rFonts w:hint="default" w:ascii="仿宋_GB2312" w:hAnsi="仿宋_GB2312" w:eastAsia="仿宋_GB2312" w:cs="仿宋_GB2312"/>
          <w:color w:val="000000"/>
          <w:spacing w:val="0"/>
          <w:kern w:val="0"/>
          <w:sz w:val="32"/>
          <w:szCs w:val="32"/>
          <w:lang w:val="en" w:eastAsia="zh-CN" w:bidi="ar-SA"/>
        </w:rPr>
        <w:t>陈某斌</w:t>
      </w:r>
      <w:r>
        <w:rPr>
          <w:rFonts w:hint="eastAsia" w:ascii="仿宋_GB2312" w:hAnsi="仿宋_GB2312" w:eastAsia="仿宋_GB2312" w:cs="仿宋_GB2312"/>
          <w:color w:val="000000"/>
          <w:spacing w:val="0"/>
          <w:kern w:val="0"/>
          <w:sz w:val="32"/>
          <w:szCs w:val="32"/>
          <w:lang w:val="en-US" w:eastAsia="zh-CN" w:bidi="ar-SA"/>
        </w:rPr>
        <w:t>内幕交易</w:t>
      </w:r>
      <w:r>
        <w:rPr>
          <w:rFonts w:hint="eastAsia" w:ascii="仿宋_GB2312" w:hAnsi="仿宋_GB2312" w:eastAsia="仿宋_GB2312" w:cs="仿宋_GB2312"/>
          <w:kern w:val="0"/>
          <w:sz w:val="32"/>
          <w:szCs w:val="32"/>
          <w:lang w:val="en-US" w:eastAsia="zh-CN" w:bidi="ar-SA"/>
        </w:rPr>
        <w:t>广州市浪奇实业股份有限公司（以下简称广州浪奇）股票案</w:t>
      </w:r>
      <w:r>
        <w:rPr>
          <w:rFonts w:hint="eastAsia" w:ascii="仿宋_GB2312" w:hAnsi="仿宋_GB2312" w:eastAsia="仿宋_GB2312" w:cs="仿宋_GB2312"/>
          <w:color w:val="000000"/>
          <w:spacing w:val="0"/>
          <w:kern w:val="0"/>
          <w:sz w:val="32"/>
          <w:szCs w:val="32"/>
          <w:lang w:val="en-US" w:eastAsia="zh-CN" w:bidi="ar-SA"/>
        </w:rPr>
        <w:t>进行了立案调查、审理，并依法向当事人告知了作出行政处罚的事实、理由、依据及当事人依法享有的权利，当事人未要求陈述申辩，也未要求举行听证会。本案现已调查、审理终结。</w:t>
      </w:r>
    </w:p>
    <w:p>
      <w:pPr>
        <w:keepNext w:val="0"/>
        <w:keepLines w:val="0"/>
        <w:pageBreakBefore w:val="0"/>
        <w:widowControl w:val="0"/>
        <w:kinsoku/>
        <w:wordWrap/>
        <w:overflowPunct w:val="0"/>
        <w:topLinePunct w:val="0"/>
        <w:autoSpaceDE/>
        <w:autoSpaceDN w:val="0"/>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lang w:val="en-US" w:eastAsia="zh-CN" w:bidi="ar-SA"/>
        </w:rPr>
      </w:pPr>
      <w:r>
        <w:rPr>
          <w:rFonts w:hint="eastAsia" w:ascii="仿宋_GB2312" w:hAnsi="仿宋_GB2312" w:eastAsia="仿宋_GB2312" w:cs="仿宋_GB2312"/>
          <w:color w:val="000000"/>
          <w:spacing w:val="0"/>
          <w:kern w:val="0"/>
          <w:sz w:val="32"/>
          <w:szCs w:val="32"/>
          <w:lang w:val="en-US" w:eastAsia="zh-CN" w:bidi="ar-SA"/>
        </w:rPr>
        <w:t>经查明，</w:t>
      </w:r>
      <w:r>
        <w:rPr>
          <w:rFonts w:hint="default" w:ascii="仿宋_GB2312" w:hAnsi="仿宋_GB2312" w:eastAsia="仿宋_GB2312" w:cs="仿宋_GB2312"/>
          <w:color w:val="000000"/>
          <w:spacing w:val="0"/>
          <w:kern w:val="0"/>
          <w:sz w:val="32"/>
          <w:szCs w:val="32"/>
          <w:lang w:val="en" w:eastAsia="zh-CN" w:bidi="ar-SA"/>
        </w:rPr>
        <w:t>陈某斌</w:t>
      </w:r>
      <w:r>
        <w:rPr>
          <w:rFonts w:hint="eastAsia" w:ascii="仿宋_GB2312" w:hAnsi="仿宋_GB2312" w:eastAsia="仿宋_GB2312" w:cs="仿宋_GB2312"/>
          <w:color w:val="000000"/>
          <w:spacing w:val="0"/>
          <w:kern w:val="0"/>
          <w:sz w:val="32"/>
          <w:szCs w:val="32"/>
          <w:lang w:val="en-US" w:eastAsia="zh-CN" w:bidi="ar-SA"/>
        </w:rPr>
        <w:t>存在以下违法事实：</w:t>
      </w:r>
    </w:p>
    <w:p>
      <w:pPr>
        <w:keepNext w:val="0"/>
        <w:keepLines w:val="0"/>
        <w:pageBreakBefore w:val="0"/>
        <w:widowControl w:val="0"/>
        <w:numPr>
          <w:ilvl w:val="-1"/>
          <w:numId w:val="0"/>
        </w:numPr>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黑体" w:hAnsi="黑体" w:eastAsia="黑体" w:cs="Times New Roman"/>
          <w:color w:val="000000"/>
          <w:kern w:val="2"/>
          <w:sz w:val="32"/>
          <w:szCs w:val="24"/>
          <w:lang w:val="en-US" w:eastAsia="zh-CN" w:bidi="ar-SA"/>
        </w:rPr>
      </w:pPr>
      <w:r>
        <w:rPr>
          <w:rFonts w:hint="eastAsia" w:ascii="黑体" w:hAnsi="黑体" w:eastAsia="黑体" w:cs="Times New Roman"/>
          <w:color w:val="000000"/>
          <w:kern w:val="2"/>
          <w:sz w:val="32"/>
          <w:szCs w:val="24"/>
          <w:lang w:val="en-US" w:eastAsia="zh-CN" w:bidi="ar-SA"/>
        </w:rPr>
        <w:t>一、内幕信息的形成与公开过程</w:t>
      </w:r>
    </w:p>
    <w:p>
      <w:pPr>
        <w:widowControl w:val="0"/>
        <w:overflowPunct w:val="0"/>
        <w:adjustRightInd w:val="0"/>
        <w:snapToGrid w:val="0"/>
        <w:spacing w:beforeLines="0" w:afterLines="0" w:line="336" w:lineRule="auto"/>
        <w:ind w:firstLine="640" w:firstLineChars="200"/>
        <w:jc w:val="both"/>
        <w:rPr>
          <w:rFonts w:hint="eastAsia" w:ascii="仿宋_GB2312" w:hAnsi="仿宋" w:eastAsia="仿宋_GB2312" w:cs="Times New Roman"/>
          <w:b w:val="0"/>
          <w:bCs w:val="0"/>
          <w:kern w:val="0"/>
          <w:sz w:val="32"/>
          <w:szCs w:val="32"/>
          <w:lang w:val="en-US" w:eastAsia="zh-CN" w:bidi="ar-SA"/>
        </w:rPr>
      </w:pPr>
      <w:r>
        <w:rPr>
          <w:rFonts w:hint="eastAsia" w:ascii="仿宋_GB2312" w:hAnsi="仿宋" w:eastAsia="仿宋_GB2312" w:cs="Times New Roman"/>
          <w:b w:val="0"/>
          <w:bCs w:val="0"/>
          <w:kern w:val="0"/>
          <w:sz w:val="32"/>
          <w:szCs w:val="32"/>
          <w:lang w:val="en-US" w:eastAsia="zh-CN" w:bidi="ar-SA"/>
        </w:rPr>
        <w:t>2020年5月20至21日，为整改有关巡察发现的“部分货物储存存在弄虚作假情况，货权失去控制”等问题，广州浪奇蔡某扬、何某等人前往江苏鸿燊物流有限公司（以下简称鸿燊物流）管理的瑞丽仓、江苏辉丰石化有限公司（以下简称江苏辉丰）管理的辉丰仓进行盘点，但未能按计划进行。期间，何某向时任广州浪奇第一大股东广州轻工工贸集团有限公司（以下简称轻工集团）运营管理部部长的</w:t>
      </w:r>
      <w:r>
        <w:rPr>
          <w:rFonts w:hint="default" w:ascii="仿宋_GB2312" w:hAnsi="仿宋" w:eastAsia="仿宋_GB2312" w:cs="Times New Roman"/>
          <w:b w:val="0"/>
          <w:bCs w:val="0"/>
          <w:kern w:val="0"/>
          <w:sz w:val="32"/>
          <w:szCs w:val="32"/>
          <w:lang w:val="en" w:eastAsia="zh-CN" w:bidi="ar-SA"/>
        </w:rPr>
        <w:t>陈某斌</w:t>
      </w:r>
      <w:r>
        <w:rPr>
          <w:rFonts w:hint="eastAsia" w:ascii="仿宋_GB2312" w:hAnsi="仿宋" w:eastAsia="仿宋_GB2312" w:cs="Times New Roman"/>
          <w:b w:val="0"/>
          <w:bCs w:val="0"/>
          <w:kern w:val="0"/>
          <w:sz w:val="32"/>
          <w:szCs w:val="32"/>
          <w:lang w:val="en-US" w:eastAsia="zh-CN" w:bidi="ar-SA"/>
        </w:rPr>
        <w:t>汇报无法进入仓库盘点的情况。</w:t>
      </w:r>
    </w:p>
    <w:p>
      <w:pPr>
        <w:widowControl w:val="0"/>
        <w:overflowPunct w:val="0"/>
        <w:adjustRightInd w:val="0"/>
        <w:snapToGrid w:val="0"/>
        <w:spacing w:beforeLines="0" w:afterLines="0" w:line="336" w:lineRule="auto"/>
        <w:ind w:firstLine="640" w:firstLineChars="200"/>
        <w:jc w:val="both"/>
        <w:rPr>
          <w:rFonts w:hint="eastAsia" w:ascii="仿宋_GB2312" w:hAnsi="仿宋" w:eastAsia="仿宋_GB2312" w:cs="Times New Roman"/>
          <w:b w:val="0"/>
          <w:bCs w:val="0"/>
          <w:kern w:val="0"/>
          <w:sz w:val="32"/>
          <w:szCs w:val="32"/>
          <w:lang w:val="en-US" w:eastAsia="zh-CN" w:bidi="ar-SA"/>
        </w:rPr>
      </w:pPr>
      <w:r>
        <w:rPr>
          <w:rFonts w:hint="eastAsia" w:ascii="仿宋_GB2312" w:hAnsi="仿宋" w:eastAsia="仿宋_GB2312" w:cs="Times New Roman"/>
          <w:b w:val="0"/>
          <w:bCs w:val="0"/>
          <w:kern w:val="0"/>
          <w:sz w:val="32"/>
          <w:szCs w:val="32"/>
          <w:lang w:val="en-US" w:eastAsia="zh-CN" w:bidi="ar-SA"/>
        </w:rPr>
        <w:t>20</w:t>
      </w:r>
      <w:r>
        <w:rPr>
          <w:rFonts w:hint="eastAsia" w:ascii="仿宋_GB2312" w:hAnsi="仿宋" w:eastAsia="仿宋_GB2312" w:cs="Times New Roman"/>
          <w:b w:val="0"/>
          <w:bCs w:val="0"/>
          <w:spacing w:val="-6"/>
          <w:kern w:val="0"/>
          <w:sz w:val="32"/>
          <w:szCs w:val="32"/>
          <w:lang w:val="en-US" w:eastAsia="zh-CN" w:bidi="ar-SA"/>
        </w:rPr>
        <w:t>20年5月25日，蔡某扬在广州浪奇召开的党委会及总经理办公会上汇报了瑞丽仓、辉丰仓的盘点情况，提示贸易类业务</w:t>
      </w:r>
      <w:r>
        <w:rPr>
          <w:rFonts w:hint="eastAsia" w:ascii="仿宋_GB2312" w:hAnsi="仿宋" w:eastAsia="仿宋_GB2312" w:cs="Times New Roman"/>
          <w:b w:val="0"/>
          <w:bCs w:val="0"/>
          <w:kern w:val="0"/>
          <w:sz w:val="32"/>
          <w:szCs w:val="32"/>
          <w:lang w:val="en-US" w:eastAsia="zh-CN" w:bidi="ar-SA"/>
        </w:rPr>
        <w:t>存货存在较大风险，会议要求“优先处理江苏片区贸易仓库库存”。</w:t>
      </w:r>
    </w:p>
    <w:p>
      <w:pPr>
        <w:widowControl w:val="0"/>
        <w:overflowPunct w:val="0"/>
        <w:adjustRightInd w:val="0"/>
        <w:snapToGrid w:val="0"/>
        <w:spacing w:beforeLines="0" w:afterLines="0" w:line="336" w:lineRule="auto"/>
        <w:ind w:firstLine="640" w:firstLineChars="200"/>
        <w:jc w:val="both"/>
        <w:rPr>
          <w:rFonts w:hint="eastAsia" w:ascii="仿宋_GB2312" w:hAnsi="仿宋" w:eastAsia="仿宋_GB2312" w:cs="Times New Roman"/>
          <w:b w:val="0"/>
          <w:bCs w:val="0"/>
          <w:kern w:val="0"/>
          <w:sz w:val="32"/>
          <w:szCs w:val="32"/>
          <w:lang w:val="en-US" w:eastAsia="zh-CN" w:bidi="ar-SA"/>
        </w:rPr>
      </w:pPr>
      <w:r>
        <w:rPr>
          <w:rFonts w:hint="eastAsia" w:ascii="仿宋_GB2312" w:hAnsi="仿宋" w:eastAsia="仿宋_GB2312" w:cs="Times New Roman"/>
          <w:b w:val="0"/>
          <w:bCs w:val="0"/>
          <w:kern w:val="0"/>
          <w:sz w:val="32"/>
          <w:szCs w:val="32"/>
          <w:lang w:val="en-US" w:eastAsia="zh-CN" w:bidi="ar-SA"/>
        </w:rPr>
        <w:t>2020年6月8日，轻工集团就广州浪奇面临的经营财务风险召开专题会议，成立工作督导组并下设六个工作小组。其中，</w:t>
      </w:r>
      <w:r>
        <w:rPr>
          <w:rFonts w:hint="default" w:ascii="仿宋_GB2312" w:hAnsi="仿宋" w:eastAsia="仿宋_GB2312" w:cs="Times New Roman"/>
          <w:b w:val="0"/>
          <w:bCs w:val="0"/>
          <w:kern w:val="0"/>
          <w:sz w:val="32"/>
          <w:szCs w:val="32"/>
          <w:lang w:val="en" w:eastAsia="zh-CN" w:bidi="ar-SA"/>
        </w:rPr>
        <w:t>陈某斌</w:t>
      </w:r>
      <w:r>
        <w:rPr>
          <w:rFonts w:hint="eastAsia" w:ascii="仿宋_GB2312" w:hAnsi="仿宋" w:eastAsia="仿宋_GB2312" w:cs="Times New Roman"/>
          <w:b w:val="0"/>
          <w:bCs w:val="0"/>
          <w:kern w:val="0"/>
          <w:sz w:val="32"/>
          <w:szCs w:val="32"/>
          <w:lang w:val="en-US" w:eastAsia="zh-CN" w:bidi="ar-SA"/>
        </w:rPr>
        <w:t>任收款工作小组组长，负责应收账款追收工作、存货管理与变现等事项。6月11日，广州浪奇成立收款及存货工作小组。6月至9月，</w:t>
      </w:r>
      <w:r>
        <w:rPr>
          <w:rFonts w:hint="default" w:ascii="仿宋_GB2312" w:hAnsi="仿宋" w:eastAsia="仿宋_GB2312" w:cs="Times New Roman"/>
          <w:b w:val="0"/>
          <w:bCs w:val="0"/>
          <w:kern w:val="0"/>
          <w:sz w:val="32"/>
          <w:szCs w:val="32"/>
          <w:lang w:val="en" w:eastAsia="zh-CN" w:bidi="ar-SA"/>
        </w:rPr>
        <w:t>陈某斌</w:t>
      </w:r>
      <w:r>
        <w:rPr>
          <w:rFonts w:hint="eastAsia" w:ascii="仿宋_GB2312" w:hAnsi="仿宋" w:eastAsia="仿宋_GB2312" w:cs="Times New Roman"/>
          <w:b w:val="0"/>
          <w:bCs w:val="0"/>
          <w:kern w:val="0"/>
          <w:sz w:val="32"/>
          <w:szCs w:val="32"/>
          <w:lang w:val="en-US" w:eastAsia="zh-CN" w:bidi="ar-SA"/>
        </w:rPr>
        <w:t>多次参加轻工集团防范化解经营财务风险督导工作会议及广州浪奇收款及存货工作小组会议。</w:t>
      </w:r>
    </w:p>
    <w:p>
      <w:pPr>
        <w:widowControl w:val="0"/>
        <w:overflowPunct w:val="0"/>
        <w:adjustRightInd w:val="0"/>
        <w:snapToGrid w:val="0"/>
        <w:spacing w:beforeLines="0" w:afterLines="0" w:line="336" w:lineRule="auto"/>
        <w:ind w:firstLine="640" w:firstLineChars="200"/>
        <w:jc w:val="both"/>
        <w:rPr>
          <w:rFonts w:hint="eastAsia" w:ascii="仿宋_GB2312" w:hAnsi="仿宋" w:eastAsia="仿宋_GB2312" w:cs="Times New Roman"/>
          <w:b w:val="0"/>
          <w:bCs w:val="0"/>
          <w:kern w:val="0"/>
          <w:sz w:val="32"/>
          <w:szCs w:val="32"/>
          <w:lang w:val="en-US" w:eastAsia="zh-CN" w:bidi="ar-SA"/>
        </w:rPr>
      </w:pPr>
      <w:r>
        <w:rPr>
          <w:rFonts w:hint="eastAsia" w:ascii="仿宋_GB2312" w:hAnsi="仿宋" w:eastAsia="仿宋_GB2312" w:cs="Times New Roman"/>
          <w:b w:val="0"/>
          <w:bCs w:val="0"/>
          <w:kern w:val="0"/>
          <w:sz w:val="32"/>
          <w:szCs w:val="32"/>
          <w:lang w:val="en-US" w:eastAsia="zh-CN" w:bidi="ar-SA"/>
        </w:rPr>
        <w:t xml:space="preserve">2020年8月11日至12日，为再次落实存货整改要求，广州浪奇前往瑞丽仓、辉丰仓进行盘点，仍然未能实施。 </w:t>
      </w:r>
    </w:p>
    <w:p>
      <w:pPr>
        <w:widowControl w:val="0"/>
        <w:overflowPunct w:val="0"/>
        <w:adjustRightInd w:val="0"/>
        <w:snapToGrid w:val="0"/>
        <w:spacing w:beforeLines="0" w:afterLines="0" w:line="336" w:lineRule="auto"/>
        <w:ind w:firstLine="640" w:firstLineChars="200"/>
        <w:jc w:val="both"/>
        <w:rPr>
          <w:rFonts w:hint="eastAsia" w:ascii="仿宋_GB2312" w:hAnsi="仿宋" w:eastAsia="仿宋_GB2312" w:cs="Times New Roman"/>
          <w:b w:val="0"/>
          <w:bCs w:val="0"/>
          <w:kern w:val="0"/>
          <w:sz w:val="32"/>
          <w:szCs w:val="32"/>
          <w:lang w:val="en-US" w:eastAsia="zh-CN" w:bidi="ar-SA"/>
        </w:rPr>
      </w:pPr>
      <w:r>
        <w:rPr>
          <w:rFonts w:hint="eastAsia" w:ascii="仿宋_GB2312" w:hAnsi="仿宋" w:eastAsia="仿宋_GB2312" w:cs="Times New Roman"/>
          <w:b w:val="0"/>
          <w:bCs w:val="0"/>
          <w:kern w:val="0"/>
          <w:sz w:val="32"/>
          <w:szCs w:val="32"/>
          <w:lang w:val="en-US" w:eastAsia="zh-CN" w:bidi="ar-SA"/>
        </w:rPr>
        <w:t>2</w:t>
      </w:r>
      <w:r>
        <w:rPr>
          <w:rFonts w:hint="eastAsia" w:ascii="仿宋_GB2312" w:hAnsi="仿宋" w:eastAsia="仿宋_GB2312" w:cs="Times New Roman"/>
          <w:b w:val="0"/>
          <w:bCs w:val="0"/>
          <w:spacing w:val="-6"/>
          <w:kern w:val="0"/>
          <w:sz w:val="32"/>
          <w:szCs w:val="32"/>
          <w:lang w:val="en-US" w:eastAsia="zh-CN" w:bidi="ar-SA"/>
        </w:rPr>
        <w:t>020年8月24日，广州浪奇召开党委会，会议高度怀疑</w:t>
      </w:r>
      <w:r>
        <w:rPr>
          <w:rFonts w:hint="eastAsia" w:ascii="仿宋_GB2312" w:hAnsi="仿宋" w:eastAsia="仿宋_GB2312" w:cs="Times New Roman"/>
          <w:b w:val="0"/>
          <w:bCs w:val="0"/>
          <w:spacing w:val="0"/>
          <w:kern w:val="0"/>
          <w:sz w:val="32"/>
          <w:szCs w:val="32"/>
          <w:lang w:val="en-US" w:eastAsia="zh-CN" w:bidi="ar-SA"/>
        </w:rPr>
        <w:t>瑞丽仓、辉丰仓库存数据的真实性。次日，蔡某扬在广州浪奇召开的收款及存货小组会议上，向</w:t>
      </w:r>
      <w:r>
        <w:rPr>
          <w:rFonts w:hint="default" w:ascii="仿宋_GB2312" w:hAnsi="仿宋" w:eastAsia="仿宋_GB2312" w:cs="Times New Roman"/>
          <w:b w:val="0"/>
          <w:bCs w:val="0"/>
          <w:spacing w:val="0"/>
          <w:kern w:val="0"/>
          <w:sz w:val="32"/>
          <w:szCs w:val="32"/>
          <w:lang w:val="en" w:eastAsia="zh-CN" w:bidi="ar-SA"/>
        </w:rPr>
        <w:t>陈某斌</w:t>
      </w:r>
      <w:r>
        <w:rPr>
          <w:rFonts w:hint="eastAsia" w:ascii="仿宋_GB2312" w:hAnsi="仿宋" w:eastAsia="仿宋_GB2312" w:cs="Times New Roman"/>
          <w:b w:val="0"/>
          <w:bCs w:val="0"/>
          <w:spacing w:val="0"/>
          <w:kern w:val="0"/>
          <w:sz w:val="32"/>
          <w:szCs w:val="32"/>
          <w:lang w:val="en-US" w:eastAsia="zh-CN" w:bidi="ar-SA"/>
        </w:rPr>
        <w:t>汇报了会议情况。</w:t>
      </w:r>
    </w:p>
    <w:p>
      <w:pPr>
        <w:widowControl w:val="0"/>
        <w:overflowPunct w:val="0"/>
        <w:adjustRightInd w:val="0"/>
        <w:snapToGrid w:val="0"/>
        <w:spacing w:beforeLines="0" w:afterLines="0" w:line="336" w:lineRule="auto"/>
        <w:ind w:firstLine="640" w:firstLineChars="200"/>
        <w:jc w:val="both"/>
        <w:rPr>
          <w:rFonts w:hint="eastAsia" w:ascii="仿宋_GB2312" w:hAnsi="仿宋" w:eastAsia="仿宋_GB2312" w:cs="Times New Roman"/>
          <w:b w:val="0"/>
          <w:bCs w:val="0"/>
          <w:kern w:val="0"/>
          <w:sz w:val="32"/>
          <w:szCs w:val="32"/>
          <w:lang w:val="en-US" w:eastAsia="zh-CN" w:bidi="ar-SA"/>
        </w:rPr>
      </w:pPr>
      <w:r>
        <w:rPr>
          <w:rFonts w:hint="eastAsia" w:ascii="仿宋_GB2312" w:hAnsi="仿宋" w:eastAsia="仿宋_GB2312" w:cs="Times New Roman"/>
          <w:b w:val="0"/>
          <w:bCs w:val="0"/>
          <w:kern w:val="0"/>
          <w:sz w:val="32"/>
          <w:szCs w:val="32"/>
          <w:lang w:val="en-US" w:eastAsia="zh-CN" w:bidi="ar-SA"/>
        </w:rPr>
        <w:t>2020年9月7日至24日，广州浪奇通过发函及委派律师向鸿燊物流、江苏辉丰确认货物存储情况。鸿燊物流、江苏辉丰均否认瑞丽仓、辉丰仓保管有广州浪奇存储的货物。</w:t>
      </w:r>
    </w:p>
    <w:p>
      <w:pPr>
        <w:widowControl w:val="0"/>
        <w:overflowPunct w:val="0"/>
        <w:adjustRightInd w:val="0"/>
        <w:snapToGrid w:val="0"/>
        <w:spacing w:beforeLines="0" w:afterLines="0" w:line="336" w:lineRule="auto"/>
        <w:ind w:firstLine="640" w:firstLineChars="200"/>
        <w:jc w:val="both"/>
        <w:rPr>
          <w:rFonts w:hint="eastAsia" w:ascii="仿宋_GB2312" w:hAnsi="仿宋" w:eastAsia="仿宋_GB2312" w:cs="Times New Roman"/>
          <w:b w:val="0"/>
          <w:bCs w:val="0"/>
          <w:kern w:val="0"/>
          <w:sz w:val="32"/>
          <w:szCs w:val="32"/>
          <w:lang w:val="en-US" w:eastAsia="zh-CN" w:bidi="ar-SA"/>
        </w:rPr>
      </w:pPr>
      <w:r>
        <w:rPr>
          <w:rFonts w:hint="eastAsia" w:ascii="仿宋_GB2312" w:hAnsi="仿宋" w:eastAsia="仿宋_GB2312" w:cs="Times New Roman"/>
          <w:b w:val="0"/>
          <w:bCs w:val="0"/>
          <w:kern w:val="0"/>
          <w:sz w:val="32"/>
          <w:szCs w:val="32"/>
          <w:lang w:val="en-US" w:eastAsia="zh-CN" w:bidi="ar-SA"/>
        </w:rPr>
        <w:t>2020年9月27日，广州浪奇披露《关于部分库存货物可能涉及风险的提示性公告》称，瑞丽仓、辉丰仓存货账面价值合计为5.72亿元，公司将根据相关证据对两个仓库存货补提甚至全额计提存货跌价准备。</w:t>
      </w:r>
    </w:p>
    <w:p>
      <w:pPr>
        <w:widowControl w:val="0"/>
        <w:overflowPunct w:val="0"/>
        <w:adjustRightInd w:val="0"/>
        <w:snapToGrid w:val="0"/>
        <w:spacing w:beforeLines="0" w:afterLines="0" w:line="336" w:lineRule="auto"/>
        <w:ind w:firstLine="640" w:firstLineChars="200"/>
        <w:jc w:val="both"/>
        <w:rPr>
          <w:rFonts w:hint="eastAsia" w:ascii="仿宋_GB2312" w:hAnsi="仿宋" w:eastAsia="仿宋_GB2312" w:cs="Times New Roman"/>
          <w:b w:val="0"/>
          <w:bCs w:val="0"/>
          <w:color w:val="000000"/>
          <w:kern w:val="2"/>
          <w:sz w:val="32"/>
          <w:szCs w:val="32"/>
          <w:lang w:val="en-US" w:eastAsia="zh-CN" w:bidi="ar-SA"/>
        </w:rPr>
      </w:pPr>
      <w:r>
        <w:rPr>
          <w:rFonts w:hint="eastAsia" w:ascii="仿宋_GB2312" w:hAnsi="仿宋" w:eastAsia="仿宋_GB2312" w:cs="Times New Roman"/>
          <w:b w:val="0"/>
          <w:bCs w:val="0"/>
          <w:kern w:val="0"/>
          <w:sz w:val="32"/>
          <w:szCs w:val="32"/>
          <w:lang w:val="en-US" w:eastAsia="zh-CN" w:bidi="ar-SA"/>
        </w:rPr>
        <w:t>综上，广州浪奇将对瑞丽仓、辉丰仓存货计提存货跌价准备，会导致公司账面发生重大亏损，属于《证券法》第八十条第二款第五项规定的重大事件，公开前属于《证券法》第五十二条第二款规定的内幕信息。内幕信息敏感期为2020年5月25日至2020年9月27日。</w:t>
      </w:r>
      <w:r>
        <w:rPr>
          <w:rFonts w:hint="default" w:ascii="仿宋_GB2312" w:hAnsi="仿宋" w:eastAsia="仿宋_GB2312" w:cs="Times New Roman"/>
          <w:b w:val="0"/>
          <w:bCs w:val="0"/>
          <w:kern w:val="0"/>
          <w:sz w:val="32"/>
          <w:szCs w:val="32"/>
          <w:lang w:val="en" w:eastAsia="zh-CN" w:bidi="ar-SA"/>
        </w:rPr>
        <w:t>陈某斌</w:t>
      </w:r>
      <w:r>
        <w:rPr>
          <w:rFonts w:hint="eastAsia" w:ascii="仿宋_GB2312" w:hAnsi="仿宋" w:eastAsia="仿宋_GB2312" w:cs="Times New Roman"/>
          <w:b w:val="0"/>
          <w:bCs w:val="0"/>
          <w:kern w:val="0"/>
          <w:sz w:val="32"/>
          <w:szCs w:val="32"/>
          <w:lang w:val="en-US" w:eastAsia="zh-CN" w:bidi="ar-SA"/>
        </w:rPr>
        <w:t>为内幕信息知情人，知悉时间不晚于2020年6月8日。</w:t>
      </w:r>
    </w:p>
    <w:p>
      <w:pPr>
        <w:keepNext w:val="0"/>
        <w:keepLines w:val="0"/>
        <w:pageBreakBefore w:val="0"/>
        <w:widowControl w:val="0"/>
        <w:numPr>
          <w:ilvl w:val="-1"/>
          <w:numId w:val="0"/>
        </w:numPr>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黑体" w:hAnsi="黑体" w:eastAsia="黑体" w:cs="黑体"/>
          <w:color w:val="000000"/>
          <w:kern w:val="2"/>
          <w:sz w:val="32"/>
          <w:szCs w:val="28"/>
          <w:lang w:val="en" w:eastAsia="zh-CN" w:bidi="ar-SA"/>
        </w:rPr>
      </w:pPr>
      <w:r>
        <w:rPr>
          <w:rFonts w:hint="eastAsia" w:ascii="黑体" w:hAnsi="黑体" w:eastAsia="黑体" w:cs="黑体"/>
          <w:color w:val="000000"/>
          <w:kern w:val="2"/>
          <w:sz w:val="32"/>
          <w:szCs w:val="24"/>
          <w:lang w:val="en" w:eastAsia="zh-CN" w:bidi="ar-SA"/>
        </w:rPr>
        <w:t>二、</w:t>
      </w:r>
      <w:r>
        <w:rPr>
          <w:rFonts w:hint="default" w:ascii="黑体" w:hAnsi="黑体" w:eastAsia="黑体" w:cs="黑体"/>
          <w:color w:val="000000"/>
          <w:kern w:val="2"/>
          <w:sz w:val="32"/>
          <w:szCs w:val="24"/>
          <w:lang w:val="en" w:eastAsia="zh-CN" w:bidi="ar-SA"/>
        </w:rPr>
        <w:t>陈某斌</w:t>
      </w:r>
      <w:r>
        <w:rPr>
          <w:rFonts w:hint="eastAsia" w:ascii="黑体" w:hAnsi="黑体" w:eastAsia="黑体" w:cs="黑体"/>
          <w:color w:val="000000"/>
          <w:kern w:val="2"/>
          <w:sz w:val="32"/>
          <w:szCs w:val="24"/>
          <w:lang w:val="en" w:eastAsia="zh-CN" w:bidi="ar-SA"/>
        </w:rPr>
        <w:t>内幕交易“广州浪奇”情况</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 w:eastAsia="仿宋_GB2312" w:cs="Times New Roman"/>
          <w:kern w:val="0"/>
          <w:sz w:val="32"/>
          <w:szCs w:val="32"/>
          <w:lang w:val="en-US" w:eastAsia="zh-CN" w:bidi="ar-SA"/>
        </w:rPr>
      </w:pPr>
      <w:r>
        <w:rPr>
          <w:rFonts w:hint="eastAsia" w:ascii="仿宋_GB2312" w:hAnsi="仿宋" w:eastAsia="仿宋_GB2312" w:cs="Times New Roman"/>
          <w:kern w:val="0"/>
          <w:sz w:val="32"/>
          <w:szCs w:val="32"/>
          <w:lang w:val="en-US" w:eastAsia="zh-CN" w:bidi="ar-SA"/>
        </w:rPr>
        <w:t>2016年，</w:t>
      </w:r>
      <w:r>
        <w:rPr>
          <w:rFonts w:hint="default" w:ascii="仿宋_GB2312" w:hAnsi="仿宋" w:eastAsia="仿宋_GB2312" w:cs="Times New Roman"/>
          <w:kern w:val="0"/>
          <w:sz w:val="32"/>
          <w:szCs w:val="32"/>
          <w:lang w:val="en" w:eastAsia="zh-CN" w:bidi="ar-SA"/>
        </w:rPr>
        <w:t>陈某斌</w:t>
      </w:r>
      <w:r>
        <w:rPr>
          <w:rFonts w:hint="eastAsia" w:ascii="仿宋_GB2312" w:hAnsi="仿宋" w:eastAsia="仿宋_GB2312" w:cs="Times New Roman"/>
          <w:kern w:val="0"/>
          <w:sz w:val="32"/>
          <w:szCs w:val="32"/>
          <w:lang w:val="en-US" w:eastAsia="zh-CN" w:bidi="ar-SA"/>
        </w:rPr>
        <w:t>出资2,844,226元通过广州浪奇设立的员工持股计划认购335,800股“广州浪奇”股票。2018年8月，广州浪奇实施股票权益分派后，</w:t>
      </w:r>
      <w:r>
        <w:rPr>
          <w:rFonts w:hint="default" w:ascii="仿宋_GB2312" w:hAnsi="仿宋" w:eastAsia="仿宋_GB2312" w:cs="Times New Roman"/>
          <w:kern w:val="0"/>
          <w:sz w:val="32"/>
          <w:szCs w:val="32"/>
          <w:lang w:val="en" w:eastAsia="zh-CN" w:bidi="ar-SA"/>
        </w:rPr>
        <w:t>陈某斌</w:t>
      </w:r>
      <w:r>
        <w:rPr>
          <w:rFonts w:hint="eastAsia" w:ascii="仿宋_GB2312" w:hAnsi="仿宋" w:eastAsia="仿宋_GB2312" w:cs="Times New Roman"/>
          <w:kern w:val="0"/>
          <w:sz w:val="32"/>
          <w:szCs w:val="32"/>
          <w:lang w:val="en-US" w:eastAsia="zh-CN" w:bidi="ar-SA"/>
        </w:rPr>
        <w:t>持有“广州浪奇”的股数增加至402,960股。</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 w:eastAsia="仿宋_GB2312" w:cs="Times New Roman"/>
          <w:kern w:val="0"/>
          <w:sz w:val="32"/>
          <w:szCs w:val="32"/>
          <w:lang w:val="en-US" w:eastAsia="zh-CN" w:bidi="ar-SA"/>
        </w:rPr>
      </w:pPr>
      <w:r>
        <w:rPr>
          <w:rFonts w:hint="eastAsia" w:ascii="仿宋_GB2312" w:hAnsi="仿宋" w:eastAsia="仿宋_GB2312" w:cs="Times New Roman"/>
          <w:kern w:val="0"/>
          <w:sz w:val="32"/>
          <w:szCs w:val="32"/>
          <w:lang w:val="en-US" w:eastAsia="zh-CN" w:bidi="ar-SA"/>
        </w:rPr>
        <w:t>2020年9月3日、4日，广州浪奇员工持股计划管理人根据</w:t>
      </w:r>
      <w:r>
        <w:rPr>
          <w:rFonts w:hint="default" w:ascii="仿宋_GB2312" w:hAnsi="仿宋" w:eastAsia="仿宋_GB2312" w:cs="Times New Roman"/>
          <w:kern w:val="0"/>
          <w:sz w:val="32"/>
          <w:szCs w:val="32"/>
          <w:lang w:val="en" w:eastAsia="zh-CN" w:bidi="ar-SA"/>
        </w:rPr>
        <w:t>陈某斌</w:t>
      </w:r>
      <w:r>
        <w:rPr>
          <w:rFonts w:hint="eastAsia" w:ascii="仿宋_GB2312" w:hAnsi="仿宋" w:eastAsia="仿宋_GB2312" w:cs="Times New Roman"/>
          <w:kern w:val="0"/>
          <w:sz w:val="32"/>
          <w:szCs w:val="32"/>
          <w:lang w:val="en-US" w:eastAsia="zh-CN" w:bidi="ar-SA"/>
        </w:rPr>
        <w:t>发出的投资指令，分多笔卖出“广州浪奇”股票共270,000股，成交金额1,599,600元；于2020年9月22日、23日，分多笔卖出122,900股，成交金额719,055元。上述交易避损金额合计为679,445.69元。</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 w:eastAsia="仿宋_GB2312" w:cs="Times New Roman"/>
          <w:kern w:val="0"/>
          <w:sz w:val="32"/>
          <w:szCs w:val="32"/>
          <w:lang w:val="en-US" w:eastAsia="zh-CN" w:bidi="ar-SA"/>
        </w:rPr>
      </w:pPr>
      <w:r>
        <w:rPr>
          <w:rFonts w:hint="eastAsia" w:ascii="仿宋_GB2312" w:hAnsi="仿宋" w:eastAsia="仿宋_GB2312" w:cs="Times New Roman"/>
          <w:kern w:val="0"/>
          <w:sz w:val="32"/>
          <w:szCs w:val="32"/>
          <w:lang w:val="en-US" w:eastAsia="zh-CN" w:bidi="ar-SA"/>
        </w:rPr>
        <w:t>以上违法事实，有相关公告、相关人员询问笔录、银行及证券账户资料等证据证明，足以认定。</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
          <w:sz w:val="32"/>
          <w:szCs w:val="32"/>
          <w:lang w:val="en-US" w:eastAsia="zh-CN" w:bidi="ar-SA"/>
        </w:rPr>
      </w:pPr>
      <w:r>
        <w:rPr>
          <w:rFonts w:hint="default" w:ascii="仿宋_GB2312" w:hAnsi="仿宋_GB2312" w:eastAsia="仿宋_GB2312" w:cs="仿宋_GB2312"/>
          <w:color w:val="000000"/>
          <w:kern w:val="2"/>
          <w:sz w:val="32"/>
          <w:szCs w:val="32"/>
          <w:lang w:val="en" w:eastAsia="zh-CN" w:bidi="ar-SA"/>
        </w:rPr>
        <w:t>陈某斌</w:t>
      </w:r>
      <w:r>
        <w:rPr>
          <w:rFonts w:hint="eastAsia" w:ascii="仿宋_GB2312" w:hAnsi="仿宋_GB2312" w:eastAsia="仿宋_GB2312" w:cs="仿宋_GB2312"/>
          <w:color w:val="000000"/>
          <w:kern w:val="2"/>
          <w:sz w:val="32"/>
          <w:szCs w:val="32"/>
          <w:lang w:val="en" w:eastAsia="zh-CN" w:bidi="ar-SA"/>
        </w:rPr>
        <w:t>在内幕信息公开前交易</w:t>
      </w:r>
      <w:r>
        <w:rPr>
          <w:rFonts w:hint="eastAsia" w:ascii="仿宋_GB2312" w:hAnsi="仿宋_GB2312" w:eastAsia="仿宋_GB2312" w:cs="仿宋_GB2312"/>
          <w:color w:val="000000"/>
          <w:kern w:val="2"/>
          <w:sz w:val="32"/>
          <w:szCs w:val="32"/>
          <w:lang w:val="en-US" w:eastAsia="zh-CN" w:bidi="ar-SA"/>
        </w:rPr>
        <w:t>“广州浪奇”股票</w:t>
      </w:r>
      <w:r>
        <w:rPr>
          <w:rFonts w:hint="eastAsia" w:ascii="仿宋_GB2312" w:hAnsi="仿宋_GB2312" w:eastAsia="仿宋_GB2312" w:cs="仿宋_GB2312"/>
          <w:color w:val="000000"/>
          <w:kern w:val="2"/>
          <w:sz w:val="32"/>
          <w:szCs w:val="32"/>
          <w:lang w:val="en" w:eastAsia="zh-CN" w:bidi="ar-SA"/>
        </w:rPr>
        <w:t>的行为，</w:t>
      </w:r>
      <w:r>
        <w:rPr>
          <w:rFonts w:hint="eastAsia" w:ascii="仿宋_GB2312" w:hAnsi="仿宋_GB2312" w:eastAsia="仿宋_GB2312" w:cs="仿宋_GB2312"/>
          <w:color w:val="000000"/>
          <w:kern w:val="2"/>
          <w:sz w:val="32"/>
          <w:szCs w:val="32"/>
          <w:lang w:val="en-US" w:eastAsia="zh-CN" w:bidi="ar-SA"/>
        </w:rPr>
        <w:t>违反了《证券法》第五十条、第五十三条第一款的规定，构成《证券法》第一百九十一条第一款所述的内幕交易行为。</w:t>
      </w:r>
    </w:p>
    <w:p>
      <w:pPr>
        <w:keepNext w:val="0"/>
        <w:keepLines w:val="0"/>
        <w:pageBreakBefore w:val="0"/>
        <w:widowControl w:val="0"/>
        <w:numPr>
          <w:ilvl w:val="0"/>
          <w:numId w:val="0"/>
        </w:numPr>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default" w:ascii="仿宋_GB2312" w:hAnsi="仿宋_GB2312" w:eastAsia="仿宋_GB2312" w:cs="仿宋_GB2312"/>
          <w:color w:val="000000"/>
          <w:kern w:val="2"/>
          <w:sz w:val="32"/>
          <w:szCs w:val="32"/>
          <w:lang w:val="en" w:eastAsia="zh-CN" w:bidi="ar-SA"/>
        </w:rPr>
      </w:pPr>
      <w:r>
        <w:rPr>
          <w:rFonts w:hint="default" w:ascii="仿宋_GB2312" w:hAnsi="仿宋_GB2312" w:eastAsia="仿宋_GB2312" w:cs="仿宋_GB2312"/>
          <w:color w:val="000000"/>
          <w:kern w:val="2"/>
          <w:sz w:val="32"/>
          <w:szCs w:val="32"/>
          <w:lang w:val="en" w:eastAsia="zh-CN" w:bidi="ar-SA"/>
        </w:rPr>
        <w:t>根据当事人违法行为的事实、性质、情节及社会危害程度，依据《证券法》第一百九十一条第一款的规定，我局决定：</w:t>
      </w:r>
    </w:p>
    <w:p>
      <w:pPr>
        <w:widowControl w:val="0"/>
        <w:overflowPunct w:val="0"/>
        <w:autoSpaceDN w:val="0"/>
        <w:adjustRightInd w:val="0"/>
        <w:snapToGrid w:val="0"/>
        <w:spacing w:beforeLines="0" w:afterLines="0" w:line="336" w:lineRule="auto"/>
        <w:ind w:firstLine="640" w:firstLineChars="200"/>
        <w:jc w:val="both"/>
        <w:textAlignment w:val="auto"/>
        <w:outlineLvl w:val="9"/>
        <w:rPr>
          <w:rFonts w:hint="eastAsia" w:ascii="仿宋_GB2312" w:hAnsi="仿宋" w:eastAsia="仿宋_GB2312" w:cs="Times New Roman"/>
          <w:kern w:val="0"/>
          <w:sz w:val="32"/>
          <w:szCs w:val="32"/>
          <w:lang w:val="en-US" w:eastAsia="zh-CN" w:bidi="ar-SA"/>
        </w:rPr>
      </w:pPr>
      <w:r>
        <w:rPr>
          <w:rFonts w:hint="eastAsia" w:ascii="仿宋_GB2312" w:hAnsi="仿宋_GB2312" w:eastAsia="仿宋_GB2312" w:cs="Times New Roman"/>
          <w:b w:val="0"/>
          <w:bCs/>
          <w:color w:val="000000"/>
          <w:kern w:val="2"/>
          <w:sz w:val="32"/>
          <w:szCs w:val="22"/>
          <w:highlight w:val="none"/>
          <w:lang w:val="en-US" w:eastAsia="zh-CN" w:bidi="ar-SA"/>
        </w:rPr>
        <w:t>没收</w:t>
      </w:r>
      <w:r>
        <w:rPr>
          <w:rFonts w:hint="default" w:ascii="仿宋_GB2312" w:hAnsi="仿宋_GB2312" w:eastAsia="仿宋_GB2312" w:cs="Times New Roman"/>
          <w:b w:val="0"/>
          <w:bCs/>
          <w:color w:val="000000"/>
          <w:kern w:val="2"/>
          <w:sz w:val="32"/>
          <w:szCs w:val="22"/>
          <w:highlight w:val="none"/>
          <w:lang w:val="en" w:eastAsia="zh-CN" w:bidi="ar-SA"/>
        </w:rPr>
        <w:t>陈某斌</w:t>
      </w:r>
      <w:r>
        <w:rPr>
          <w:rFonts w:hint="eastAsia" w:ascii="仿宋_GB2312" w:hAnsi="仿宋_GB2312" w:eastAsia="仿宋_GB2312" w:cs="Times New Roman"/>
          <w:b w:val="0"/>
          <w:bCs/>
          <w:color w:val="000000"/>
          <w:kern w:val="2"/>
          <w:sz w:val="32"/>
          <w:szCs w:val="22"/>
          <w:highlight w:val="none"/>
          <w:lang w:val="en-US" w:eastAsia="zh-CN" w:bidi="ar-SA"/>
        </w:rPr>
        <w:t>违法所得679,445.69元，并处以679,445.69元的罚款。</w:t>
      </w:r>
    </w:p>
    <w:p>
      <w:pPr>
        <w:widowControl w:val="0"/>
        <w:overflowPunct w:val="0"/>
        <w:autoSpaceDN w:val="0"/>
        <w:adjustRightInd w:val="0"/>
        <w:snapToGrid w:val="0"/>
        <w:spacing w:beforeLines="0" w:afterLines="0" w:line="336" w:lineRule="auto"/>
        <w:ind w:firstLine="640" w:firstLineChars="200"/>
        <w:jc w:val="both"/>
        <w:textAlignment w:val="auto"/>
        <w:outlineLvl w:val="9"/>
        <w:rPr>
          <w:rFonts w:hint="eastAsia" w:ascii="Calibri" w:hAnsi="Calibri" w:eastAsia="宋体" w:cs="Times New Roman"/>
          <w:color w:val="000000"/>
          <w:spacing w:val="0"/>
          <w:kern w:val="0"/>
          <w:sz w:val="21"/>
          <w:szCs w:val="24"/>
          <w:lang w:val="en-US" w:eastAsia="zh-CN" w:bidi="ar-SA"/>
        </w:rPr>
      </w:pPr>
      <w:r>
        <w:rPr>
          <w:rFonts w:hint="eastAsia" w:ascii="仿宋_GB2312" w:hAnsi="仿宋_GB2312" w:eastAsia="仿宋_GB2312" w:cs="仿宋_GB2312"/>
          <w:color w:val="000000"/>
          <w:spacing w:val="0"/>
          <w:kern w:val="0"/>
          <w:sz w:val="32"/>
          <w:szCs w:val="32"/>
          <w:lang w:val="en-US" w:eastAsia="zh-CN" w:bidi="ar-SA"/>
        </w:rPr>
        <w:t>当事人应自收到本处罚决定书之日起15日内，将罚没款汇交中国证券监督管理委员会，开户银行：中信银行北京分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pPr>
        <w:adjustRightInd w:val="0"/>
        <w:snapToGrid w:val="0"/>
        <w:spacing w:line="360" w:lineRule="auto"/>
        <w:ind w:firstLine="0" w:firstLineChars="0"/>
        <w:jc w:val="left"/>
        <w:rPr>
          <w:rFonts w:hint="eastAsia" w:ascii="宋体" w:hAnsi="宋体" w:eastAsia="宋体" w:cs="宋体"/>
          <w:b w:val="0"/>
          <w:bCs w:val="0"/>
          <w:sz w:val="28"/>
          <w:szCs w:val="28"/>
        </w:rPr>
      </w:pPr>
    </w:p>
    <w:p>
      <w:pPr>
        <w:adjustRightInd w:val="0"/>
        <w:snapToGrid w:val="0"/>
        <w:spacing w:line="360" w:lineRule="auto"/>
        <w:ind w:firstLine="0" w:firstLineChars="0"/>
        <w:jc w:val="left"/>
        <w:rPr>
          <w:rFonts w:hint="eastAsia" w:ascii="宋体" w:hAnsi="宋体" w:eastAsia="宋体" w:cs="宋体"/>
          <w:b w:val="0"/>
          <w:bCs w:val="0"/>
          <w:sz w:val="28"/>
          <w:szCs w:val="28"/>
        </w:rPr>
      </w:pPr>
    </w:p>
    <w:p>
      <w:pPr>
        <w:adjustRightInd w:val="0"/>
        <w:snapToGrid w:val="0"/>
        <w:spacing w:line="360" w:lineRule="auto"/>
        <w:ind w:firstLine="0" w:firstLineChars="0"/>
        <w:jc w:val="left"/>
        <w:rPr>
          <w:rFonts w:hint="eastAsia" w:ascii="宋体" w:hAnsi="宋体" w:eastAsia="宋体" w:cs="宋体"/>
          <w:b w:val="0"/>
          <w:bCs w:val="0"/>
          <w:sz w:val="28"/>
          <w:szCs w:val="28"/>
        </w:rPr>
      </w:pPr>
    </w:p>
    <w:p>
      <w:pPr>
        <w:adjustRightInd w:val="0"/>
        <w:snapToGrid w:val="0"/>
        <w:spacing w:line="360" w:lineRule="auto"/>
        <w:ind w:right="1705"/>
        <w:jc w:val="right"/>
        <w:rPr>
          <w:rFonts w:hint="eastAsia" w:ascii="仿宋_GB2312" w:hAnsi="Times New Roman" w:eastAsia="仿宋_GB2312" w:cs="Times New Roman"/>
          <w:sz w:val="32"/>
        </w:rPr>
      </w:pPr>
      <w:r>
        <w:rPr>
          <w:rFonts w:hint="eastAsia" w:ascii="仿宋_GB2312" w:hAnsi="Times New Roman" w:eastAsia="仿宋_GB2312" w:cs="Times New Roman"/>
          <w:sz w:val="32"/>
        </w:rPr>
        <w:t>广东证监局</w:t>
      </w:r>
    </w:p>
    <w:p>
      <w:pPr>
        <w:widowControl/>
        <w:adjustRightInd w:val="0"/>
        <w:snapToGrid w:val="0"/>
        <w:spacing w:beforeLines="0" w:afterLines="0" w:line="360" w:lineRule="auto"/>
        <w:ind w:right="1191" w:firstLine="0" w:firstLineChars="0"/>
        <w:jc w:val="right"/>
        <w:outlineLvl w:val="9"/>
        <w:rPr>
          <w:rFonts w:hint="eastAsia" w:ascii="仿宋_GB2312" w:eastAsia="仿宋_GB2312"/>
          <w:spacing w:val="8"/>
          <w:sz w:val="2"/>
          <w:szCs w:val="2"/>
        </w:rPr>
      </w:pPr>
      <w:r>
        <w:rPr>
          <w:rFonts w:hint="eastAsia" w:ascii="仿宋_GB2312" w:hAnsi="Times New Roman" w:eastAsia="仿宋_GB2312" w:cs="Times New Roman"/>
          <w:spacing w:val="10"/>
          <w:sz w:val="32"/>
          <w:lang w:eastAsia="zh-CN"/>
        </w:rPr>
        <w:t>2</w:t>
      </w:r>
      <w:r>
        <w:rPr>
          <w:rFonts w:hint="eastAsia" w:ascii="仿宋_GB2312" w:hAnsi="Times New Roman" w:eastAsia="仿宋_GB2312" w:cs="Times New Roman"/>
          <w:spacing w:val="10"/>
          <w:sz w:val="32"/>
          <w:lang w:val="en-US" w:eastAsia="zh-CN"/>
        </w:rPr>
        <w:t>02</w:t>
      </w:r>
      <w:r>
        <w:rPr>
          <w:rFonts w:hint="eastAsia" w:ascii="仿宋_GB2312" w:eastAsia="仿宋_GB2312" w:cs="Times New Roman"/>
          <w:spacing w:val="10"/>
          <w:sz w:val="32"/>
          <w:lang w:val="en-US" w:eastAsia="zh-CN"/>
        </w:rPr>
        <w:t>2</w:t>
      </w:r>
      <w:r>
        <w:rPr>
          <w:rFonts w:hint="eastAsia" w:ascii="仿宋_GB2312" w:hAnsi="Times New Roman" w:eastAsia="仿宋_GB2312" w:cs="Times New Roman"/>
          <w:spacing w:val="10"/>
          <w:sz w:val="32"/>
        </w:rPr>
        <w:t>年</w:t>
      </w:r>
      <w:r>
        <w:rPr>
          <w:rFonts w:hint="eastAsia" w:ascii="仿宋_GB2312" w:eastAsia="仿宋_GB2312" w:cs="Times New Roman"/>
          <w:spacing w:val="10"/>
          <w:sz w:val="32"/>
          <w:lang w:val="en-US" w:eastAsia="zh-CN"/>
        </w:rPr>
        <w:t>5</w:t>
      </w:r>
      <w:r>
        <w:rPr>
          <w:rFonts w:hint="eastAsia" w:ascii="仿宋_GB2312" w:hAnsi="Times New Roman" w:eastAsia="仿宋_GB2312" w:cs="Times New Roman"/>
          <w:spacing w:val="10"/>
          <w:sz w:val="32"/>
        </w:rPr>
        <w:t>月</w:t>
      </w:r>
      <w:r>
        <w:rPr>
          <w:rFonts w:hint="eastAsia" w:ascii="仿宋_GB2312" w:hAnsi="Times New Roman" w:eastAsia="仿宋_GB2312" w:cs="Times New Roman"/>
          <w:spacing w:val="10"/>
          <w:sz w:val="32"/>
          <w:lang w:val="en-US" w:eastAsia="zh-CN"/>
        </w:rPr>
        <w:t>1</w:t>
      </w:r>
      <w:r>
        <w:rPr>
          <w:rFonts w:hint="default" w:ascii="仿宋_GB2312" w:hAnsi="Times New Roman" w:eastAsia="仿宋_GB2312" w:cs="Times New Roman"/>
          <w:spacing w:val="10"/>
          <w:sz w:val="32"/>
          <w:lang w:val="en" w:eastAsia="zh-CN"/>
        </w:rPr>
        <w:t>9</w:t>
      </w:r>
      <w:r>
        <w:rPr>
          <w:rFonts w:hint="eastAsia" w:ascii="仿宋_GB2312" w:hAnsi="Times New Roman" w:eastAsia="仿宋_GB2312" w:cs="Times New Roman"/>
          <w:spacing w:val="10"/>
          <w:sz w:val="32"/>
        </w:rPr>
        <w:t>日</w:t>
      </w:r>
    </w:p>
    <w:bookmarkEnd w:id="0"/>
    <w:p>
      <w:pPr>
        <w:snapToGrid w:val="0"/>
        <w:spacing w:beforeLines="0" w:afterLines="0"/>
        <w:rPr>
          <w:sz w:val="2"/>
          <w:szCs w:val="2"/>
        </w:rPr>
      </w:pPr>
    </w:p>
    <w:sectPr>
      <w:footerReference r:id="rId3" w:type="default"/>
      <w:pgSz w:w="11906" w:h="16838"/>
      <w:pgMar w:top="2097" w:right="1474" w:bottom="1984" w:left="1587" w:header="851" w:footer="1587"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Wingdings 3"/>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ffectLst/>
                    </wps:spPr>
                    <wps:txbx>
                      <w:txbxContent>
                        <w:p>
                          <w:pPr>
                            <w:pStyle w:val="3"/>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lJLUwIAIAADcEAAAOAAAAZHJz&#10;L2Uyb0RvYy54bWytU0uOEzEQ3SNxB8t70kkQoyhKZxRmFIQUMSMNiLXjttMt+SfbSXc4ANyAFRv2&#10;nCvn4NnpThCwQmzsKle5fu/V4rbTihyED401JZ2MxpQIw23VmF1JP7xfv5hREiIzFVPWiJIeRaC3&#10;y+fPFq2bi6mtraqEJwhiwrx1Ja1jdPOiCLwWmoWRdcLAKK3XLEL1u6LyrEV0rYrpeHxTtNZXzlsu&#10;QsDr/dlIlzm+lILHBymDiESVFLXFfPp8btNZLBdsvvPM1Q3vy2D/UIVmjUHSS6h7FhnZ++aPULrh&#10;3gYr44hbXVgpGy5yD+hmMv6tm6eaOZF7wXCCu4wp/L+w/N3h0ZOmAnaUGKYB0enrl9O3H6fvn8kk&#10;jad1YQ6vJwe/2L22XUmj34vBFPCeGu+k1+lGSwQumPXxMl/RRcLxOJlNZ7MxTBy2QUGK4vrd+RDf&#10;CKtJEkrqAWCeKztsQjy7Di4pm7HrRqkMojKkLenNy1fj/OFiQXBlkq/IdOjDpK7OpScpdtuub3Vr&#10;qyM69fZMleD4ukEpGxbiI/PgBsoH3+MDDqksUtpeoqS2/tPf3pM/IIOVkhZcK6nBMlCi3hpAmWg5&#10;CH4QtoNg9vrOgryAB7VkER98VIMovdUfsQSrlEMyFRCYGY5sAGoQ7yK03ohl4mK1uuh755tdff0M&#10;YjoWN+bJ8R7qNL3gVvuIaWcQ0szOgwJ4SQE7M4z9JiX6/6pnr+u+L3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s0lY7tAAAAAFAQAADwAAAAAAAAABACAAAAA4AAAAZHJzL2Rvd25yZXYueG1sUEsB&#10;AhQAFAAAAAgAh07iQGUktTAgAgAANwQAAA4AAAAAAAAAAQAgAAAANQEAAGRycy9lMm9Eb2MueG1s&#10;UEsFBgAAAAAGAAYAWQEAAMcFAAAAAA==&#10;">
              <v:fill on="f" focussize="0,0"/>
              <v:stroke on="f" weight="0.5pt"/>
              <v:imagedata o:title=""/>
              <o:lock v:ext="edit" aspectratio="f"/>
              <v:textbox inset="0mm,0mm,0mm,0mm" style="mso-fit-shape-to-text:t;">
                <w:txbxContent>
                  <w:p>
                    <w:pPr>
                      <w:pStyle w:val="3"/>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NotDisplayPageBoundaries w:val="true"/>
  <w:embedSystemFonts/>
  <w:bordersDoNotSurroundHeader w:val="true"/>
  <w:bordersDoNotSurroundFooter w:val="true"/>
  <w:documentProtection w:edit="readOnly"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79FA7"/>
    <w:rsid w:val="379C3DB8"/>
    <w:rsid w:val="64A511FF"/>
    <w:rsid w:val="6FE79FA7"/>
    <w:rsid w:val="76932016"/>
    <w:rsid w:val="7B7FD9A5"/>
    <w:rsid w:val="7EF78E6F"/>
    <w:rsid w:val="7FD634F5"/>
    <w:rsid w:val="9AE647E3"/>
    <w:rsid w:val="9FAFF47B"/>
    <w:rsid w:val="AFFE6359"/>
    <w:rsid w:val="F7FFB519"/>
    <w:rsid w:val="FF3F0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2">
    <w:name w:val="NormalIndent"/>
    <w:next w:val="1"/>
    <w:qFormat/>
    <w:uiPriority w:val="0"/>
    <w:pPr>
      <w:widowControl w:val="0"/>
      <w:spacing w:line="240" w:lineRule="auto"/>
      <w:ind w:firstLine="420"/>
      <w:jc w:val="both"/>
      <w:textAlignment w:val="baseline"/>
    </w:pPr>
    <w:rPr>
      <w:rFonts w:ascii="宋体" w:hAnsi="Calibri" w:eastAsia="宋体" w:cs="Times New Roman"/>
      <w:kern w:val="0"/>
      <w:sz w:val="21"/>
      <w:szCs w:val="24"/>
      <w:lang w:val="en-US" w:eastAsia="zh-CN" w:bidi="ar-SA"/>
    </w:rPr>
  </w:style>
  <w:style w:type="paragraph" w:styleId="3">
    <w:name w:val="footer"/>
    <w:basedOn w:val="1"/>
    <w:unhideWhenUsed/>
    <w:qFormat/>
    <w:uiPriority w:val="99"/>
    <w:pPr>
      <w:widowControl w:val="0"/>
      <w:tabs>
        <w:tab w:val="center" w:pos="4153"/>
        <w:tab w:val="right" w:pos="8306"/>
      </w:tabs>
      <w:snapToGrid w:val="0"/>
      <w:jc w:val="left"/>
    </w:pPr>
    <w:rPr>
      <w:rFonts w:ascii="Calibri" w:hAnsi="Calibri" w:eastAsia="宋体" w:cs="Times New Roman"/>
      <w:kern w:val="2"/>
      <w:sz w:val="18"/>
      <w:szCs w:val="18"/>
      <w:lang w:val="en-US" w:eastAsia="zh-CN" w:bidi="ar-SA"/>
    </w:r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paragraph" w:customStyle="1" w:styleId="8">
    <w:name w:val="Char Char Char Char Char Char Char Char Char"/>
    <w:basedOn w:v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1737</Words>
  <Characters>1907</Characters>
  <Lines>0</Lines>
  <Paragraphs>0</Paragraphs>
  <TotalTime>2</TotalTime>
  <ScaleCrop>false</ScaleCrop>
  <LinksUpToDate>false</LinksUpToDate>
  <CharactersWithSpaces>1927</CharactersWithSpaces>
  <Application>WPS Office_11.8.2.9849_F1E327BC-269C-435d-A152-05C5408002CA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2022-05-16T15:18:00Z</dcterms:created>
  <dc:creator>邹敏：承办人修改</dc:creator>
  <cp:lastModifiedBy>邹敏：主办人校对</cp:lastModifiedBy>
  <cp:lastPrinted>2022-05-25T15:44:14Z</cp:lastPrinted>
  <dcterms:modified xsi:type="dcterms:W3CDTF">2022-05-25T15:51:47Z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2052-11.8.2.9849</vt:lpwstr>
  </property>
</Properties>
</file>