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240" w:line="300" w:lineRule="auto"/>
        <w:jc w:val="center"/>
        <w:rPr>
          <w:rFonts w:hint="eastAsia" w:ascii="方正小标宋简体" w:hAnsi="方正小标宋简体" w:eastAsia="方正小标宋简体"/>
          <w:color w:val="FF0000"/>
          <w:spacing w:val="12"/>
          <w:w w:val="75"/>
          <w:sz w:val="60"/>
        </w:rPr>
      </w:pPr>
      <w:r>
        <w:rPr>
          <w:rFonts w:hint="eastAsia" w:ascii="方正小标宋简体" w:hAnsi="方正小标宋简体" w:eastAsia="方正小标宋简体"/>
          <w:color w:val="FF0000"/>
          <w:w w:val="75"/>
          <w:sz w:val="60"/>
        </w:rPr>
        <w:t>中国证券监督管理委员会广东监管局</w:t>
      </w:r>
    </w:p>
    <w:p>
      <w:pPr>
        <w:snapToGrid w:val="0"/>
        <w:spacing w:line="300" w:lineRule="auto"/>
        <w:ind w:right="-194"/>
        <w:jc w:val="center"/>
        <w:rPr>
          <w:rFonts w:hint="eastAsia" w:ascii="方正小标宋简体" w:hAnsi="方正小标宋简体" w:eastAsia="方正小标宋简体"/>
          <w:snapToGrid w:val="0"/>
          <w:color w:val="FF0000"/>
          <w:spacing w:val="136"/>
          <w:kern w:val="0"/>
          <w:sz w:val="80"/>
        </w:rPr>
      </w:pPr>
      <w:r>
        <w:rPr>
          <w:rFonts w:hint="eastAsia" w:ascii="方正小标宋简体" w:hAnsi="方正小标宋简体" w:eastAsia="方正小标宋简体"/>
          <w:snapToGrid w:val="0"/>
          <w:color w:val="FF0000"/>
          <w:spacing w:val="136"/>
          <w:kern w:val="0"/>
          <w:sz w:val="80"/>
        </w:rPr>
        <w:t>行政处罚决定书</w:t>
      </w:r>
    </w:p>
    <w:p>
      <w:pPr>
        <w:snapToGrid w:val="0"/>
        <w:spacing w:before="120" w:line="300" w:lineRule="auto"/>
        <w:jc w:val="right"/>
        <w:rPr>
          <w:rFonts w:hint="eastAsia" w:ascii="仿宋_GB2312" w:eastAsia="仿宋_GB2312"/>
          <w:spacing w:val="12"/>
          <w:sz w:val="30"/>
        </w:rPr>
      </w:pPr>
    </w:p>
    <w:p>
      <w:pPr>
        <w:keepNext w:val="0"/>
        <w:keepLines w:val="0"/>
        <w:pageBreakBefore w:val="0"/>
        <w:widowControl w:val="0"/>
        <w:kinsoku/>
        <w:wordWrap/>
        <w:overflowPunct/>
        <w:topLinePunct w:val="0"/>
        <w:autoSpaceDE/>
        <w:autoSpaceDN/>
        <w:bidi w:val="0"/>
        <w:snapToGrid w:val="0"/>
        <w:spacing w:before="0" w:beforeLines="0" w:after="0" w:afterLines="0" w:line="324" w:lineRule="auto"/>
        <w:ind w:left="0" w:leftChars="0" w:right="0" w:rightChars="0"/>
        <w:jc w:val="center"/>
        <w:textAlignment w:val="auto"/>
        <w:outlineLvl w:val="9"/>
        <w:rPr>
          <w:rFonts w:hint="eastAsia" w:ascii="仿宋_GB2312" w:eastAsia="仿宋_GB2312"/>
          <w:spacing w:val="12"/>
          <w:sz w:val="28"/>
        </w:rPr>
      </w:pPr>
      <w:r>
        <w:rPr>
          <w:rFonts w:hint="eastAsia" w:ascii="仿宋_GB2312" w:eastAsia="仿宋_GB2312"/>
          <w:spacing w:val="12"/>
          <w:sz w:val="28"/>
        </w:rPr>
        <w:t>〔20</w:t>
      </w:r>
      <w:r>
        <w:rPr>
          <w:rFonts w:hint="eastAsia" w:ascii="仿宋_GB2312" w:eastAsia="仿宋_GB2312"/>
          <w:spacing w:val="12"/>
          <w:sz w:val="28"/>
          <w:lang w:val="en-US" w:eastAsia="zh-CN"/>
        </w:rPr>
        <w:t>23</w:t>
      </w:r>
      <w:r>
        <w:rPr>
          <w:rFonts w:hint="eastAsia" w:ascii="仿宋_GB2312" w:eastAsia="仿宋_GB2312"/>
          <w:spacing w:val="12"/>
          <w:sz w:val="28"/>
        </w:rPr>
        <w:t>〕</w:t>
      </w:r>
      <w:r>
        <w:rPr>
          <w:rFonts w:hint="default" w:ascii="仿宋_GB2312" w:eastAsia="仿宋_GB2312"/>
          <w:spacing w:val="12"/>
          <w:sz w:val="28"/>
          <w:lang w:val="en-US" w:eastAsia="zh-CN"/>
        </w:rPr>
        <w:t>2</w:t>
      </w:r>
      <w:r>
        <w:rPr>
          <w:rFonts w:hint="eastAsia" w:ascii="仿宋_GB2312" w:eastAsia="仿宋_GB2312"/>
          <w:spacing w:val="12"/>
          <w:sz w:val="28"/>
          <w:lang w:val="en-US" w:eastAsia="zh-CN"/>
        </w:rPr>
        <w:t>8</w:t>
      </w:r>
      <w:r>
        <w:rPr>
          <w:rFonts w:hint="eastAsia" w:ascii="仿宋_GB2312" w:eastAsia="仿宋_GB2312"/>
          <w:spacing w:val="12"/>
          <w:sz w:val="28"/>
        </w:rPr>
        <w:t>号</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512" w:firstLineChars="200"/>
        <w:textAlignment w:val="auto"/>
        <w:outlineLvl w:val="9"/>
        <w:rPr>
          <w:rFonts w:hint="eastAsia" w:ascii="仿宋_GB2312" w:eastAsia="仿宋_GB2312"/>
          <w:spacing w:val="8"/>
          <w:sz w:val="24"/>
          <w:szCs w:val="24"/>
        </w:rPr>
      </w:pP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512" w:firstLineChars="200"/>
        <w:textAlignment w:val="auto"/>
        <w:outlineLvl w:val="9"/>
        <w:rPr>
          <w:rFonts w:hint="eastAsia" w:ascii="仿宋_GB2312" w:eastAsia="仿宋_GB2312"/>
          <w:spacing w:val="8"/>
          <w:sz w:val="24"/>
          <w:szCs w:val="24"/>
        </w:rPr>
      </w:pPr>
    </w:p>
    <w:p>
      <w:pPr>
        <w:widowControl w:val="0"/>
        <w:suppressAutoHyphens/>
        <w:overflowPunct w:val="0"/>
        <w:adjustRightInd w:val="0"/>
        <w:snapToGrid w:val="0"/>
        <w:spacing w:beforeLines="0" w:afterLines="0" w:line="348" w:lineRule="auto"/>
        <w:ind w:firstLine="640" w:firstLineChars="200"/>
        <w:jc w:val="both"/>
        <w:rPr>
          <w:rFonts w:hint="eastAsia" w:ascii="仿宋_GB2312" w:hAnsi="仿宋_GB2312" w:eastAsia="仿宋_GB2312" w:cs="仿宋_GB2312"/>
          <w:color w:val="000000"/>
          <w:kern w:val="0"/>
          <w:sz w:val="32"/>
          <w:szCs w:val="32"/>
          <w:lang w:val="en-US" w:eastAsia="zh-CN" w:bidi="ar-SA"/>
        </w:rPr>
      </w:pPr>
      <w:r>
        <w:rPr>
          <w:rFonts w:hint="eastAsia" w:ascii="仿宋_GB2312" w:hAnsi="仿宋_GB2312" w:eastAsia="仿宋_GB2312" w:cs="仿宋_GB2312"/>
          <w:color w:val="000000"/>
          <w:kern w:val="0"/>
          <w:sz w:val="32"/>
          <w:szCs w:val="32"/>
          <w:lang w:val="en-US" w:eastAsia="zh-CN" w:bidi="ar-SA"/>
        </w:rPr>
        <w:t>当事人：张某，男，1988年8月出生，住址：广东省广州市增城区</w:t>
      </w:r>
      <w:bookmarkStart w:id="0" w:name="_GoBack"/>
      <w:bookmarkEnd w:id="0"/>
      <w:r>
        <w:rPr>
          <w:rFonts w:hint="eastAsia" w:ascii="仿宋_GB2312" w:hAnsi="仿宋_GB2312" w:eastAsia="仿宋_GB2312" w:cs="仿宋_GB2312"/>
          <w:color w:val="000000"/>
          <w:kern w:val="0"/>
          <w:sz w:val="32"/>
          <w:szCs w:val="32"/>
          <w:lang w:val="en-US" w:eastAsia="zh-CN" w:bidi="ar-SA"/>
        </w:rPr>
        <w:t>。</w:t>
      </w:r>
    </w:p>
    <w:p>
      <w:pPr>
        <w:widowControl w:val="0"/>
        <w:suppressAutoHyphens/>
        <w:overflowPunct w:val="0"/>
        <w:adjustRightInd w:val="0"/>
        <w:snapToGrid w:val="0"/>
        <w:spacing w:beforeLines="0" w:afterLines="0" w:line="348" w:lineRule="auto"/>
        <w:ind w:firstLine="640" w:firstLineChars="200"/>
        <w:jc w:val="both"/>
        <w:rPr>
          <w:rFonts w:hint="eastAsia" w:ascii="仿宋_GB2312" w:hAnsi="仿宋_GB2312" w:eastAsia="仿宋_GB2312" w:cs="仿宋_GB2312"/>
          <w:color w:val="000000"/>
          <w:kern w:val="0"/>
          <w:sz w:val="32"/>
          <w:szCs w:val="32"/>
          <w:lang w:val="en-US" w:eastAsia="zh-CN" w:bidi="ar-SA"/>
        </w:rPr>
      </w:pPr>
      <w:r>
        <w:rPr>
          <w:rFonts w:hint="eastAsia" w:ascii="仿宋_GB2312" w:hAnsi="仿宋_GB2312" w:eastAsia="仿宋_GB2312" w:cs="仿宋_GB2312"/>
          <w:color w:val="000000"/>
          <w:kern w:val="0"/>
          <w:sz w:val="32"/>
          <w:szCs w:val="32"/>
          <w:lang w:val="en-US" w:eastAsia="zh-CN" w:bidi="ar-SA"/>
        </w:rPr>
        <w:t>依据《中华人民共和国证券法》（以下简称《证券法》）的有关规定，我局对</w:t>
      </w:r>
      <w:r>
        <w:rPr>
          <w:rFonts w:hint="eastAsia" w:ascii="仿宋_GB2312" w:hAnsi="仿宋_GB2312" w:eastAsia="仿宋_GB2312" w:cs="仿宋_GB2312"/>
          <w:color w:val="000000"/>
          <w:kern w:val="0"/>
          <w:sz w:val="32"/>
          <w:szCs w:val="32"/>
          <w:lang w:val="en" w:eastAsia="zh-CN" w:bidi="ar-SA"/>
        </w:rPr>
        <w:t>张某内幕交易广东水电二局股份有限公司（以下简称粤水电）股票</w:t>
      </w:r>
      <w:r>
        <w:rPr>
          <w:rFonts w:hint="eastAsia" w:ascii="仿宋_GB2312" w:hAnsi="仿宋_GB2312" w:eastAsia="仿宋_GB2312" w:cs="仿宋_GB2312"/>
          <w:color w:val="000000"/>
          <w:kern w:val="0"/>
          <w:sz w:val="32"/>
          <w:szCs w:val="32"/>
          <w:lang w:val="en-US" w:eastAsia="zh-CN" w:bidi="ar-SA"/>
        </w:rPr>
        <w:t>行为进行了立案调查、审理，并依法向当事人告知了作出行政处罚的事实、理由、依据及当事人依法享有的权利。应当事人要求，我局于2023年10月17日举行了听证会，听取了张某的陈述和申辩。本案现已调查、审理终结。</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48" w:lineRule="auto"/>
        <w:ind w:left="0" w:leftChars="0" w:right="0" w:rightChars="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仿宋_GB2312"/>
          <w:color w:val="000000"/>
          <w:kern w:val="0"/>
          <w:sz w:val="32"/>
          <w:szCs w:val="32"/>
          <w:lang w:val="en-US" w:eastAsia="zh-CN" w:bidi="ar-SA"/>
        </w:rPr>
        <w:t xml:space="preserve">    </w:t>
      </w:r>
      <w:r>
        <w:rPr>
          <w:rFonts w:hint="eastAsia" w:ascii="仿宋_GB2312" w:hAnsi="仿宋_GB2312" w:eastAsia="仿宋_GB2312" w:cs="Times New Roman"/>
          <w:kern w:val="0"/>
          <w:sz w:val="32"/>
          <w:szCs w:val="32"/>
          <w:lang w:val="en-US" w:eastAsia="zh-CN" w:bidi="ar-SA"/>
        </w:rPr>
        <w:t>经查明，张某存在以下违法事实：</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0"/>
        <w:rPr>
          <w:rFonts w:hint="eastAsia" w:ascii="黑体" w:hAnsi="黑体" w:eastAsia="黑体" w:cs="Times New Roman"/>
          <w:kern w:val="0"/>
          <w:sz w:val="32"/>
          <w:szCs w:val="32"/>
          <w:lang w:val="en-US" w:eastAsia="zh-CN" w:bidi="ar-SA"/>
        </w:rPr>
      </w:pPr>
      <w:r>
        <w:rPr>
          <w:rFonts w:hint="eastAsia" w:ascii="黑体" w:hAnsi="黑体" w:eastAsia="黑体" w:cs="Times New Roman"/>
          <w:kern w:val="0"/>
          <w:sz w:val="32"/>
          <w:szCs w:val="32"/>
          <w:lang w:val="en-US" w:eastAsia="zh-CN" w:bidi="ar-SA"/>
        </w:rPr>
        <w:t>一、内幕信息的形成与公开过程</w:t>
      </w:r>
    </w:p>
    <w:p>
      <w:pPr>
        <w:keepNext w:val="0"/>
        <w:keepLines w:val="0"/>
        <w:pageBreakBefore w:val="0"/>
        <w:widowControl w:val="0"/>
        <w:kinsoku/>
        <w:wordWrap/>
        <w:overflowPunct w:val="0"/>
        <w:topLinePunct w:val="0"/>
        <w:autoSpaceDE/>
        <w:autoSpaceDN/>
        <w:bidi w:val="0"/>
        <w:adjustRightInd/>
        <w:snapToGrid w:val="0"/>
        <w:spacing w:beforeLines="0" w:afterLines="0" w:line="348"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2017年，广东省建筑工程集团有限公司（以下简称建工集团）通过无偿划转直接持有广东省水电集团有限公司（以下简称水电集团）100%股权，成为粤水电间接控股股东。为解决建工集团与粤水电之间的同业竞争问题，2019年8月至2021年4月，建工集团研究选择解决方案，报相关部门同意实施。</w:t>
      </w:r>
    </w:p>
    <w:p>
      <w:pPr>
        <w:keepNext w:val="0"/>
        <w:keepLines w:val="0"/>
        <w:pageBreakBefore w:val="0"/>
        <w:widowControl w:val="0"/>
        <w:kinsoku/>
        <w:wordWrap/>
        <w:overflowPunct w:val="0"/>
        <w:topLinePunct w:val="0"/>
        <w:autoSpaceDE/>
        <w:autoSpaceDN/>
        <w:bidi w:val="0"/>
        <w:adjustRightInd/>
        <w:snapToGrid w:val="0"/>
        <w:spacing w:beforeLines="0" w:afterLines="0" w:line="348"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2021年5月14日，建工集团组织召开内部资产整合工作动员会，部署开展集团资产证券化工作，包括两个阶段：第一阶段实施内部资产整合，出资设立控股平台并进行股份划转，实现股权架构重构；第二阶段形成资产重组方案，通过粤水电发行股份购买建工集团股权方式，实现集团建筑施工业务整体上市。2021年6月25日，建工集团召开董事会，审议通过上述资产证券化总体方案。</w:t>
      </w:r>
    </w:p>
    <w:p>
      <w:pPr>
        <w:keepNext w:val="0"/>
        <w:keepLines w:val="0"/>
        <w:pageBreakBefore w:val="0"/>
        <w:widowControl w:val="0"/>
        <w:kinsoku/>
        <w:wordWrap/>
        <w:overflowPunct w:val="0"/>
        <w:topLinePunct w:val="0"/>
        <w:autoSpaceDE/>
        <w:autoSpaceDN/>
        <w:bidi w:val="0"/>
        <w:adjustRightInd/>
        <w:snapToGrid w:val="0"/>
        <w:spacing w:beforeLines="0" w:afterLines="0" w:line="348"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2021年11月3日、11月15日，水电集团、建工集团分别召开董事会，决议将水电集团持有的粤水电股份无偿划转至广东省建筑工程集团控股有限公司（以下简称建工控股）。</w:t>
      </w:r>
    </w:p>
    <w:p>
      <w:pPr>
        <w:keepNext w:val="0"/>
        <w:keepLines w:val="0"/>
        <w:pageBreakBefore w:val="0"/>
        <w:widowControl w:val="0"/>
        <w:kinsoku/>
        <w:wordWrap/>
        <w:overflowPunct w:val="0"/>
        <w:topLinePunct w:val="0"/>
        <w:autoSpaceDE/>
        <w:autoSpaceDN/>
        <w:bidi w:val="0"/>
        <w:adjustRightInd/>
        <w:snapToGrid w:val="0"/>
        <w:spacing w:beforeLines="0" w:afterLines="0" w:line="348"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2021年11月23日，粤水电发布《关于广东省建筑工程集团有限公司股权无偿划转的提示性公告》，披露建工控股通过无偿划转取得建工集团100%股权，间接收购粤水电。</w:t>
      </w:r>
    </w:p>
    <w:p>
      <w:pPr>
        <w:keepNext w:val="0"/>
        <w:keepLines w:val="0"/>
        <w:pageBreakBefore w:val="0"/>
        <w:widowControl w:val="0"/>
        <w:kinsoku/>
        <w:wordWrap/>
        <w:overflowPunct w:val="0"/>
        <w:topLinePunct w:val="0"/>
        <w:autoSpaceDE/>
        <w:autoSpaceDN/>
        <w:bidi w:val="0"/>
        <w:adjustRightInd/>
        <w:snapToGrid w:val="0"/>
        <w:spacing w:beforeLines="0" w:afterLines="0" w:line="348"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2021年12月8日，粤水电发布《关于广东省水电集团有限公司股权及其持有的公司股份无偿划转的提示性公告》，披露建工控股通过无偿划转直接或者间接取得粤水电合计37.32%股权，粤水电控股股东由水电集团变更为建工控股。</w:t>
      </w:r>
    </w:p>
    <w:p>
      <w:pPr>
        <w:keepNext w:val="0"/>
        <w:keepLines w:val="0"/>
        <w:pageBreakBefore w:val="0"/>
        <w:widowControl w:val="0"/>
        <w:kinsoku/>
        <w:wordWrap/>
        <w:overflowPunct w:val="0"/>
        <w:topLinePunct w:val="0"/>
        <w:autoSpaceDE/>
        <w:autoSpaceDN/>
        <w:bidi w:val="0"/>
        <w:adjustRightInd/>
        <w:snapToGrid w:val="0"/>
        <w:spacing w:beforeLines="0" w:afterLines="0" w:line="348"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2021年12月22日，建工集团、粤水电与中介机构召开重组项目筹划会议，确定粤水电拟发行股份购买建工控股持有的建工集团100%的股权预案披露相关工作时间安排。</w:t>
      </w:r>
    </w:p>
    <w:p>
      <w:pPr>
        <w:keepNext w:val="0"/>
        <w:keepLines w:val="0"/>
        <w:pageBreakBefore w:val="0"/>
        <w:widowControl w:val="0"/>
        <w:kinsoku/>
        <w:wordWrap/>
        <w:overflowPunct w:val="0"/>
        <w:topLinePunct w:val="0"/>
        <w:autoSpaceDE/>
        <w:autoSpaceDN/>
        <w:bidi w:val="0"/>
        <w:adjustRightInd/>
        <w:snapToGrid w:val="0"/>
        <w:spacing w:beforeLines="0" w:afterLines="0" w:line="348"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2022年1月12日，粤水电党委会前置研究上述重大资产重组事项。1月18日，建工集团召开董事会，审议通过相关重大资产重组事项。</w:t>
      </w:r>
    </w:p>
    <w:p>
      <w:pPr>
        <w:keepNext w:val="0"/>
        <w:keepLines w:val="0"/>
        <w:pageBreakBefore w:val="0"/>
        <w:widowControl w:val="0"/>
        <w:kinsoku/>
        <w:wordWrap/>
        <w:overflowPunct w:val="0"/>
        <w:topLinePunct w:val="0"/>
        <w:autoSpaceDE/>
        <w:autoSpaceDN/>
        <w:bidi w:val="0"/>
        <w:adjustRightInd/>
        <w:snapToGrid w:val="0"/>
        <w:spacing w:beforeLines="0" w:afterLines="0" w:line="348"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2022年3月8日，粤水电发布《关于筹划重大资产重组停牌公告》，当日粤水电股票停牌。3月18日，粤水电发布《关于披露重组预案暨公司股票复牌的公告》，称公司董事会审议通过了《关于&lt;广东水电二局股份有限公司发行股份购买资产并配套资金暨关联交易预案&gt;及其摘要的议案》等与重大资产重组交易相关的议案，并于3月21日开市起复牌。</w:t>
      </w:r>
    </w:p>
    <w:p>
      <w:pPr>
        <w:keepNext w:val="0"/>
        <w:keepLines w:val="0"/>
        <w:pageBreakBefore w:val="0"/>
        <w:widowControl w:val="0"/>
        <w:kinsoku/>
        <w:wordWrap/>
        <w:overflowPunct w:val="0"/>
        <w:topLinePunct w:val="0"/>
        <w:autoSpaceDE/>
        <w:autoSpaceDN/>
        <w:bidi w:val="0"/>
        <w:adjustRightInd/>
        <w:snapToGrid w:val="0"/>
        <w:spacing w:beforeLines="0" w:afterLines="0" w:line="348"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2022年6月2日，粤水电发布《广东水电二局股份有限公司发行股份购买资产并募集配套资金暨关联交易报告书（草案）》，披露以2021年12月31日为评估基准日，本次交易拟购买的资产总额（5,537,889.90万元）占上市公司最近一个会计年度经审计的合并财务报告期末资产总额（3,173,232.19万元）的比例达到174.52%，本次交易构成重大资产重组。</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黑体" w:hAnsi="黑体" w:eastAsia="黑体" w:cs="黑体"/>
          <w:kern w:val="0"/>
          <w:sz w:val="32"/>
          <w:szCs w:val="32"/>
          <w:lang w:val="en" w:eastAsia="zh-CN" w:bidi="ar-SA"/>
        </w:rPr>
      </w:pPr>
      <w:r>
        <w:rPr>
          <w:rFonts w:hint="eastAsia" w:ascii="仿宋_GB2312" w:hAnsi="仿宋_GB2312" w:eastAsia="仿宋_GB2312" w:cs="仿宋_GB2312"/>
          <w:b w:val="0"/>
          <w:bCs w:val="0"/>
          <w:kern w:val="0"/>
          <w:sz w:val="32"/>
          <w:szCs w:val="32"/>
          <w:lang w:val="en-US" w:eastAsia="zh-CN" w:bidi="ar-SA"/>
        </w:rPr>
        <w:t>综上，粤水电控股股东发生重大变化及拟发行股份购买建工集团100%股权的相关事项，属于《证券法》第八十条第二款第二项、第八项规定的重大事件，在依法公开前属于《证券法》第五十二条第二款规定的内幕信息。内幕信息敏感期为2021年5月14日至2022年3月8日。</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0"/>
        <w:rPr>
          <w:rFonts w:hint="eastAsia" w:ascii="黑体" w:hAnsi="黑体" w:eastAsia="黑体" w:cs="黑体"/>
          <w:kern w:val="0"/>
          <w:sz w:val="32"/>
          <w:szCs w:val="32"/>
          <w:lang w:val="en" w:eastAsia="zh-CN" w:bidi="ar-SA"/>
        </w:rPr>
      </w:pPr>
      <w:r>
        <w:rPr>
          <w:rFonts w:hint="eastAsia" w:ascii="黑体" w:hAnsi="黑体" w:eastAsia="黑体" w:cs="黑体"/>
          <w:kern w:val="0"/>
          <w:sz w:val="32"/>
          <w:szCs w:val="32"/>
          <w:lang w:val="en" w:eastAsia="zh-CN" w:bidi="ar-SA"/>
        </w:rPr>
        <w:t>二、张某内幕交易粤水电股票</w:t>
      </w:r>
      <w:r>
        <w:rPr>
          <w:rFonts w:hint="eastAsia" w:ascii="黑体" w:hAnsi="黑体" w:eastAsia="黑体" w:cs="黑体"/>
          <w:kern w:val="0"/>
          <w:sz w:val="32"/>
          <w:szCs w:val="32"/>
          <w:lang w:val="en-US" w:eastAsia="zh-CN" w:bidi="ar-SA"/>
        </w:rPr>
        <w:t>情况</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蓝某雅于2022年1月12日作为会议记录人参加粤水电前置研究重大资产重组事项的党委会，知悉内幕信息。张某与蓝某雅系夫妻关系。</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2022年1月18日，张某控制、使用本人“张某”证券账户买入“粤水电”60,100股，买入成交金额301,101.00元。“张某”证券账户交易“粤水电”股票时点与其配偶蓝某雅知悉内幕信息时点高度吻合，存在交易量放大，卖出其他股票买入“粤水电”股票的情形，相关交易行为存在明显异常，且无正当理由或者正当信息来源。2022年2月14日，张某卖出全部涉案粤水电股票，卖出成交金额305,308.00元，盈利3,792.53元。</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以上事实，有相关会议记录、公司公告、相关人员询问笔录、情况说明、银行及证券账户资料等证据证明，足以认定。</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张某的上述行为违反《证券法》第五十条、第五十三条第一款的规定，构成《证券法》第一百九十一条第一款所述的内幕交易行为。</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张某在申辩材料和听证过程中提出以下申辩意见，并提交停车场出入及缴费记录、消费记录、出差记录、微信聊天记录、证券账户交易记录等相关证据。</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其一，与蓝某雅从2019年12月起未再共同居住，蓝某雅从未向其透露过重大资产重组信息。张某是在蓝某雅参会后第7个自然日才购买粤水电，交易时点不存在高度吻合的特征。</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其二，系根据公开信息、投资经验、关注股吧和分析MACD图形走势购买了“粤水电”股票。同时，也并非首次购买“粤水电”股票，其交易量放大与自身账户资金总额、交易习惯有关，交易行为不存在明显异常。</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sz w:val="32"/>
          <w:szCs w:val="32"/>
          <w:lang w:val="en-US" w:eastAsia="zh-CN"/>
        </w:rPr>
      </w:pPr>
      <w:r>
        <w:rPr>
          <w:rFonts w:hint="eastAsia" w:ascii="仿宋_GB2312" w:hAnsi="仿宋_GB2312" w:eastAsia="仿宋_GB2312" w:cs="Times New Roman"/>
          <w:kern w:val="0"/>
          <w:sz w:val="32"/>
          <w:szCs w:val="32"/>
          <w:lang w:val="en-US" w:eastAsia="zh-CN" w:bidi="ar-SA"/>
        </w:rPr>
        <w:t>综上，张某请求免除处罚。</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我局认为，第一，张某与蓝某雅作为夫妻，关系密切，两人在2022年1月13日至1月16日期间存在多次联络。张某买入涉案股票时点与蓝某雅知悉内幕信息时点、其和蓝某雅联络时点均高度吻合。</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第二，与本次交易相比，张某过往交易“粤水电”股票的金额、仓位明显较小，历史交易其他股票的单日买入金额、仓位也明显较低，存在交易量放大的异常交易特征。其关于依据公开信息、经验技术等因素进行交易决策的理由</w:t>
      </w:r>
      <w:r>
        <w:rPr>
          <w:rFonts w:hint="eastAsia" w:ascii="仿宋_GB2312" w:hAnsi="仿宋_GB2312" w:eastAsia="仿宋_GB2312" w:cs="仿宋_GB2312"/>
          <w:sz w:val="32"/>
          <w:szCs w:val="32"/>
          <w:lang w:eastAsia="zh-CN"/>
        </w:rPr>
        <w:t>不能构成排除内幕交易的合理解释</w:t>
      </w:r>
      <w:r>
        <w:rPr>
          <w:rFonts w:hint="eastAsia" w:ascii="仿宋_GB2312" w:hAnsi="仿宋_GB2312" w:eastAsia="仿宋_GB2312" w:cs="Times New Roman"/>
          <w:kern w:val="0"/>
          <w:sz w:val="32"/>
          <w:szCs w:val="32"/>
          <w:lang w:val="en-US" w:eastAsia="zh-CN" w:bidi="ar-SA"/>
        </w:rPr>
        <w:t>。</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综上，我局对张某提出的陈述申辩意见不予采纳。</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 xml:space="preserve">根据当事人违法行为的事实、性质、情节及社会危害程度，依据《证券法》第一百九十一条第一款的规定，我局决定： </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638" w:leftChars="304" w:right="0" w:rightChars="0" w:firstLine="0" w:firstLineChars="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对张某没收违法所得3,792.53元，并处以50万元罚款。</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48"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当事人应自收到本处罚决定书之日起15日内，将罚没款汇交中国证券监督管理委员会，开户银行：中信银行北京分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cs="宋体"/>
          <w:color w:val="000000" w:themeColor="text1"/>
          <w:sz w:val="28"/>
          <w:szCs w:val="28"/>
          <w14:textFill>
            <w14:solidFill>
              <w14:schemeClr w14:val="tx1"/>
            </w14:solidFill>
          </w14:textFill>
        </w:rPr>
      </w:pP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cs="宋体"/>
          <w:color w:val="000000" w:themeColor="text1"/>
          <w:sz w:val="28"/>
          <w:szCs w:val="28"/>
          <w14:textFill>
            <w14:solidFill>
              <w14:schemeClr w14:val="tx1"/>
            </w14:solidFill>
          </w14:textFill>
        </w:rPr>
      </w:pP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cs="宋体"/>
          <w:color w:val="000000" w:themeColor="text1"/>
          <w:sz w:val="28"/>
          <w:szCs w:val="28"/>
          <w14:textFill>
            <w14:solidFill>
              <w14:schemeClr w14:val="tx1"/>
            </w14:solidFill>
          </w14:textFill>
        </w:rPr>
      </w:pPr>
    </w:p>
    <w:p>
      <w:pPr>
        <w:adjustRightInd w:val="0"/>
        <w:snapToGrid w:val="0"/>
        <w:spacing w:line="360" w:lineRule="auto"/>
        <w:ind w:right="1705"/>
        <w:jc w:val="right"/>
        <w:rPr>
          <w:rFonts w:hint="eastAsia" w:ascii="仿宋_GB2312" w:hAnsi="Times New Roman" w:eastAsia="仿宋_GB2312" w:cs="Times New Roman"/>
          <w:color w:val="000000" w:themeColor="text1"/>
          <w:sz w:val="32"/>
          <w14:textFill>
            <w14:solidFill>
              <w14:schemeClr w14:val="tx1"/>
            </w14:solidFill>
          </w14:textFill>
        </w:rPr>
      </w:pPr>
      <w:r>
        <w:rPr>
          <w:rFonts w:hint="eastAsia" w:ascii="仿宋_GB2312" w:hAnsi="Times New Roman" w:eastAsia="仿宋_GB2312" w:cs="Times New Roman"/>
          <w:color w:val="000000" w:themeColor="text1"/>
          <w:sz w:val="32"/>
          <w14:textFill>
            <w14:solidFill>
              <w14:schemeClr w14:val="tx1"/>
            </w14:solidFill>
          </w14:textFill>
        </w:rPr>
        <w:t>广东证监局</w:t>
      </w:r>
    </w:p>
    <w:p>
      <w:pPr>
        <w:ind w:firstLine="4250" w:firstLineChars="1250"/>
      </w:pPr>
      <w:r>
        <w:rPr>
          <w:rFonts w:hint="eastAsia" w:ascii="仿宋_GB2312" w:hAnsi="Times New Roman" w:eastAsia="仿宋_GB2312" w:cs="Times New Roman"/>
          <w:color w:val="000000" w:themeColor="text1"/>
          <w:spacing w:val="10"/>
          <w:sz w:val="32"/>
          <w:lang w:eastAsia="zh-CN"/>
          <w14:textFill>
            <w14:solidFill>
              <w14:schemeClr w14:val="tx1"/>
            </w14:solidFill>
          </w14:textFill>
        </w:rPr>
        <w:t>2</w:t>
      </w:r>
      <w:r>
        <w:rPr>
          <w:rFonts w:hint="eastAsia" w:ascii="仿宋_GB2312" w:hAnsi="Times New Roman" w:eastAsia="仿宋_GB2312" w:cs="Times New Roman"/>
          <w:color w:val="000000" w:themeColor="text1"/>
          <w:spacing w:val="10"/>
          <w:sz w:val="32"/>
          <w:lang w:val="en-US" w:eastAsia="zh-CN"/>
          <w14:textFill>
            <w14:solidFill>
              <w14:schemeClr w14:val="tx1"/>
            </w14:solidFill>
          </w14:textFill>
        </w:rPr>
        <w:t>023</w:t>
      </w:r>
      <w:r>
        <w:rPr>
          <w:rFonts w:hint="eastAsia" w:ascii="仿宋_GB2312" w:hAnsi="Times New Roman" w:eastAsia="仿宋_GB2312" w:cs="Times New Roman"/>
          <w:color w:val="000000" w:themeColor="text1"/>
          <w:spacing w:val="10"/>
          <w:sz w:val="32"/>
          <w14:textFill>
            <w14:solidFill>
              <w14:schemeClr w14:val="tx1"/>
            </w14:solidFill>
          </w14:textFill>
        </w:rPr>
        <w:t>年</w:t>
      </w:r>
      <w:r>
        <w:rPr>
          <w:rFonts w:hint="default" w:ascii="仿宋_GB2312" w:eastAsia="仿宋_GB2312" w:cs="Times New Roman"/>
          <w:color w:val="000000" w:themeColor="text1"/>
          <w:spacing w:val="10"/>
          <w:sz w:val="32"/>
          <w:lang w:val="en-US" w:eastAsia="zh-CN"/>
          <w14:textFill>
            <w14:solidFill>
              <w14:schemeClr w14:val="tx1"/>
            </w14:solidFill>
          </w14:textFill>
        </w:rPr>
        <w:t>11</w:t>
      </w:r>
      <w:r>
        <w:rPr>
          <w:rFonts w:hint="eastAsia" w:ascii="仿宋_GB2312" w:hAnsi="Times New Roman" w:eastAsia="仿宋_GB2312" w:cs="Times New Roman"/>
          <w:color w:val="000000" w:themeColor="text1"/>
          <w:spacing w:val="10"/>
          <w:sz w:val="32"/>
          <w14:textFill>
            <w14:solidFill>
              <w14:schemeClr w14:val="tx1"/>
            </w14:solidFill>
          </w14:textFill>
        </w:rPr>
        <w:t>月</w:t>
      </w:r>
      <w:r>
        <w:rPr>
          <w:rFonts w:hint="default" w:ascii="仿宋_GB2312" w:eastAsia="仿宋_GB2312" w:cs="Times New Roman"/>
          <w:color w:val="000000" w:themeColor="text1"/>
          <w:spacing w:val="10"/>
          <w:sz w:val="32"/>
          <w:lang w:val="en-US" w:eastAsia="zh-CN"/>
          <w14:textFill>
            <w14:solidFill>
              <w14:schemeClr w14:val="tx1"/>
            </w14:solidFill>
          </w14:textFill>
        </w:rPr>
        <w:t>24</w:t>
      </w:r>
      <w:r>
        <w:rPr>
          <w:rFonts w:hint="eastAsia" w:ascii="仿宋_GB2312" w:hAnsi="Times New Roman" w:eastAsia="仿宋_GB2312" w:cs="Times New Roman"/>
          <w:color w:val="000000" w:themeColor="text1"/>
          <w:spacing w:val="10"/>
          <w:sz w:val="32"/>
          <w14:textFill>
            <w14:solidFill>
              <w14:schemeClr w14:val="tx1"/>
            </w14:solidFill>
          </w14:textFill>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65388"/>
    <w:rsid w:val="59F65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2">
    <w:name w:val="NormalIndent"/>
    <w:next w:val="1"/>
    <w:qFormat/>
    <w:uiPriority w:val="0"/>
    <w:pPr>
      <w:widowControl w:val="0"/>
      <w:spacing w:line="240" w:lineRule="auto"/>
      <w:ind w:firstLine="420"/>
      <w:jc w:val="both"/>
      <w:textAlignment w:val="baseline"/>
    </w:pPr>
    <w:rPr>
      <w:rFonts w:ascii="宋体" w:hAnsi="宋体" w:eastAsia="宋体" w:cs="Times New Roman"/>
      <w:kern w:val="0"/>
      <w:sz w:val="21"/>
      <w:szCs w:val="24"/>
      <w:lang w:val="en-US" w:eastAsia="zh-CN" w:bidi="ar-SA"/>
    </w:rPr>
  </w:style>
  <w:style w:type="paragraph" w:styleId="3">
    <w:name w:val="footer"/>
    <w:qFormat/>
    <w:uiPriority w:val="0"/>
    <w:pPr>
      <w:widowControl w:val="0"/>
      <w:tabs>
        <w:tab w:val="center" w:pos="4153"/>
        <w:tab w:val="right" w:pos="8306"/>
      </w:tabs>
      <w:snapToGrid w:val="0"/>
      <w:jc w:val="left"/>
    </w:pPr>
    <w:rPr>
      <w:rFonts w:ascii="Calibri" w:hAnsi="Calibri" w:eastAsia="宋体" w:cs="Times New Roman"/>
      <w:kern w:val="2"/>
      <w:sz w:val="18"/>
      <w:szCs w:val="18"/>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2023-12-07T10:52:00Z</dcterms:created>
  <dc:creator>谢可君</dc:creator>
  <cp:lastModifiedBy>谢可君</cp:lastModifiedBy>
  <dcterms:modified xsi:type="dcterms:W3CDTF">2023-12-07T10:54:44Z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ies>
</file>