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240" w:line="300" w:lineRule="auto"/>
        <w:jc w:val="center"/>
        <w:rPr>
          <w:rFonts w:hint="eastAsia" w:ascii="方正小标宋简体" w:hAnsi="方正小标宋简体" w:eastAsia="方正小标宋简体"/>
          <w:color w:val="FF0000"/>
          <w:spacing w:val="12"/>
          <w:w w:val="75"/>
          <w:sz w:val="60"/>
        </w:rPr>
      </w:pPr>
      <w:r>
        <w:rPr>
          <w:rFonts w:hint="eastAsia" w:ascii="方正小标宋简体" w:hAnsi="方正小标宋简体" w:eastAsia="方正小标宋简体"/>
          <w:color w:val="FF0000"/>
          <w:w w:val="75"/>
          <w:sz w:val="60"/>
        </w:rPr>
        <w:t>中国证券监督管理委员会广东监管局</w:t>
      </w:r>
    </w:p>
    <w:p>
      <w:pPr>
        <w:snapToGrid w:val="0"/>
        <w:spacing w:line="300" w:lineRule="auto"/>
        <w:ind w:right="-194"/>
        <w:jc w:val="center"/>
        <w:rPr>
          <w:rFonts w:hint="eastAsia" w:ascii="方正小标宋简体" w:hAnsi="方正小标宋简体" w:eastAsia="方正小标宋简体"/>
          <w:snapToGrid w:val="0"/>
          <w:color w:val="FF0000"/>
          <w:spacing w:val="136"/>
          <w:kern w:val="0"/>
          <w:sz w:val="80"/>
        </w:rPr>
      </w:pPr>
      <w:r>
        <w:rPr>
          <w:rFonts w:hint="eastAsia" w:ascii="方正小标宋简体" w:hAnsi="方正小标宋简体" w:eastAsia="方正小标宋简体"/>
          <w:snapToGrid w:val="0"/>
          <w:color w:val="FF0000"/>
          <w:spacing w:val="136"/>
          <w:kern w:val="0"/>
          <w:sz w:val="80"/>
        </w:rPr>
        <w:t>行政处罚决定书</w:t>
      </w:r>
    </w:p>
    <w:p>
      <w:pPr>
        <w:snapToGrid w:val="0"/>
        <w:spacing w:before="120" w:line="300" w:lineRule="auto"/>
        <w:jc w:val="right"/>
        <w:rPr>
          <w:rFonts w:hint="eastAsia" w:ascii="仿宋_GB2312" w:eastAsia="仿宋_GB2312"/>
          <w:spacing w:val="12"/>
          <w:sz w:val="11"/>
          <w:szCs w:val="8"/>
        </w:rPr>
      </w:pPr>
    </w:p>
    <w:p>
      <w:pPr>
        <w:keepNext w:val="0"/>
        <w:keepLines w:val="0"/>
        <w:pageBreakBefore w:val="0"/>
        <w:widowControl w:val="0"/>
        <w:kinsoku/>
        <w:wordWrap/>
        <w:overflowPunct/>
        <w:topLinePunct w:val="0"/>
        <w:autoSpaceDE/>
        <w:autoSpaceDN/>
        <w:bidi w:val="0"/>
        <w:snapToGrid w:val="0"/>
        <w:spacing w:before="0" w:beforeLines="0" w:after="0" w:afterLines="0" w:line="324" w:lineRule="auto"/>
        <w:ind w:left="0" w:leftChars="0" w:right="0" w:rightChars="0"/>
        <w:jc w:val="center"/>
        <w:textAlignment w:val="auto"/>
        <w:outlineLvl w:val="9"/>
        <w:rPr>
          <w:rFonts w:hint="eastAsia" w:ascii="仿宋_GB2312" w:eastAsia="仿宋_GB2312"/>
          <w:spacing w:val="12"/>
          <w:sz w:val="28"/>
        </w:rPr>
      </w:pPr>
      <w:r>
        <w:rPr>
          <w:rFonts w:hint="eastAsia" w:ascii="仿宋_GB2312" w:eastAsia="仿宋_GB2312"/>
          <w:spacing w:val="12"/>
          <w:sz w:val="28"/>
        </w:rPr>
        <w:t>〔20</w:t>
      </w:r>
      <w:r>
        <w:rPr>
          <w:rFonts w:hint="eastAsia" w:ascii="仿宋_GB2312" w:eastAsia="仿宋_GB2312"/>
          <w:spacing w:val="12"/>
          <w:sz w:val="28"/>
          <w:lang w:val="en-US" w:eastAsia="zh-CN"/>
        </w:rPr>
        <w:t>23</w:t>
      </w:r>
      <w:r>
        <w:rPr>
          <w:rFonts w:hint="eastAsia" w:ascii="仿宋_GB2312" w:eastAsia="仿宋_GB2312"/>
          <w:spacing w:val="12"/>
          <w:sz w:val="28"/>
        </w:rPr>
        <w:t>〕</w:t>
      </w:r>
      <w:r>
        <w:rPr>
          <w:rFonts w:hint="eastAsia" w:ascii="仿宋_GB2312" w:eastAsia="仿宋_GB2312"/>
          <w:spacing w:val="12"/>
          <w:sz w:val="28"/>
          <w:lang w:val="en-US" w:eastAsia="zh-CN"/>
        </w:rPr>
        <w:t>29</w:t>
      </w:r>
      <w:r>
        <w:rPr>
          <w:rFonts w:hint="eastAsia" w:ascii="仿宋_GB2312" w:eastAsia="仿宋_GB2312"/>
          <w:spacing w:val="12"/>
          <w:sz w:val="28"/>
        </w:rPr>
        <w:t>号</w:t>
      </w: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452" w:firstLineChars="200"/>
        <w:textAlignment w:val="auto"/>
        <w:outlineLvl w:val="9"/>
        <w:rPr>
          <w:rFonts w:hint="eastAsia" w:ascii="仿宋_GB2312" w:eastAsia="仿宋_GB2312"/>
          <w:spacing w:val="8"/>
          <w:sz w:val="21"/>
          <w:szCs w:val="21"/>
        </w:rPr>
      </w:pPr>
    </w:p>
    <w:p>
      <w:pPr>
        <w:keepNext w:val="0"/>
        <w:keepLines w:val="0"/>
        <w:pageBreakBefore w:val="0"/>
        <w:widowControl w:val="0"/>
        <w:kinsoku/>
        <w:wordWrap/>
        <w:overflowPunct/>
        <w:topLinePunct w:val="0"/>
        <w:autoSpaceDE/>
        <w:autoSpaceDN/>
        <w:bidi w:val="0"/>
        <w:adjustRightInd w:val="0"/>
        <w:snapToGrid w:val="0"/>
        <w:spacing w:before="0" w:beforeLines="0" w:after="0" w:afterLines="0" w:line="324" w:lineRule="auto"/>
        <w:ind w:left="0" w:leftChars="0" w:right="0" w:rightChars="0" w:firstLine="452" w:firstLineChars="200"/>
        <w:textAlignment w:val="auto"/>
        <w:outlineLvl w:val="9"/>
        <w:rPr>
          <w:rFonts w:hint="eastAsia" w:ascii="仿宋_GB2312" w:eastAsia="仿宋_GB2312"/>
          <w:spacing w:val="8"/>
          <w:sz w:val="21"/>
          <w:szCs w:val="21"/>
        </w:rPr>
      </w:pPr>
    </w:p>
    <w:p>
      <w:pPr>
        <w:widowControl w:val="0"/>
        <w:suppressAutoHyphens/>
        <w:overflowPunct w:val="0"/>
        <w:adjustRightInd w:val="0"/>
        <w:snapToGrid w:val="0"/>
        <w:spacing w:beforeLines="0" w:afterLines="0" w:line="336" w:lineRule="auto"/>
        <w:ind w:firstLine="640" w:firstLineChars="200"/>
        <w:jc w:val="both"/>
        <w:rPr>
          <w:rFonts w:hint="eastAsia" w:ascii="仿宋_GB2312" w:hAnsi="仿宋_GB2312" w:eastAsia="仿宋_GB2312" w:cs="仿宋_GB2312"/>
          <w:color w:val="000000"/>
          <w:kern w:val="0"/>
          <w:sz w:val="32"/>
          <w:szCs w:val="32"/>
          <w:lang w:val="en-US" w:eastAsia="zh-CN" w:bidi="ar-SA"/>
        </w:rPr>
      </w:pPr>
      <w:r>
        <w:rPr>
          <w:rFonts w:hint="eastAsia" w:ascii="仿宋_GB2312" w:hAnsi="仿宋_GB2312" w:eastAsia="仿宋_GB2312" w:cs="仿宋_GB2312"/>
          <w:color w:val="000000"/>
          <w:kern w:val="0"/>
          <w:sz w:val="32"/>
          <w:szCs w:val="32"/>
          <w:lang w:val="en-US" w:eastAsia="zh-CN" w:bidi="ar-SA"/>
        </w:rPr>
        <w:t>当事人：朱某晖，男，1972年10月出生，住址：广东省韶关市浈江区</w:t>
      </w:r>
      <w:bookmarkStart w:id="0" w:name="_GoBack"/>
      <w:bookmarkEnd w:id="0"/>
      <w:r>
        <w:rPr>
          <w:rFonts w:hint="eastAsia" w:ascii="仿宋_GB2312" w:hAnsi="仿宋_GB2312" w:eastAsia="仿宋_GB2312" w:cs="仿宋_GB2312"/>
          <w:color w:val="000000"/>
          <w:kern w:val="0"/>
          <w:sz w:val="32"/>
          <w:szCs w:val="32"/>
          <w:lang w:val="en-US" w:eastAsia="zh-CN" w:bidi="ar-SA"/>
        </w:rPr>
        <w:t>。</w:t>
      </w:r>
    </w:p>
    <w:p>
      <w:pPr>
        <w:widowControl w:val="0"/>
        <w:suppressAutoHyphens/>
        <w:overflowPunct w:val="0"/>
        <w:adjustRightInd w:val="0"/>
        <w:snapToGrid w:val="0"/>
        <w:spacing w:beforeLines="0" w:afterLines="0" w:line="336" w:lineRule="auto"/>
        <w:ind w:firstLine="640" w:firstLineChars="200"/>
        <w:jc w:val="both"/>
        <w:rPr>
          <w:rFonts w:hint="eastAsia" w:ascii="仿宋_GB2312" w:hAnsi="仿宋_GB2312" w:eastAsia="仿宋_GB2312" w:cs="仿宋_GB2312"/>
          <w:color w:val="000000"/>
          <w:kern w:val="0"/>
          <w:sz w:val="32"/>
          <w:szCs w:val="32"/>
          <w:lang w:val="en-US" w:eastAsia="zh-CN" w:bidi="ar-SA"/>
        </w:rPr>
      </w:pPr>
      <w:r>
        <w:rPr>
          <w:rFonts w:hint="eastAsia" w:ascii="仿宋_GB2312" w:hAnsi="仿宋_GB2312" w:eastAsia="仿宋_GB2312" w:cs="仿宋_GB2312"/>
          <w:color w:val="000000"/>
          <w:kern w:val="0"/>
          <w:sz w:val="32"/>
          <w:szCs w:val="32"/>
          <w:lang w:val="en-US" w:eastAsia="zh-CN" w:bidi="ar-SA"/>
        </w:rPr>
        <w:t>依据《中华人民共和国证券法》（以下简称《证券法》）的有关规定，我局对</w:t>
      </w:r>
      <w:r>
        <w:rPr>
          <w:rFonts w:hint="eastAsia" w:ascii="仿宋_GB2312" w:hAnsi="仿宋_GB2312" w:eastAsia="仿宋_GB2312" w:cs="仿宋_GB2312"/>
          <w:color w:val="000000"/>
          <w:kern w:val="0"/>
          <w:sz w:val="32"/>
          <w:szCs w:val="32"/>
          <w:lang w:val="en" w:eastAsia="zh-CN" w:bidi="ar-SA"/>
        </w:rPr>
        <w:t>朱某晖内幕交易广东水电二局股份有限公司（以下简称粤水电）股票</w:t>
      </w:r>
      <w:r>
        <w:rPr>
          <w:rFonts w:hint="eastAsia" w:ascii="仿宋_GB2312" w:hAnsi="仿宋_GB2312" w:eastAsia="仿宋_GB2312" w:cs="仿宋_GB2312"/>
          <w:color w:val="000000"/>
          <w:kern w:val="0"/>
          <w:sz w:val="32"/>
          <w:szCs w:val="32"/>
          <w:lang w:val="en-US" w:eastAsia="zh-CN" w:bidi="ar-SA"/>
        </w:rPr>
        <w:t>行为进行了立案调查、审理，并依法向当事人告知了作出行政处罚的事实、理由、依据及当事人依法享有的权利。应当事人要求，我局于2023年10月27日举行了听证会，听取了朱某晖及其代理人的陈述和申辩。本案现已调查、审理终结。</w:t>
      </w:r>
    </w:p>
    <w:p>
      <w:pPr>
        <w:keepNext w:val="0"/>
        <w:keepLines w:val="0"/>
        <w:pageBreakBefore w:val="0"/>
        <w:widowControl w:val="0"/>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仿宋_GB2312"/>
          <w:color w:val="000000"/>
          <w:kern w:val="0"/>
          <w:sz w:val="32"/>
          <w:szCs w:val="32"/>
          <w:lang w:val="en-US" w:eastAsia="zh-CN" w:bidi="ar-SA"/>
        </w:rPr>
        <w:t xml:space="preserve">    </w:t>
      </w:r>
      <w:r>
        <w:rPr>
          <w:rFonts w:hint="eastAsia" w:ascii="仿宋_GB2312" w:hAnsi="仿宋_GB2312" w:eastAsia="仿宋_GB2312" w:cs="Times New Roman"/>
          <w:kern w:val="0"/>
          <w:sz w:val="32"/>
          <w:szCs w:val="32"/>
          <w:lang w:val="en-US" w:eastAsia="zh-CN" w:bidi="ar-SA"/>
        </w:rPr>
        <w:t>经查明，朱某晖存在以下违法事实：</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0"/>
        <w:rPr>
          <w:rFonts w:hint="eastAsia" w:ascii="黑体" w:hAnsi="黑体" w:eastAsia="黑体" w:cs="Times New Roman"/>
          <w:kern w:val="0"/>
          <w:sz w:val="32"/>
          <w:szCs w:val="32"/>
          <w:lang w:val="en-US" w:eastAsia="zh-CN" w:bidi="ar-SA"/>
        </w:rPr>
      </w:pPr>
      <w:r>
        <w:rPr>
          <w:rFonts w:hint="eastAsia" w:ascii="黑体" w:hAnsi="黑体" w:eastAsia="黑体" w:cs="Times New Roman"/>
          <w:kern w:val="0"/>
          <w:sz w:val="32"/>
          <w:szCs w:val="32"/>
          <w:lang w:val="en-US" w:eastAsia="zh-CN" w:bidi="ar-SA"/>
        </w:rPr>
        <w:t>一、内幕信息的形成与公开过程</w:t>
      </w:r>
    </w:p>
    <w:p>
      <w:pPr>
        <w:keepNext w:val="0"/>
        <w:keepLines w:val="0"/>
        <w:pageBreakBefore w:val="0"/>
        <w:widowControl w:val="0"/>
        <w:kinsoku/>
        <w:wordWrap/>
        <w:overflowPunct w:val="0"/>
        <w:topLinePunct w:val="0"/>
        <w:autoSpaceDE/>
        <w:autoSpaceDN/>
        <w:bidi w:val="0"/>
        <w:adjustRightInd/>
        <w:snapToGrid w:val="0"/>
        <w:spacing w:beforeLines="0" w:afterLines="0" w:line="336"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2017年，广东省建筑工程集团有限公司（以下简称建工集团）通过无偿划转直接持有广东省水电集团有限公司（以下简称水电集团）100%股权，成为粤水电间接控股股东。为解决建工集团与粤水电之间的同业竞争问题，2019年8月至2021年4月，建工集团研究选择解决方案，报相关部门同意实施。</w:t>
      </w:r>
    </w:p>
    <w:p>
      <w:pPr>
        <w:keepNext w:val="0"/>
        <w:keepLines w:val="0"/>
        <w:pageBreakBefore w:val="0"/>
        <w:widowControl w:val="0"/>
        <w:kinsoku/>
        <w:wordWrap/>
        <w:overflowPunct w:val="0"/>
        <w:topLinePunct w:val="0"/>
        <w:autoSpaceDE/>
        <w:autoSpaceDN/>
        <w:bidi w:val="0"/>
        <w:adjustRightInd/>
        <w:snapToGrid w:val="0"/>
        <w:spacing w:beforeLines="0" w:afterLines="0" w:line="336"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2021年5月14日，建工集团组织召开内部资产整合工作动员会，部署开展集团资产证券化工作，包括两个阶段：第一阶段实施内部资产整合，出资设立控股平台并进行股份划转，实现股权架构重构；第二阶段形成资产重组方案，通过粤水电发行股份购买建工集团股权方式，实现集团建筑施工业务整体上市。2021年6月25日，建工集团召开董事会，审议通过上述资产证券化总体方案。</w:t>
      </w:r>
    </w:p>
    <w:p>
      <w:pPr>
        <w:keepNext w:val="0"/>
        <w:keepLines w:val="0"/>
        <w:pageBreakBefore w:val="0"/>
        <w:widowControl w:val="0"/>
        <w:kinsoku/>
        <w:wordWrap/>
        <w:overflowPunct w:val="0"/>
        <w:topLinePunct w:val="0"/>
        <w:autoSpaceDE/>
        <w:autoSpaceDN/>
        <w:bidi w:val="0"/>
        <w:adjustRightInd/>
        <w:snapToGrid w:val="0"/>
        <w:spacing w:beforeLines="0" w:afterLines="0" w:line="336"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2021年11月3日、11月15日，水电集团、建工集团分别召开董事会，决议将水电集团持有的粤水电股份无偿划转至广东省建筑工程集团控股有限公司（以下简称建工控股）。</w:t>
      </w:r>
    </w:p>
    <w:p>
      <w:pPr>
        <w:keepNext w:val="0"/>
        <w:keepLines w:val="0"/>
        <w:pageBreakBefore w:val="0"/>
        <w:widowControl w:val="0"/>
        <w:kinsoku/>
        <w:wordWrap/>
        <w:overflowPunct w:val="0"/>
        <w:topLinePunct w:val="0"/>
        <w:autoSpaceDE/>
        <w:autoSpaceDN/>
        <w:bidi w:val="0"/>
        <w:adjustRightInd/>
        <w:snapToGrid w:val="0"/>
        <w:spacing w:beforeLines="0" w:afterLines="0" w:line="336"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2021年11月23日，粤水电发布《关于广东省建筑工程集团有限公司股权无偿划转的提示性公告》，披露建工控股通过无偿划转取得建工集团100%股权，间接收购粤水电。</w:t>
      </w:r>
    </w:p>
    <w:p>
      <w:pPr>
        <w:keepNext w:val="0"/>
        <w:keepLines w:val="0"/>
        <w:pageBreakBefore w:val="0"/>
        <w:widowControl w:val="0"/>
        <w:kinsoku/>
        <w:wordWrap/>
        <w:overflowPunct w:val="0"/>
        <w:topLinePunct w:val="0"/>
        <w:autoSpaceDE/>
        <w:autoSpaceDN/>
        <w:bidi w:val="0"/>
        <w:adjustRightInd/>
        <w:snapToGrid w:val="0"/>
        <w:spacing w:beforeLines="0" w:afterLines="0" w:line="336"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2021年12月8日，粤水电发布《关于广东省水电集团有限公司股权及其持有的公司股份无偿划转的提示性公告》，披露建工控股通过无偿划转直接或者间接取得粤水电合计37.32%股权，粤水电控股股东由水电集团变更为建工控股。</w:t>
      </w:r>
    </w:p>
    <w:p>
      <w:pPr>
        <w:keepNext w:val="0"/>
        <w:keepLines w:val="0"/>
        <w:pageBreakBefore w:val="0"/>
        <w:widowControl w:val="0"/>
        <w:kinsoku/>
        <w:wordWrap/>
        <w:overflowPunct w:val="0"/>
        <w:topLinePunct w:val="0"/>
        <w:autoSpaceDE/>
        <w:autoSpaceDN/>
        <w:bidi w:val="0"/>
        <w:adjustRightInd/>
        <w:snapToGrid w:val="0"/>
        <w:spacing w:beforeLines="0" w:afterLines="0" w:line="336"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2021年12月22日，建工集团、粤水电与中介机构召开重组项目筹划会议，确定粤水电拟发行股份购买建工控股持有的建工集团100%的股权预案披露相关工作时间安排。</w:t>
      </w:r>
    </w:p>
    <w:p>
      <w:pPr>
        <w:keepNext w:val="0"/>
        <w:keepLines w:val="0"/>
        <w:pageBreakBefore w:val="0"/>
        <w:widowControl w:val="0"/>
        <w:kinsoku/>
        <w:wordWrap/>
        <w:overflowPunct w:val="0"/>
        <w:topLinePunct w:val="0"/>
        <w:autoSpaceDE/>
        <w:autoSpaceDN/>
        <w:bidi w:val="0"/>
        <w:adjustRightInd/>
        <w:snapToGrid w:val="0"/>
        <w:spacing w:beforeLines="0" w:afterLines="0" w:line="336"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2022年1月12日，粤水电党委会前置研究上述重大资产重组事项。1月18日，建工集团召开董事会，审议通过相关重大资产重组事项。</w:t>
      </w:r>
    </w:p>
    <w:p>
      <w:pPr>
        <w:keepNext w:val="0"/>
        <w:keepLines w:val="0"/>
        <w:pageBreakBefore w:val="0"/>
        <w:widowControl w:val="0"/>
        <w:kinsoku/>
        <w:wordWrap/>
        <w:overflowPunct w:val="0"/>
        <w:topLinePunct w:val="0"/>
        <w:autoSpaceDE/>
        <w:autoSpaceDN/>
        <w:bidi w:val="0"/>
        <w:adjustRightInd/>
        <w:snapToGrid w:val="0"/>
        <w:spacing w:beforeLines="0" w:afterLines="0" w:line="336"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2022年3月8日，粤水电发布《关于筹划重大资产重组停牌公告》，当日粤水电股票停牌。3月18日，粤水电发布《关于披露重组预案暨公司股票复牌的公告》，称公司董事会审议通过了《关于&lt;广东水电二局股份有限公司发行股份购买资产并配套资金暨关联交易预案&gt;及其摘要的议案》等与重大资产重组交易相关的议案，并于3月21日开市起复牌。</w:t>
      </w:r>
    </w:p>
    <w:p>
      <w:pPr>
        <w:keepNext w:val="0"/>
        <w:keepLines w:val="0"/>
        <w:pageBreakBefore w:val="0"/>
        <w:widowControl w:val="0"/>
        <w:kinsoku/>
        <w:wordWrap/>
        <w:overflowPunct w:val="0"/>
        <w:topLinePunct w:val="0"/>
        <w:autoSpaceDE/>
        <w:autoSpaceDN/>
        <w:bidi w:val="0"/>
        <w:adjustRightInd/>
        <w:snapToGrid w:val="0"/>
        <w:spacing w:beforeLines="0" w:afterLines="0" w:line="336" w:lineRule="auto"/>
        <w:ind w:firstLine="640" w:firstLineChars="200"/>
        <w:jc w:val="both"/>
        <w:textAlignment w:val="auto"/>
        <w:rPr>
          <w:rFonts w:hint="eastAsia" w:ascii="仿宋_GB2312" w:hAnsi="仿宋_GB2312" w:eastAsia="仿宋_GB2312" w:cs="仿宋_GB2312"/>
          <w:b w:val="0"/>
          <w:bCs w:val="0"/>
          <w:kern w:val="0"/>
          <w:sz w:val="32"/>
          <w:szCs w:val="32"/>
          <w:lang w:val="en-US" w:eastAsia="zh-CN" w:bidi="ar-SA"/>
        </w:rPr>
      </w:pPr>
      <w:r>
        <w:rPr>
          <w:rFonts w:hint="eastAsia" w:ascii="仿宋_GB2312" w:hAnsi="仿宋_GB2312" w:eastAsia="仿宋_GB2312" w:cs="仿宋_GB2312"/>
          <w:b w:val="0"/>
          <w:bCs w:val="0"/>
          <w:kern w:val="0"/>
          <w:sz w:val="32"/>
          <w:szCs w:val="32"/>
          <w:lang w:val="en-US" w:eastAsia="zh-CN" w:bidi="ar-SA"/>
        </w:rPr>
        <w:t>2022年6月2日，粤水电发布《广东水电二局股份有限公司发行股份购买资产并募集配套资金暨关联交易报告书（草案）》，披露以2021年12月31日为评估基准日，本次交易拟购买的资产总额（5,537,889.90万元）占上市公司最近一个会计年度经审计的合并财务报告期末资产总额（3,173,232.19万元）的比例达到174.52%，本次交易构成重大资产重组。</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黑体" w:hAnsi="黑体" w:eastAsia="黑体" w:cs="黑体"/>
          <w:kern w:val="0"/>
          <w:sz w:val="32"/>
          <w:szCs w:val="32"/>
          <w:lang w:val="en" w:eastAsia="zh-CN" w:bidi="ar-SA"/>
        </w:rPr>
      </w:pPr>
      <w:r>
        <w:rPr>
          <w:rFonts w:hint="eastAsia" w:ascii="仿宋_GB2312" w:hAnsi="仿宋_GB2312" w:eastAsia="仿宋_GB2312" w:cs="仿宋_GB2312"/>
          <w:b w:val="0"/>
          <w:bCs w:val="0"/>
          <w:kern w:val="0"/>
          <w:sz w:val="32"/>
          <w:szCs w:val="32"/>
          <w:lang w:val="en-US" w:eastAsia="zh-CN" w:bidi="ar-SA"/>
        </w:rPr>
        <w:t>综上，粤水电控股股东发生重大变化及拟发行股份购买建工集团100%股权的相关事项，属于《证券法》第八十条第二款第二项、第八项规定的重大事件，在依法公开前属于《证券法》第五十二条第二款规定的内幕信息。内幕信息敏感期为2021年5月14日至2022年3月8日。</w:t>
      </w:r>
    </w:p>
    <w:p>
      <w:pPr>
        <w:keepNext w:val="0"/>
        <w:keepLines w:val="0"/>
        <w:pageBreakBefore w:val="0"/>
        <w:widowControl w:val="0"/>
        <w:numPr>
          <w:ilvl w:val="0"/>
          <w:numId w:val="0"/>
        </w:numPr>
        <w:tabs>
          <w:tab w:val="left" w:pos="46"/>
        </w:tabs>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0"/>
        <w:rPr>
          <w:rFonts w:hint="eastAsia" w:ascii="黑体" w:hAnsi="黑体" w:eastAsia="黑体" w:cs="黑体"/>
          <w:kern w:val="0"/>
          <w:sz w:val="32"/>
          <w:szCs w:val="32"/>
          <w:lang w:val="en" w:eastAsia="zh-CN" w:bidi="ar-SA"/>
        </w:rPr>
      </w:pPr>
      <w:r>
        <w:rPr>
          <w:rFonts w:hint="eastAsia" w:ascii="黑体" w:hAnsi="黑体" w:eastAsia="黑体" w:cs="黑体"/>
          <w:kern w:val="0"/>
          <w:sz w:val="32"/>
          <w:szCs w:val="32"/>
          <w:lang w:val="en" w:eastAsia="zh-CN" w:bidi="ar-SA"/>
        </w:rPr>
        <w:t>二、朱某晖内幕交易粤水电股票</w:t>
      </w:r>
      <w:r>
        <w:rPr>
          <w:rFonts w:hint="eastAsia" w:ascii="黑体" w:hAnsi="黑体" w:eastAsia="黑体" w:cs="黑体"/>
          <w:kern w:val="0"/>
          <w:sz w:val="32"/>
          <w:szCs w:val="32"/>
          <w:lang w:val="en-US" w:eastAsia="zh-CN" w:bidi="ar-SA"/>
        </w:rPr>
        <w:t>情况</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朱某阳系粤水电证券部经理，参与2022年1月10日内幕信息知情人自查工作，并于2022年1月12日准备粤水电前置研究重大资产重组事项党委会会议材料时知悉内幕信息。朱某晖与朱某阳系兄弟关系，</w:t>
      </w:r>
      <w:r>
        <w:rPr>
          <w:rFonts w:hint="eastAsia" w:ascii="仿宋_GB2312" w:hAnsi="仿宋_GB2312" w:eastAsia="仿宋_GB2312" w:cs="Times New Roman"/>
          <w:kern w:val="0"/>
          <w:sz w:val="32"/>
          <w:szCs w:val="32"/>
          <w:highlight w:val="none"/>
          <w:lang w:val="en-US" w:eastAsia="zh-CN" w:bidi="ar-SA"/>
        </w:rPr>
        <w:t>2022年1月31日至2月6日期间，</w:t>
      </w:r>
      <w:r>
        <w:rPr>
          <w:rFonts w:hint="eastAsia" w:ascii="仿宋_GB2312" w:hAnsi="仿宋_GB2312" w:eastAsia="仿宋_GB2312" w:cs="Times New Roman"/>
          <w:kern w:val="0"/>
          <w:sz w:val="32"/>
          <w:szCs w:val="32"/>
          <w:lang w:val="en-US" w:eastAsia="zh-CN" w:bidi="ar-SA"/>
        </w:rPr>
        <w:t>朱某晖与朱某阳一起过年，见面交流，两人存在联络接触。</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sz w:val="32"/>
          <w:szCs w:val="32"/>
          <w:lang w:val="en-US" w:eastAsia="zh-CN"/>
        </w:rPr>
      </w:pPr>
      <w:r>
        <w:rPr>
          <w:rFonts w:hint="eastAsia" w:ascii="仿宋_GB2312" w:hAnsi="仿宋_GB2312" w:eastAsia="仿宋_GB2312" w:cs="Times New Roman"/>
          <w:kern w:val="0"/>
          <w:sz w:val="32"/>
          <w:szCs w:val="32"/>
          <w:lang w:val="en-US" w:eastAsia="zh-CN" w:bidi="ar-SA"/>
        </w:rPr>
        <w:t>2022年2月8日至3月8日期间，朱某晖控制、使用本人“朱某晖”证券账户持续买入“粤水电”，累计买入股票60,800股，买入成交金额312,309.00元。朱某晖买入“粤水电”的时点和其与内幕信息知情人朱某阳联络接触时点高度吻合，交易量明显放大，相关交易行为明显异常，且无正当理由或者正当信息来源。2022年3月28至29日，“朱某晖”证券账户卖出持有的全部涉案粤水电股票，卖出成交金额512,436.20元，盈利199,393.16元。</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以上事实，有会议记录、相关公告、相关人员询问笔录、情况说明、自查情况、银行及证券账户资料等证据证明，足以认定。</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朱某晖的上述行为违反《证券法》第五十条、第五十三条第一款的规定，构成《证券法》第一百九十一条第一款所述的内幕交易行为。</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朱某晖在申辩材料和听证过程中提出以下申辩意见，并提交政府主动公开信息、股吧消息、证券账户对账单、其他股票交易情况、聊天记录等相关证据。</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highlight w:val="none"/>
          <w:lang w:val="en-US" w:eastAsia="zh-CN" w:bidi="ar-SA"/>
        </w:rPr>
      </w:pPr>
      <w:r>
        <w:rPr>
          <w:rFonts w:hint="eastAsia" w:ascii="仿宋_GB2312" w:hAnsi="仿宋_GB2312" w:eastAsia="仿宋_GB2312" w:cs="Times New Roman"/>
          <w:kern w:val="0"/>
          <w:sz w:val="32"/>
          <w:szCs w:val="32"/>
          <w:lang w:val="en-US" w:eastAsia="zh-CN" w:bidi="ar-SA"/>
        </w:rPr>
        <w:t>其一，不知悉朱某阳为内幕信息知情人</w:t>
      </w:r>
      <w:r>
        <w:rPr>
          <w:rFonts w:hint="eastAsia" w:ascii="仿宋_GB2312" w:hAnsi="仿宋_GB2312" w:eastAsia="仿宋_GB2312" w:cs="Times New Roman"/>
          <w:kern w:val="0"/>
          <w:sz w:val="32"/>
          <w:szCs w:val="32"/>
          <w:highlight w:val="none"/>
          <w:lang w:val="en-US" w:eastAsia="zh-CN" w:bidi="ar-SA"/>
        </w:rPr>
        <w:t>，两人作为兄弟，早就存在联络接触，其未在早前的联络接触后立即买入“粤水电”，说明其并未通过朱某阳非法获取任何内幕信息。</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其二，交易“粤水电”股票系根据该股票的政策面、消息面、技术面以及多年炒股经验做出的决定，具有正当信息来源、正当买入理由。</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其三，交易行为符合一贯的交易模式，对比同期交易的6支股票的6个交易维度的数据，交易行为也不具有明显异常。</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其四，2022年2月10日为降低持仓成本做“T+0”的买入金额，应当从“买入成交金额”中扣除，以“净流入”资金为准。</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sz w:val="32"/>
          <w:szCs w:val="32"/>
          <w:lang w:val="en-US" w:eastAsia="zh-CN"/>
        </w:rPr>
      </w:pPr>
      <w:r>
        <w:rPr>
          <w:rFonts w:hint="eastAsia" w:ascii="仿宋_GB2312" w:hAnsi="仿宋_GB2312" w:eastAsia="仿宋_GB2312" w:cs="Times New Roman"/>
          <w:kern w:val="0"/>
          <w:sz w:val="32"/>
          <w:szCs w:val="32"/>
          <w:lang w:val="en-US" w:eastAsia="zh-CN" w:bidi="ar-SA"/>
        </w:rPr>
        <w:t>综上，朱某晖请求免除处罚。</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color w:val="auto"/>
          <w:kern w:val="0"/>
          <w:sz w:val="32"/>
          <w:szCs w:val="32"/>
          <w:highlight w:val="none"/>
          <w:lang w:val="en-US" w:eastAsia="zh-CN" w:bidi="ar-SA"/>
        </w:rPr>
      </w:pPr>
      <w:r>
        <w:rPr>
          <w:rFonts w:hint="eastAsia" w:ascii="仿宋_GB2312" w:hAnsi="仿宋_GB2312" w:eastAsia="仿宋_GB2312" w:cs="Times New Roman"/>
          <w:kern w:val="0"/>
          <w:sz w:val="32"/>
          <w:szCs w:val="32"/>
          <w:lang w:val="en-US" w:eastAsia="zh-CN" w:bidi="ar-SA"/>
        </w:rPr>
        <w:t>我局认为，第一，朱某阳为内幕信息知情人，朱某晖与朱某阳系兄弟关系，两人在2022年1月31日至2月6日春节休市期间密切联系，朱某晖在2022年2月8日即节后开市的第二天即开始持续买入“粤水电”股票。朱某晖也明确表示春节期间曾与朱某阳交流过股票信息，其中包括“粤水电”。同时，</w:t>
      </w:r>
      <w:r>
        <w:rPr>
          <w:rFonts w:hint="eastAsia" w:ascii="仿宋_GB2312" w:hAnsi="仿宋_GB2312" w:eastAsia="仿宋_GB2312" w:cs="Times New Roman"/>
          <w:kern w:val="0"/>
          <w:sz w:val="32"/>
          <w:szCs w:val="32"/>
          <w:highlight w:val="none"/>
          <w:lang w:val="en-US" w:eastAsia="zh-CN" w:bidi="ar-SA"/>
        </w:rPr>
        <w:t>朱某晖买入“粤水电”股票的行为与本案</w:t>
      </w:r>
      <w:r>
        <w:rPr>
          <w:rFonts w:hint="eastAsia" w:ascii="仿宋_GB2312" w:hAnsi="仿宋_GB2312" w:eastAsia="仿宋_GB2312" w:cs="Times New Roman"/>
          <w:kern w:val="0"/>
          <w:sz w:val="32"/>
          <w:szCs w:val="32"/>
          <w:lang w:val="en-US" w:eastAsia="zh-CN" w:bidi="ar-SA"/>
        </w:rPr>
        <w:t>“利好型”</w:t>
      </w:r>
      <w:r>
        <w:rPr>
          <w:rFonts w:hint="eastAsia" w:ascii="仿宋_GB2312" w:hAnsi="仿宋_GB2312" w:eastAsia="仿宋_GB2312" w:cs="Times New Roman"/>
          <w:kern w:val="0"/>
          <w:sz w:val="32"/>
          <w:szCs w:val="32"/>
          <w:highlight w:val="none"/>
          <w:lang w:val="en-US" w:eastAsia="zh-CN" w:bidi="ar-SA"/>
        </w:rPr>
        <w:t>内</w:t>
      </w:r>
      <w:r>
        <w:rPr>
          <w:rFonts w:hint="eastAsia" w:ascii="仿宋_GB2312" w:hAnsi="仿宋_GB2312" w:eastAsia="仿宋_GB2312" w:cs="Times New Roman"/>
          <w:kern w:val="0"/>
          <w:sz w:val="32"/>
          <w:szCs w:val="32"/>
          <w:lang w:val="en-US" w:eastAsia="zh-CN" w:bidi="ar-SA"/>
        </w:rPr>
        <w:t>幕信息方向一致，涉案交易金额较以往</w:t>
      </w:r>
      <w:r>
        <w:rPr>
          <w:rFonts w:hint="eastAsia" w:ascii="仿宋_GB2312" w:hAnsi="仿宋_GB2312" w:eastAsia="仿宋_GB2312" w:cs="Times New Roman"/>
          <w:kern w:val="0"/>
          <w:sz w:val="32"/>
          <w:szCs w:val="32"/>
          <w:highlight w:val="none"/>
          <w:lang w:val="en-US" w:eastAsia="zh-CN" w:bidi="ar-SA"/>
        </w:rPr>
        <w:t>交易“粤水电”</w:t>
      </w:r>
      <w:r>
        <w:rPr>
          <w:rFonts w:hint="eastAsia" w:ascii="仿宋_GB2312" w:hAnsi="仿宋_GB2312" w:eastAsia="仿宋_GB2312" w:cs="Times New Roman"/>
          <w:kern w:val="0"/>
          <w:sz w:val="32"/>
          <w:szCs w:val="32"/>
          <w:lang w:val="en-US" w:eastAsia="zh-CN" w:bidi="ar-SA"/>
        </w:rPr>
        <w:t>明显放大。综合以上情况，根据法规规定，可以认定朱某晖构成内幕交易“粤水电”股票的行为。有关</w:t>
      </w:r>
      <w:r>
        <w:rPr>
          <w:rFonts w:hint="eastAsia" w:ascii="仿宋_GB2312" w:hAnsi="仿宋_GB2312" w:eastAsia="仿宋_GB2312" w:cs="Times New Roman"/>
          <w:kern w:val="0"/>
          <w:sz w:val="32"/>
          <w:szCs w:val="32"/>
          <w:highlight w:val="none"/>
          <w:lang w:val="en-US" w:eastAsia="zh-CN" w:bidi="ar-SA"/>
        </w:rPr>
        <w:t>自行分析</w:t>
      </w:r>
      <w:r>
        <w:rPr>
          <w:rFonts w:hint="eastAsia" w:ascii="仿宋_GB2312" w:hAnsi="仿宋_GB2312" w:eastAsia="仿宋_GB2312" w:cs="仿宋_GB2312"/>
          <w:sz w:val="32"/>
          <w:szCs w:val="32"/>
          <w:lang w:eastAsia="zh-CN"/>
        </w:rPr>
        <w:t>不能构成排除内幕交易的合理解释，</w:t>
      </w:r>
      <w:r>
        <w:rPr>
          <w:rFonts w:hint="eastAsia" w:ascii="仿宋_GB2312" w:hAnsi="仿宋_GB2312" w:eastAsia="仿宋_GB2312" w:cs="Times New Roman"/>
          <w:color w:val="auto"/>
          <w:kern w:val="0"/>
          <w:sz w:val="32"/>
          <w:szCs w:val="32"/>
          <w:highlight w:val="none"/>
          <w:lang w:val="en-US" w:eastAsia="zh-CN" w:bidi="ar-SA"/>
        </w:rPr>
        <w:t>交易习惯等申辩意见也不足以推翻对其利用内幕信息进行交易的认定。</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第二，本案内幕交易买入成交金额的计算，符合一贯执法实践，并无不当。</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综上，我局对朱某晖提出的陈述申辩意见不予采纳。</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 xml:space="preserve">根据当事人违法行为的事实、性质、情节及社会危害程度，依据《证券法》第一百九十一条第一款的规定，我局决定： </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对朱某晖没收违法所得199,393.16元，并处以50万元罚款。</w:t>
      </w:r>
    </w:p>
    <w:p>
      <w:pPr>
        <w:keepNext w:val="0"/>
        <w:keepLines w:val="0"/>
        <w:pageBreakBefore w:val="0"/>
        <w:widowControl w:val="0"/>
        <w:kinsoku/>
        <w:wordWrap/>
        <w:overflowPunct w:val="0"/>
        <w:topLinePunct w:val="0"/>
        <w:autoSpaceDE/>
        <w:autoSpaceDN/>
        <w:bidi w:val="0"/>
        <w:adjustRightInd/>
        <w:snapToGrid w:val="0"/>
        <w:spacing w:before="0" w:beforeLines="0" w:after="0" w:afterLines="0" w:line="336" w:lineRule="auto"/>
        <w:ind w:left="0" w:leftChars="0" w:right="0" w:rightChars="0" w:firstLine="640" w:firstLineChars="200"/>
        <w:jc w:val="both"/>
        <w:textAlignment w:val="auto"/>
        <w:outlineLvl w:val="9"/>
        <w:rPr>
          <w:rFonts w:hint="eastAsia" w:ascii="仿宋_GB2312" w:hAnsi="仿宋_GB2312" w:eastAsia="仿宋_GB2312" w:cs="Times New Roman"/>
          <w:kern w:val="0"/>
          <w:sz w:val="32"/>
          <w:szCs w:val="32"/>
          <w:lang w:val="en-US" w:eastAsia="zh-CN" w:bidi="ar-SA"/>
        </w:rPr>
      </w:pPr>
      <w:r>
        <w:rPr>
          <w:rFonts w:hint="eastAsia" w:ascii="仿宋_GB2312" w:hAnsi="仿宋_GB2312" w:eastAsia="仿宋_GB2312" w:cs="Times New Roman"/>
          <w:kern w:val="0"/>
          <w:sz w:val="32"/>
          <w:szCs w:val="32"/>
          <w:lang w:val="en-US" w:eastAsia="zh-CN" w:bidi="ar-SA"/>
        </w:rPr>
        <w:t>当事人应自收到本处罚决定书之日起15日内，将罚没款汇交中国证券监督管理委员会，开户银行：中信银行北京分行营业部，账号7111010189800000162，由该行直接上缴国库，并将注有当事人名称的付款凭证复印件送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themeColor="text1"/>
          <w:sz w:val="28"/>
          <w:szCs w:val="28"/>
          <w14:textFill>
            <w14:solidFill>
              <w14:schemeClr w14:val="tx1"/>
            </w14:solidFill>
          </w14:textFill>
        </w:rPr>
      </w:pP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themeColor="text1"/>
          <w:sz w:val="28"/>
          <w:szCs w:val="28"/>
          <w14:textFill>
            <w14:solidFill>
              <w14:schemeClr w14:val="tx1"/>
            </w14:solidFill>
          </w14:textFill>
        </w:rPr>
      </w:pPr>
    </w:p>
    <w:p>
      <w:pPr>
        <w:keepNext w:val="0"/>
        <w:keepLines w:val="0"/>
        <w:pageBreakBefore w:val="0"/>
        <w:widowControl w:val="0"/>
        <w:kinsoku/>
        <w:wordWrap/>
        <w:topLinePunct w:val="0"/>
        <w:autoSpaceDE/>
        <w:autoSpaceDN/>
        <w:bidi w:val="0"/>
        <w:adjustRightInd w:val="0"/>
        <w:snapToGrid w:val="0"/>
        <w:spacing w:line="360" w:lineRule="auto"/>
        <w:jc w:val="left"/>
        <w:textAlignment w:val="auto"/>
        <w:rPr>
          <w:rFonts w:ascii="宋体" w:hAnsi="宋体" w:cs="宋体"/>
          <w:color w:val="000000" w:themeColor="text1"/>
          <w:sz w:val="28"/>
          <w:szCs w:val="28"/>
          <w14:textFill>
            <w14:solidFill>
              <w14:schemeClr w14:val="tx1"/>
            </w14:solidFill>
          </w14:textFill>
        </w:rPr>
      </w:pPr>
    </w:p>
    <w:p>
      <w:pPr>
        <w:adjustRightInd w:val="0"/>
        <w:snapToGrid w:val="0"/>
        <w:spacing w:line="360" w:lineRule="auto"/>
        <w:ind w:right="1705"/>
        <w:jc w:val="right"/>
        <w:rPr>
          <w:rFonts w:hint="eastAsia" w:ascii="仿宋_GB2312" w:hAnsi="Times New Roman" w:eastAsia="仿宋_GB2312" w:cs="Times New Roman"/>
          <w:color w:val="000000" w:themeColor="text1"/>
          <w:sz w:val="32"/>
          <w14:textFill>
            <w14:solidFill>
              <w14:schemeClr w14:val="tx1"/>
            </w14:solidFill>
          </w14:textFill>
        </w:rPr>
      </w:pPr>
      <w:r>
        <w:rPr>
          <w:rFonts w:hint="eastAsia" w:ascii="仿宋_GB2312" w:hAnsi="Times New Roman" w:eastAsia="仿宋_GB2312" w:cs="Times New Roman"/>
          <w:color w:val="000000" w:themeColor="text1"/>
          <w:sz w:val="32"/>
          <w14:textFill>
            <w14:solidFill>
              <w14:schemeClr w14:val="tx1"/>
            </w14:solidFill>
          </w14:textFill>
        </w:rPr>
        <w:t>广东证监局</w:t>
      </w:r>
    </w:p>
    <w:p>
      <w:pPr>
        <w:ind w:firstLine="4250" w:firstLineChars="1250"/>
      </w:pPr>
      <w:r>
        <w:rPr>
          <w:rFonts w:hint="eastAsia" w:ascii="仿宋_GB2312" w:hAnsi="Times New Roman" w:eastAsia="仿宋_GB2312" w:cs="Times New Roman"/>
          <w:color w:val="000000" w:themeColor="text1"/>
          <w:spacing w:val="10"/>
          <w:sz w:val="32"/>
          <w:lang w:eastAsia="zh-CN"/>
          <w14:textFill>
            <w14:solidFill>
              <w14:schemeClr w14:val="tx1"/>
            </w14:solidFill>
          </w14:textFill>
        </w:rPr>
        <w:t>2</w:t>
      </w:r>
      <w:r>
        <w:rPr>
          <w:rFonts w:hint="eastAsia" w:ascii="仿宋_GB2312" w:hAnsi="Times New Roman" w:eastAsia="仿宋_GB2312" w:cs="Times New Roman"/>
          <w:color w:val="000000" w:themeColor="text1"/>
          <w:spacing w:val="10"/>
          <w:sz w:val="32"/>
          <w:lang w:val="en-US" w:eastAsia="zh-CN"/>
          <w14:textFill>
            <w14:solidFill>
              <w14:schemeClr w14:val="tx1"/>
            </w14:solidFill>
          </w14:textFill>
        </w:rPr>
        <w:t>023</w:t>
      </w:r>
      <w:r>
        <w:rPr>
          <w:rFonts w:hint="eastAsia" w:ascii="仿宋_GB2312" w:hAnsi="Times New Roman" w:eastAsia="仿宋_GB2312" w:cs="Times New Roman"/>
          <w:color w:val="000000" w:themeColor="text1"/>
          <w:spacing w:val="10"/>
          <w:sz w:val="32"/>
          <w14:textFill>
            <w14:solidFill>
              <w14:schemeClr w14:val="tx1"/>
            </w14:solidFill>
          </w14:textFill>
        </w:rPr>
        <w:t>年</w:t>
      </w:r>
      <w:r>
        <w:rPr>
          <w:rFonts w:hint="default" w:ascii="仿宋_GB2312" w:eastAsia="仿宋_GB2312" w:cs="Times New Roman"/>
          <w:color w:val="000000" w:themeColor="text1"/>
          <w:spacing w:val="10"/>
          <w:sz w:val="32"/>
          <w:lang w:val="en-US" w:eastAsia="zh-CN"/>
          <w14:textFill>
            <w14:solidFill>
              <w14:schemeClr w14:val="tx1"/>
            </w14:solidFill>
          </w14:textFill>
        </w:rPr>
        <w:t>11</w:t>
      </w:r>
      <w:r>
        <w:rPr>
          <w:rFonts w:hint="eastAsia" w:ascii="仿宋_GB2312" w:hAnsi="Times New Roman" w:eastAsia="仿宋_GB2312" w:cs="Times New Roman"/>
          <w:color w:val="000000" w:themeColor="text1"/>
          <w:spacing w:val="10"/>
          <w:sz w:val="32"/>
          <w14:textFill>
            <w14:solidFill>
              <w14:schemeClr w14:val="tx1"/>
            </w14:solidFill>
          </w14:textFill>
        </w:rPr>
        <w:t>月</w:t>
      </w:r>
      <w:r>
        <w:rPr>
          <w:rFonts w:hint="default" w:ascii="仿宋_GB2312" w:eastAsia="仿宋_GB2312" w:cs="Times New Roman"/>
          <w:color w:val="000000" w:themeColor="text1"/>
          <w:spacing w:val="10"/>
          <w:sz w:val="32"/>
          <w:lang w:val="en-US" w:eastAsia="zh-CN"/>
          <w14:textFill>
            <w14:solidFill>
              <w14:schemeClr w14:val="tx1"/>
            </w14:solidFill>
          </w14:textFill>
        </w:rPr>
        <w:t>24</w:t>
      </w:r>
      <w:r>
        <w:rPr>
          <w:rFonts w:hint="eastAsia" w:ascii="仿宋_GB2312" w:hAnsi="Times New Roman" w:eastAsia="仿宋_GB2312" w:cs="Times New Roman"/>
          <w:color w:val="000000" w:themeColor="text1"/>
          <w:spacing w:val="10"/>
          <w:sz w:val="32"/>
          <w14:textFill>
            <w14:solidFill>
              <w14:schemeClr w14:val="tx1"/>
            </w14:solidFill>
          </w14:textFill>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Wingdings 3"/>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5667180"/>
    <w:rsid w:val="E5667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2">
    <w:name w:val="NormalIndent"/>
    <w:next w:val="1"/>
    <w:qFormat/>
    <w:uiPriority w:val="0"/>
    <w:pPr>
      <w:widowControl w:val="0"/>
      <w:spacing w:line="240" w:lineRule="auto"/>
      <w:ind w:firstLine="420"/>
      <w:jc w:val="both"/>
      <w:textAlignment w:val="baseline"/>
    </w:pPr>
    <w:rPr>
      <w:rFonts w:ascii="宋体" w:hAnsi="宋体" w:eastAsia="宋体" w:cs="Times New Roman"/>
      <w:kern w:val="0"/>
      <w:sz w:val="21"/>
      <w:szCs w:val="24"/>
      <w:lang w:val="en-US" w:eastAsia="zh-CN" w:bidi="ar-SA"/>
    </w:rPr>
  </w:style>
  <w:style w:type="paragraph" w:styleId="3">
    <w:name w:val="footer"/>
    <w:qFormat/>
    <w:uiPriority w:val="0"/>
    <w:pPr>
      <w:widowControl w:val="0"/>
      <w:tabs>
        <w:tab w:val="center" w:pos="4153"/>
        <w:tab w:val="right" w:pos="8306"/>
      </w:tabs>
      <w:snapToGrid w:val="0"/>
      <w:jc w:val="left"/>
    </w:pPr>
    <w:rPr>
      <w:rFonts w:ascii="Calibri" w:hAnsi="Calibri" w:eastAsia="宋体" w:cs="Times New Roman"/>
      <w:kern w:val="2"/>
      <w:sz w:val="18"/>
      <w:szCs w:val="18"/>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2023-12-07T10:55:00Z</dcterms:created>
  <dc:creator>谢可君</dc:creator>
  <cp:lastModifiedBy>谢可君</cp:lastModifiedBy>
  <dcterms:modified xsi:type="dcterms:W3CDTF">2023-12-07T10:55:50Z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2052-11.8.2.9849</vt:lpwstr>
  </property>
</Properties>
</file>