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DD615A">
      <w:pPr>
        <w:keepNext w:val="0"/>
        <w:keepLines w:val="0"/>
        <w:pageBreakBefore w:val="0"/>
        <w:kinsoku/>
        <w:wordWrap/>
        <w:overflowPunct/>
        <w:topLinePunct w:val="0"/>
        <w:autoSpaceDE/>
        <w:autoSpaceDN/>
        <w:bidi w:val="0"/>
        <w:adjustRightInd/>
        <w:spacing w:line="360" w:lineRule="auto"/>
        <w:ind w:left="0" w:leftChars="0" w:right="0" w:firstLine="0" w:firstLineChars="0"/>
        <w:jc w:val="center"/>
        <w:rPr>
          <w:rFonts w:hint="eastAsia" w:ascii="黑体" w:hAnsi="黑体" w:eastAsia="黑体"/>
          <w:color w:val="FF0000"/>
          <w:sz w:val="44"/>
          <w:lang w:eastAsia="zh-CN"/>
        </w:rPr>
      </w:pPr>
      <w:bookmarkStart w:id="0" w:name="_GoBack"/>
      <w:bookmarkEnd w:id="0"/>
      <w:r>
        <w:rPr>
          <w:rFonts w:hint="eastAsia" w:ascii="华文中宋" w:hAnsi="华文中宋" w:eastAsia="华文中宋"/>
          <w:color w:val="FF0000"/>
          <w:sz w:val="48"/>
          <w:lang w:eastAsia="zh-CN"/>
        </w:rPr>
        <w:t>中国证券监督管理委员会江西监管局</w:t>
      </w:r>
    </w:p>
    <w:p w14:paraId="2CA2B0F4">
      <w:pPr>
        <w:keepNext w:val="0"/>
        <w:keepLines w:val="0"/>
        <w:pageBreakBefore w:val="0"/>
        <w:kinsoku/>
        <w:wordWrap/>
        <w:overflowPunct/>
        <w:topLinePunct w:val="0"/>
        <w:autoSpaceDE/>
        <w:autoSpaceDN/>
        <w:bidi w:val="0"/>
        <w:adjustRightInd/>
        <w:spacing w:line="360" w:lineRule="auto"/>
        <w:ind w:left="0" w:leftChars="0" w:right="0" w:firstLine="0" w:firstLineChars="0"/>
        <w:jc w:val="center"/>
        <w:rPr>
          <w:rFonts w:hint="eastAsia" w:ascii="黑体" w:hAnsi="黑体" w:eastAsia="黑体"/>
          <w:sz w:val="44"/>
          <w:lang w:eastAsia="zh-CN"/>
        </w:rPr>
      </w:pPr>
      <w:r>
        <w:rPr>
          <w:rFonts w:hint="eastAsia" w:ascii="华文中宋" w:hAnsi="华文中宋" w:eastAsia="华文中宋"/>
          <w:color w:val="FF0000"/>
          <w:sz w:val="84"/>
          <w:lang w:eastAsia="zh-CN"/>
        </w:rPr>
        <w:t>行政处罚决定书</w:t>
      </w:r>
    </w:p>
    <w:p w14:paraId="48FB49AD">
      <w:pPr>
        <w:keepNext w:val="0"/>
        <w:keepLines w:val="0"/>
        <w:pageBreakBefore w:val="0"/>
        <w:kinsoku/>
        <w:wordWrap/>
        <w:overflowPunct/>
        <w:topLinePunct w:val="0"/>
        <w:autoSpaceDE/>
        <w:autoSpaceDN/>
        <w:bidi w:val="0"/>
        <w:adjustRightInd/>
        <w:spacing w:line="580" w:lineRule="exact"/>
        <w:ind w:left="0" w:leftChars="0" w:right="0" w:firstLine="0" w:firstLineChars="0"/>
        <w:jc w:val="both"/>
        <w:rPr>
          <w:rFonts w:hint="eastAsia" w:ascii="仿宋_GB2312" w:hAnsi="仿宋_GB2312" w:eastAsia="仿宋_GB2312"/>
          <w:sz w:val="32"/>
          <w:lang w:eastAsia="zh-CN"/>
        </w:rPr>
      </w:pPr>
      <w:r>
        <w:rPr>
          <w:rFonts w:hint="eastAsia" w:ascii="黑体" w:hAnsi="黑体" w:eastAsia="黑体"/>
          <w:sz w:val="44"/>
          <w:lang w:eastAsia="zh-CN"/>
        </w:rPr>
        <w:t xml:space="preserve">           </w:t>
      </w:r>
      <w:r>
        <w:rPr>
          <w:rFonts w:hint="eastAsia" w:ascii="仿宋_GB2312" w:hAnsi="仿宋_GB2312" w:eastAsia="仿宋_GB2312"/>
          <w:sz w:val="32"/>
          <w:lang w:eastAsia="zh-CN"/>
        </w:rPr>
        <w:t xml:space="preserve">  </w:t>
      </w:r>
    </w:p>
    <w:p w14:paraId="3A847723">
      <w:pPr>
        <w:keepNext w:val="0"/>
        <w:keepLines w:val="0"/>
        <w:pageBreakBefore w:val="0"/>
        <w:kinsoku/>
        <w:wordWrap/>
        <w:overflowPunct/>
        <w:topLinePunct w:val="0"/>
        <w:autoSpaceDE/>
        <w:autoSpaceDN/>
        <w:bidi w:val="0"/>
        <w:adjustRightInd/>
        <w:spacing w:line="580" w:lineRule="exact"/>
        <w:ind w:left="0" w:leftChars="0" w:right="0" w:firstLine="320" w:firstLineChars="100"/>
        <w:jc w:val="left"/>
        <w:rPr>
          <w:rFonts w:hint="default" w:ascii="仿宋_GB2312" w:hAnsi="仿宋_GB2312" w:eastAsia="仿宋_GB2312"/>
          <w:sz w:val="32"/>
          <w:u w:val="thick" w:color="FF0000"/>
          <w:lang w:val="en-US"/>
        </w:rPr>
      </w:pPr>
      <w:r>
        <w:rPr>
          <w:rFonts w:hint="eastAsia" w:ascii="仿宋_GB2312" w:hAnsi="仿宋_GB2312" w:eastAsia="仿宋_GB2312"/>
          <w:sz w:val="32"/>
          <w:u w:val="thick" w:color="FF0000"/>
          <w:lang w:val="en-US" w:eastAsia="zh-CN"/>
        </w:rPr>
        <w:t xml:space="preserve">                    </w:t>
      </w:r>
      <w:r>
        <w:rPr>
          <w:rFonts w:hint="eastAsia" w:ascii="仿宋_GB2312" w:hAnsi="仿宋_GB2312" w:eastAsia="仿宋_GB2312"/>
          <w:sz w:val="32"/>
          <w:u w:val="thick" w:color="FF0000"/>
          <w:lang w:eastAsia="zh-CN"/>
        </w:rPr>
        <w:t>〔20</w:t>
      </w:r>
      <w:r>
        <w:rPr>
          <w:rFonts w:hint="eastAsia" w:ascii="仿宋_GB2312" w:hAnsi="仿宋_GB2312" w:eastAsia="仿宋_GB2312"/>
          <w:sz w:val="32"/>
          <w:u w:val="thick" w:color="FF0000"/>
          <w:lang w:val="en-US" w:eastAsia="zh-CN"/>
        </w:rPr>
        <w:t>24</w:t>
      </w:r>
      <w:r>
        <w:rPr>
          <w:rFonts w:hint="eastAsia" w:ascii="仿宋_GB2312" w:hAnsi="仿宋_GB2312" w:eastAsia="仿宋_GB2312"/>
          <w:sz w:val="32"/>
          <w:u w:val="thick" w:color="FF0000"/>
          <w:lang w:eastAsia="zh-CN"/>
        </w:rPr>
        <w:t>〕</w:t>
      </w:r>
      <w:r>
        <w:rPr>
          <w:rFonts w:hint="eastAsia" w:ascii="仿宋_GB2312" w:hAnsi="仿宋_GB2312" w:eastAsia="仿宋_GB2312"/>
          <w:sz w:val="32"/>
          <w:u w:val="thick" w:color="FF0000"/>
          <w:lang w:val="en-US" w:eastAsia="zh-CN"/>
        </w:rPr>
        <w:t>2</w:t>
      </w:r>
      <w:r>
        <w:rPr>
          <w:rFonts w:hint="eastAsia" w:ascii="仿宋_GB2312" w:hAnsi="仿宋_GB2312" w:eastAsia="仿宋_GB2312"/>
          <w:sz w:val="32"/>
          <w:u w:val="thick" w:color="FF0000"/>
          <w:lang w:eastAsia="zh-CN"/>
        </w:rPr>
        <w:t>号</w:t>
      </w:r>
      <w:r>
        <w:rPr>
          <w:rFonts w:hint="eastAsia" w:ascii="仿宋_GB2312" w:hAnsi="仿宋_GB2312" w:eastAsia="仿宋_GB2312"/>
          <w:sz w:val="32"/>
          <w:u w:val="thick" w:color="FF0000"/>
          <w:lang w:val="en-US" w:eastAsia="zh-CN"/>
        </w:rPr>
        <w:t xml:space="preserve">                    </w:t>
      </w:r>
    </w:p>
    <w:p w14:paraId="3BBC50E6">
      <w:pPr>
        <w:keepNext w:val="0"/>
        <w:keepLines w:val="0"/>
        <w:pageBreakBefore w:val="0"/>
        <w:kinsoku/>
        <w:wordWrap/>
        <w:overflowPunct/>
        <w:topLinePunct w:val="0"/>
        <w:autoSpaceDE/>
        <w:autoSpaceDN/>
        <w:bidi w:val="0"/>
        <w:adjustRightInd/>
        <w:spacing w:line="580" w:lineRule="exact"/>
        <w:jc w:val="both"/>
      </w:pPr>
    </w:p>
    <w:p w14:paraId="16938011">
      <w:pPr>
        <w:pStyle w:val="10"/>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640" w:firstLineChars="200"/>
        <w:jc w:val="both"/>
        <w:textAlignment w:val="baseline"/>
        <w:outlineLvl w:val="9"/>
        <w:rPr>
          <w:rFonts w:hint="eastAsia" w:ascii="仿宋_GB2312" w:hAnsi="仿宋_GB2312" w:eastAsia="仿宋_GB2312" w:cs="仿宋_GB2312"/>
          <w:b w:val="0"/>
          <w:color w:val="auto"/>
          <w:sz w:val="32"/>
          <w:szCs w:val="32"/>
          <w:lang w:eastAsia="zh-CN"/>
        </w:rPr>
      </w:pPr>
      <w:r>
        <w:rPr>
          <w:rFonts w:hint="eastAsia" w:ascii="仿宋_GB2312" w:hAnsi="仿宋_GB2312" w:eastAsia="仿宋_GB2312" w:cs="仿宋_GB2312"/>
          <w:b w:val="0"/>
          <w:color w:val="auto"/>
          <w:sz w:val="32"/>
          <w:szCs w:val="32"/>
          <w:lang w:val="en-US" w:eastAsia="zh-CN"/>
        </w:rPr>
        <w:t>当事人：</w:t>
      </w:r>
      <w:r>
        <w:rPr>
          <w:rFonts w:hint="eastAsia" w:ascii="仿宋_GB2312" w:hAnsi="仿宋_GB2312" w:eastAsia="仿宋_GB2312" w:cs="Times New Roman"/>
          <w:b w:val="0"/>
          <w:color w:val="auto"/>
          <w:sz w:val="32"/>
          <w:szCs w:val="32"/>
          <w:lang w:val="en-US" w:eastAsia="zh-CN"/>
        </w:rPr>
        <w:t>江西赣锋锂业集团股份有限公司（原江西赣锋锂业股份有限公司，</w:t>
      </w:r>
      <w:r>
        <w:rPr>
          <w:rFonts w:hint="eastAsia" w:ascii="仿宋_GB2312" w:hAnsi="仿宋_GB2312" w:eastAsia="仿宋_GB2312" w:cs="仿宋_GB2312"/>
          <w:b w:val="0"/>
          <w:color w:val="auto"/>
          <w:sz w:val="32"/>
          <w:szCs w:val="32"/>
          <w:lang w:eastAsia="zh-CN"/>
        </w:rPr>
        <w:t>以下简称赣锋锂业或公司），住所：江西省新余市高新技术开发区。</w:t>
      </w:r>
    </w:p>
    <w:p w14:paraId="205F6C50">
      <w:pPr>
        <w:keepNext w:val="0"/>
        <w:keepLines w:val="0"/>
        <w:pageBreakBefore w:val="0"/>
        <w:widowControl w:val="0"/>
        <w:numPr>
          <w:ilvl w:val="0"/>
          <w:numId w:val="0"/>
        </w:numPr>
        <w:kinsoku/>
        <w:wordWrap/>
        <w:overflowPunct/>
        <w:topLinePunct w:val="0"/>
        <w:bidi w:val="0"/>
        <w:adjustRightInd/>
        <w:snapToGrid/>
        <w:spacing w:line="240" w:lineRule="auto"/>
        <w:ind w:left="0" w:leftChars="0" w:right="0" w:firstLine="640" w:firstLineChars="200"/>
        <w:jc w:val="both"/>
        <w:textAlignment w:val="baseline"/>
        <w:outlineLvl w:val="9"/>
        <w:rPr>
          <w:rFonts w:hint="eastAsia" w:ascii="仿宋_GB2312" w:hAnsi="仿宋_GB2312" w:eastAsia="仿宋_GB2312" w:cs="仿宋_GB2312"/>
          <w:b w:val="0"/>
          <w:bCs/>
          <w:color w:val="auto"/>
          <w:sz w:val="32"/>
          <w:szCs w:val="32"/>
          <w:lang w:val="en-US" w:eastAsia="zh-CN"/>
        </w:rPr>
      </w:pPr>
      <w:r>
        <w:rPr>
          <w:rFonts w:hint="eastAsia" w:ascii="仿宋_GB2312" w:hAnsi="仿宋_GB2312" w:eastAsia="仿宋_GB2312" w:cs="Times New Roman"/>
          <w:b w:val="0"/>
          <w:color w:val="auto"/>
          <w:sz w:val="32"/>
          <w:szCs w:val="32"/>
          <w:lang w:val="en-US" w:eastAsia="zh-CN"/>
        </w:rPr>
        <w:t>李某彬</w:t>
      </w:r>
      <w:r>
        <w:rPr>
          <w:rFonts w:hint="eastAsia" w:ascii="仿宋_GB2312" w:hAnsi="仿宋_GB2312" w:eastAsia="仿宋_GB2312" w:cs="仿宋_GB2312"/>
          <w:b w:val="0"/>
          <w:color w:val="auto"/>
          <w:sz w:val="32"/>
          <w:szCs w:val="32"/>
          <w:lang w:eastAsia="zh-CN"/>
        </w:rPr>
        <w:t>，男，</w:t>
      </w:r>
      <w:r>
        <w:rPr>
          <w:rFonts w:hint="eastAsia" w:ascii="仿宋_GB2312" w:hAnsi="仿宋_GB2312" w:eastAsia="仿宋_GB2312" w:cs="仿宋_GB2312"/>
          <w:b w:val="0"/>
          <w:color w:val="auto"/>
          <w:sz w:val="32"/>
          <w:szCs w:val="32"/>
          <w:lang w:val="en-US" w:eastAsia="zh-CN"/>
        </w:rPr>
        <w:t>19</w:t>
      </w:r>
      <w:r>
        <w:rPr>
          <w:rFonts w:hint="eastAsia" w:ascii="仿宋_GB2312" w:hAnsi="仿宋_GB2312" w:eastAsia="仿宋_GB2312" w:cs="仿宋_GB2312"/>
          <w:b w:val="0"/>
          <w:bCs/>
          <w:color w:val="auto"/>
          <w:sz w:val="32"/>
          <w:szCs w:val="32"/>
          <w:lang w:val="en-US" w:eastAsia="zh-CN"/>
        </w:rPr>
        <w:t>6X年9月出生</w:t>
      </w:r>
      <w:r>
        <w:rPr>
          <w:rFonts w:hint="eastAsia" w:ascii="仿宋_GB2312" w:hAnsi="仿宋_GB2312" w:eastAsia="仿宋_GB2312" w:cs="仿宋_GB2312"/>
          <w:b w:val="0"/>
          <w:color w:val="auto"/>
          <w:sz w:val="32"/>
          <w:szCs w:val="32"/>
          <w:lang w:eastAsia="zh-CN"/>
        </w:rPr>
        <w:t>，</w:t>
      </w:r>
      <w:r>
        <w:rPr>
          <w:rFonts w:hint="eastAsia" w:ascii="仿宋_GB2312" w:hAnsi="仿宋_GB2312" w:eastAsia="仿宋_GB2312" w:cs="仿宋_GB2312"/>
          <w:b w:val="0"/>
          <w:bCs w:val="0"/>
          <w:color w:val="auto"/>
          <w:sz w:val="32"/>
          <w:szCs w:val="32"/>
          <w:highlight w:val="none"/>
          <w:lang w:val="en-US" w:eastAsia="zh-CN"/>
        </w:rPr>
        <w:t>赣锋锂业董事长、时任总裁</w:t>
      </w:r>
      <w:r>
        <w:rPr>
          <w:rFonts w:hint="eastAsia" w:ascii="仿宋_GB2312" w:hAnsi="仿宋_GB2312" w:eastAsia="仿宋_GB2312" w:cs="仿宋_GB2312"/>
          <w:b w:val="0"/>
          <w:bCs w:val="0"/>
          <w:color w:val="auto"/>
          <w:sz w:val="32"/>
          <w:szCs w:val="32"/>
          <w:highlight w:val="none"/>
          <w:lang w:eastAsia="zh-CN"/>
        </w:rPr>
        <w:t>，</w:t>
      </w:r>
      <w:r>
        <w:rPr>
          <w:rFonts w:hint="eastAsia" w:ascii="仿宋_GB2312" w:hAnsi="仿宋_GB2312" w:eastAsia="仿宋_GB2312" w:cs="仿宋_GB2312"/>
          <w:b w:val="0"/>
          <w:bCs w:val="0"/>
          <w:color w:val="auto"/>
          <w:sz w:val="32"/>
          <w:szCs w:val="32"/>
          <w:highlight w:val="none"/>
          <w:lang w:val="en-US" w:eastAsia="zh-CN"/>
        </w:rPr>
        <w:t>住址：江西省新余市渝水区</w:t>
      </w:r>
      <w:r>
        <w:rPr>
          <w:rFonts w:hint="eastAsia" w:ascii="仿宋_GB2312" w:hAnsi="仿宋_GB2312" w:eastAsia="仿宋_GB2312" w:cs="仿宋_GB2312"/>
          <w:b w:val="0"/>
          <w:bCs w:val="0"/>
          <w:color w:val="auto"/>
          <w:sz w:val="32"/>
          <w:szCs w:val="32"/>
          <w:lang w:val="en-US" w:eastAsia="zh-CN"/>
        </w:rPr>
        <w:t>。</w:t>
      </w:r>
    </w:p>
    <w:p w14:paraId="67F82E3A">
      <w:pPr>
        <w:keepNext w:val="0"/>
        <w:keepLines w:val="0"/>
        <w:pageBreakBefore w:val="0"/>
        <w:widowControl w:val="0"/>
        <w:numPr>
          <w:ilvl w:val="0"/>
          <w:numId w:val="0"/>
        </w:numPr>
        <w:kinsoku/>
        <w:wordWrap/>
        <w:overflowPunct/>
        <w:topLinePunct w:val="0"/>
        <w:bidi w:val="0"/>
        <w:adjustRightInd/>
        <w:snapToGrid/>
        <w:spacing w:line="240" w:lineRule="auto"/>
        <w:ind w:left="0" w:leftChars="0" w:right="0" w:firstLine="640" w:firstLineChars="200"/>
        <w:jc w:val="both"/>
        <w:textAlignment w:val="baseline"/>
        <w:outlineLvl w:val="9"/>
        <w:rPr>
          <w:rFonts w:hint="eastAsia" w:ascii="仿宋_GB2312" w:hAnsi="仿宋_GB2312" w:eastAsia="仿宋_GB2312" w:cs="Times New Roman"/>
          <w:b w:val="0"/>
          <w:color w:val="auto"/>
          <w:sz w:val="32"/>
          <w:szCs w:val="32"/>
          <w:lang w:eastAsia="zh-CN"/>
        </w:rPr>
      </w:pPr>
      <w:r>
        <w:rPr>
          <w:rFonts w:hint="eastAsia" w:ascii="仿宋_GB2312" w:hAnsi="仿宋_GB2312" w:eastAsia="仿宋_GB2312" w:cs="Times New Roman"/>
          <w:b w:val="0"/>
          <w:color w:val="auto"/>
          <w:sz w:val="32"/>
          <w:szCs w:val="32"/>
          <w:lang w:val="en-US" w:eastAsia="zh-CN"/>
        </w:rPr>
        <w:t>欧阳某</w:t>
      </w:r>
      <w:r>
        <w:rPr>
          <w:rFonts w:hint="eastAsia" w:ascii="仿宋_GB2312" w:hAnsi="仿宋_GB2312" w:eastAsia="仿宋_GB2312" w:cs="仿宋_GB2312"/>
          <w:b w:val="0"/>
          <w:bCs/>
          <w:color w:val="auto"/>
          <w:sz w:val="32"/>
          <w:szCs w:val="32"/>
          <w:lang w:val="en-US" w:eastAsia="zh-CN"/>
        </w:rPr>
        <w:t>，女</w:t>
      </w:r>
      <w:r>
        <w:rPr>
          <w:rFonts w:hint="eastAsia" w:ascii="仿宋_GB2312" w:hAnsi="仿宋_GB2312" w:eastAsia="仿宋_GB2312" w:cs="仿宋_GB2312"/>
          <w:b w:val="0"/>
          <w:color w:val="auto"/>
          <w:sz w:val="32"/>
          <w:szCs w:val="32"/>
          <w:lang w:eastAsia="zh-CN"/>
        </w:rPr>
        <w:t>，</w:t>
      </w:r>
      <w:r>
        <w:rPr>
          <w:rFonts w:hint="eastAsia" w:ascii="仿宋_GB2312" w:hAnsi="仿宋_GB2312" w:eastAsia="仿宋_GB2312" w:cs="仿宋_GB2312"/>
          <w:b w:val="0"/>
          <w:bCs/>
          <w:color w:val="auto"/>
          <w:sz w:val="32"/>
          <w:szCs w:val="32"/>
          <w:lang w:val="en-US" w:eastAsia="zh-CN"/>
        </w:rPr>
        <w:t>197X年11月出生，</w:t>
      </w:r>
      <w:r>
        <w:rPr>
          <w:rFonts w:hint="eastAsia" w:ascii="仿宋_GB2312" w:hAnsi="仿宋_GB2312" w:eastAsia="仿宋_GB2312" w:cs="仿宋_GB2312"/>
          <w:b w:val="0"/>
          <w:bCs w:val="0"/>
          <w:color w:val="auto"/>
          <w:sz w:val="32"/>
          <w:szCs w:val="32"/>
          <w:highlight w:val="none"/>
          <w:lang w:val="en-US" w:eastAsia="zh-CN"/>
        </w:rPr>
        <w:t>赣锋锂业</w:t>
      </w:r>
      <w:r>
        <w:rPr>
          <w:rFonts w:hint="eastAsia" w:ascii="仿宋_GB2312" w:hAnsi="仿宋_GB2312" w:eastAsia="仿宋_GB2312" w:cs="仿宋_GB2312"/>
          <w:b w:val="0"/>
          <w:bCs/>
          <w:color w:val="auto"/>
          <w:sz w:val="32"/>
          <w:szCs w:val="32"/>
          <w:lang w:val="en-US" w:eastAsia="zh-CN"/>
        </w:rPr>
        <w:t>时任</w:t>
      </w:r>
      <w:r>
        <w:rPr>
          <w:rFonts w:hint="eastAsia" w:ascii="仿宋_GB2312" w:hAnsi="仿宋_GB2312" w:eastAsia="仿宋_GB2312" w:cs="仿宋_GB2312"/>
          <w:b w:val="0"/>
          <w:bCs w:val="0"/>
          <w:color w:val="auto"/>
          <w:sz w:val="32"/>
          <w:szCs w:val="32"/>
          <w:highlight w:val="none"/>
          <w:lang w:val="en-US" w:eastAsia="zh-CN"/>
        </w:rPr>
        <w:t>董事会秘书，住址：江西省新余市渝水区。</w:t>
      </w:r>
    </w:p>
    <w:p w14:paraId="5F8D4937">
      <w:pPr>
        <w:keepNext w:val="0"/>
        <w:keepLines w:val="0"/>
        <w:pageBreakBefore w:val="0"/>
        <w:widowControl w:val="0"/>
        <w:kinsoku/>
        <w:wordWrap/>
        <w:overflowPunct/>
        <w:topLinePunct w:val="0"/>
        <w:autoSpaceDE w:val="0"/>
        <w:autoSpaceDN w:val="0"/>
        <w:bidi w:val="0"/>
        <w:adjustRightInd/>
        <w:snapToGrid/>
        <w:spacing w:line="240" w:lineRule="auto"/>
        <w:ind w:firstLine="640" w:firstLineChars="200"/>
        <w:jc w:val="both"/>
        <w:rPr>
          <w:rFonts w:hint="default" w:ascii="Times New Roman" w:hAnsi="Times New Roman" w:eastAsia="仿宋_GB2312" w:cs="Times New Roman"/>
          <w:b w:val="0"/>
          <w:bCs/>
          <w:color w:val="auto"/>
          <w:sz w:val="32"/>
          <w:szCs w:val="32"/>
        </w:rPr>
      </w:pPr>
      <w:r>
        <w:rPr>
          <w:rFonts w:hint="eastAsia" w:ascii="仿宋_GB2312" w:hAnsi="仿宋_GB2312" w:eastAsia="仿宋_GB2312" w:cs="仿宋_GB2312"/>
          <w:b w:val="0"/>
          <w:color w:val="auto"/>
          <w:sz w:val="32"/>
          <w:szCs w:val="32"/>
          <w:lang w:eastAsia="zh-CN"/>
        </w:rPr>
        <w:t>依据</w:t>
      </w:r>
      <w:r>
        <w:rPr>
          <w:rFonts w:hint="eastAsia" w:ascii="仿宋_GB2312" w:hAnsi="仿宋_GB2312" w:eastAsia="仿宋_GB2312" w:cs="仿宋_GB2312"/>
          <w:color w:val="auto"/>
          <w:sz w:val="32"/>
          <w:szCs w:val="32"/>
        </w:rPr>
        <w:t>《中华人民共和国证券法》（以下简称《证券法》）</w:t>
      </w:r>
      <w:r>
        <w:rPr>
          <w:rFonts w:hint="eastAsia" w:ascii="仿宋_GB2312" w:hAnsi="仿宋_GB2312" w:eastAsia="仿宋_GB2312" w:cs="仿宋_GB2312"/>
          <w:b w:val="0"/>
          <w:color w:val="auto"/>
          <w:sz w:val="32"/>
          <w:szCs w:val="32"/>
          <w:lang w:eastAsia="zh-CN"/>
        </w:rPr>
        <w:t>的有关</w:t>
      </w:r>
      <w:r>
        <w:rPr>
          <w:rFonts w:hint="eastAsia" w:ascii="仿宋_GB2312" w:hAnsi="仿宋_GB2312" w:eastAsia="仿宋_GB2312"/>
          <w:b w:val="0"/>
          <w:color w:val="auto"/>
          <w:sz w:val="32"/>
          <w:szCs w:val="32"/>
          <w:lang w:eastAsia="zh-CN"/>
        </w:rPr>
        <w:t>规定，我局对赣锋锂业内幕交易江西特种电机股份有限公司（以下简称江特电机或</w:t>
      </w:r>
      <w:r>
        <w:rPr>
          <w:rFonts w:hint="eastAsia" w:ascii="仿宋_GB2312" w:hAnsi="仿宋_GB2312" w:eastAsia="仿宋_GB2312"/>
          <w:b w:val="0"/>
          <w:color w:val="auto"/>
          <w:sz w:val="32"/>
          <w:szCs w:val="32"/>
          <w:lang w:val="en-US" w:eastAsia="zh-CN"/>
        </w:rPr>
        <w:t>*ST江特</w:t>
      </w:r>
      <w:r>
        <w:rPr>
          <w:rFonts w:hint="eastAsia" w:ascii="仿宋_GB2312" w:hAnsi="仿宋_GB2312" w:eastAsia="仿宋_GB2312"/>
          <w:b w:val="0"/>
          <w:color w:val="auto"/>
          <w:sz w:val="32"/>
          <w:szCs w:val="32"/>
          <w:lang w:eastAsia="zh-CN"/>
        </w:rPr>
        <w:t>）股票行为</w:t>
      </w:r>
      <w:r>
        <w:rPr>
          <w:rFonts w:hint="eastAsia" w:ascii="仿宋_GB2312" w:hAnsi="仿宋_GB2312" w:eastAsia="仿宋_GB2312" w:cs="仿宋_GB2312"/>
          <w:color w:val="auto"/>
          <w:sz w:val="32"/>
          <w:szCs w:val="32"/>
        </w:rPr>
        <w:t>进行了立案调查，依法向当事人告知了作出行政处罚的事实、理由、依据及当事人依法享有的权利。</w:t>
      </w:r>
      <w:r>
        <w:rPr>
          <w:rFonts w:hint="eastAsia" w:ascii="仿宋_GB2312" w:hAnsi="仿宋_GB2312" w:eastAsia="仿宋_GB2312" w:cs="仿宋_GB2312"/>
          <w:b w:val="0"/>
          <w:bCs/>
          <w:color w:val="auto"/>
          <w:sz w:val="32"/>
          <w:szCs w:val="32"/>
        </w:rPr>
        <w:t>应当事人的要求</w:t>
      </w:r>
      <w:r>
        <w:rPr>
          <w:rFonts w:hint="eastAsia" w:ascii="仿宋_GB2312" w:hAnsi="仿宋_GB2312" w:eastAsia="仿宋_GB2312" w:cs="仿宋_GB2312"/>
          <w:b w:val="0"/>
          <w:bCs/>
          <w:color w:val="auto"/>
          <w:sz w:val="32"/>
          <w:szCs w:val="32"/>
          <w:lang w:eastAsia="zh-CN"/>
        </w:rPr>
        <w:t>，我局</w:t>
      </w:r>
      <w:r>
        <w:rPr>
          <w:rFonts w:hint="eastAsia" w:ascii="仿宋_GB2312" w:hAnsi="仿宋_GB2312" w:eastAsia="仿宋_GB2312" w:cs="仿宋_GB2312"/>
          <w:b w:val="0"/>
          <w:bCs/>
          <w:color w:val="auto"/>
          <w:sz w:val="32"/>
          <w:szCs w:val="32"/>
          <w:lang w:val="en-US" w:eastAsia="zh-CN"/>
        </w:rPr>
        <w:t>2023</w:t>
      </w:r>
      <w:r>
        <w:rPr>
          <w:rFonts w:hint="eastAsia" w:ascii="仿宋_GB2312" w:hAnsi="仿宋_GB2312" w:eastAsia="仿宋_GB2312" w:cs="仿宋_GB2312"/>
          <w:b w:val="0"/>
          <w:bCs/>
          <w:color w:val="auto"/>
          <w:sz w:val="32"/>
          <w:szCs w:val="32"/>
        </w:rPr>
        <w:t>年</w:t>
      </w:r>
      <w:r>
        <w:rPr>
          <w:rFonts w:hint="eastAsia" w:ascii="仿宋_GB2312" w:hAnsi="仿宋_GB2312" w:eastAsia="仿宋_GB2312" w:cs="仿宋_GB2312"/>
          <w:b w:val="0"/>
          <w:bCs/>
          <w:color w:val="auto"/>
          <w:sz w:val="32"/>
          <w:szCs w:val="32"/>
          <w:lang w:val="en-US" w:eastAsia="zh-CN"/>
        </w:rPr>
        <w:t>1</w:t>
      </w:r>
      <w:r>
        <w:rPr>
          <w:rFonts w:hint="eastAsia" w:ascii="仿宋_GB2312" w:hAnsi="仿宋_GB2312" w:eastAsia="仿宋_GB2312" w:cs="仿宋_GB2312"/>
          <w:b w:val="0"/>
          <w:bCs/>
          <w:color w:val="auto"/>
          <w:sz w:val="32"/>
          <w:szCs w:val="32"/>
        </w:rPr>
        <w:t>月</w:t>
      </w:r>
      <w:r>
        <w:rPr>
          <w:rFonts w:hint="eastAsia" w:ascii="仿宋_GB2312" w:hAnsi="仿宋_GB2312" w:eastAsia="仿宋_GB2312" w:cs="仿宋_GB2312"/>
          <w:b w:val="0"/>
          <w:bCs/>
          <w:color w:val="auto"/>
          <w:sz w:val="32"/>
          <w:szCs w:val="32"/>
          <w:lang w:val="en-US" w:eastAsia="zh-CN"/>
        </w:rPr>
        <w:t>4</w:t>
      </w:r>
      <w:r>
        <w:rPr>
          <w:rFonts w:hint="eastAsia" w:ascii="仿宋_GB2312" w:hAnsi="仿宋_GB2312" w:eastAsia="仿宋_GB2312" w:cs="仿宋_GB2312"/>
          <w:b w:val="0"/>
          <w:bCs/>
          <w:color w:val="auto"/>
          <w:sz w:val="32"/>
          <w:szCs w:val="32"/>
        </w:rPr>
        <w:t>日举行</w:t>
      </w:r>
      <w:r>
        <w:rPr>
          <w:rFonts w:hint="eastAsia" w:ascii="仿宋_GB2312" w:hAnsi="仿宋_GB2312" w:eastAsia="仿宋_GB2312" w:cs="仿宋_GB2312"/>
          <w:b w:val="0"/>
          <w:bCs/>
          <w:color w:val="auto"/>
          <w:sz w:val="32"/>
          <w:szCs w:val="32"/>
          <w:lang w:eastAsia="zh-CN"/>
        </w:rPr>
        <w:t>了</w:t>
      </w:r>
      <w:r>
        <w:rPr>
          <w:rFonts w:hint="eastAsia" w:ascii="仿宋_GB2312" w:hAnsi="仿宋_GB2312" w:eastAsia="仿宋_GB2312" w:cs="仿宋_GB2312"/>
          <w:b w:val="0"/>
          <w:bCs/>
          <w:color w:val="auto"/>
          <w:sz w:val="32"/>
          <w:szCs w:val="32"/>
        </w:rPr>
        <w:t>听证会，听取了</w:t>
      </w:r>
      <w:r>
        <w:rPr>
          <w:rFonts w:hint="eastAsia" w:ascii="仿宋_GB2312" w:hAnsi="仿宋_GB2312" w:eastAsia="仿宋_GB2312" w:cs="仿宋_GB2312"/>
          <w:b w:val="0"/>
          <w:bCs/>
          <w:color w:val="auto"/>
          <w:sz w:val="32"/>
          <w:szCs w:val="32"/>
          <w:lang w:eastAsia="zh-CN"/>
        </w:rPr>
        <w:t>当事人</w:t>
      </w:r>
      <w:r>
        <w:rPr>
          <w:rFonts w:hint="eastAsia" w:ascii="仿宋_GB2312" w:hAnsi="仿宋_GB2312" w:eastAsia="仿宋_GB2312" w:cs="仿宋_GB2312"/>
          <w:b w:val="0"/>
          <w:bCs/>
          <w:color w:val="auto"/>
          <w:sz w:val="32"/>
          <w:szCs w:val="32"/>
        </w:rPr>
        <w:t>及其代理人的陈述</w:t>
      </w:r>
      <w:r>
        <w:rPr>
          <w:rFonts w:hint="eastAsia" w:ascii="仿宋_GB2312" w:hAnsi="仿宋_GB2312" w:eastAsia="仿宋_GB2312" w:cs="仿宋_GB2312"/>
          <w:b w:val="0"/>
          <w:bCs/>
          <w:color w:val="auto"/>
          <w:sz w:val="32"/>
          <w:szCs w:val="32"/>
          <w:lang w:eastAsia="zh-CN"/>
        </w:rPr>
        <w:t>和</w:t>
      </w:r>
      <w:r>
        <w:rPr>
          <w:rFonts w:hint="eastAsia" w:ascii="仿宋_GB2312" w:hAnsi="仿宋_GB2312" w:eastAsia="仿宋_GB2312" w:cs="仿宋_GB2312"/>
          <w:b w:val="0"/>
          <w:bCs/>
          <w:color w:val="auto"/>
          <w:sz w:val="32"/>
          <w:szCs w:val="32"/>
        </w:rPr>
        <w:t>申辩</w:t>
      </w:r>
      <w:r>
        <w:rPr>
          <w:rFonts w:hint="eastAsia" w:ascii="仿宋_GB2312" w:hAnsi="仿宋_GB2312" w:eastAsia="仿宋_GB2312" w:cs="仿宋_GB2312"/>
          <w:b w:val="0"/>
          <w:bCs/>
          <w:color w:val="auto"/>
          <w:sz w:val="32"/>
          <w:szCs w:val="32"/>
          <w:lang w:eastAsia="zh-CN"/>
        </w:rPr>
        <w:t>意见</w:t>
      </w:r>
      <w:r>
        <w:rPr>
          <w:rFonts w:hint="eastAsia" w:ascii="仿宋_GB2312" w:hAnsi="仿宋_GB2312" w:eastAsia="仿宋_GB2312" w:cs="仿宋_GB2312"/>
          <w:b w:val="0"/>
          <w:bCs/>
          <w:color w:val="auto"/>
          <w:sz w:val="32"/>
          <w:szCs w:val="32"/>
        </w:rPr>
        <w:t>。</w:t>
      </w:r>
      <w:r>
        <w:rPr>
          <w:rFonts w:hint="eastAsia" w:ascii="仿宋_GB2312" w:hAnsi="仿宋_GB2312" w:eastAsia="仿宋_GB2312" w:cs="仿宋_GB2312"/>
          <w:b w:val="0"/>
          <w:bCs/>
          <w:color w:val="auto"/>
          <w:sz w:val="32"/>
          <w:szCs w:val="32"/>
          <w:lang w:val="en-US" w:eastAsia="zh-CN"/>
        </w:rPr>
        <w:t>根据听证情况，我局进行了补充调查，并请当事人再次阅卷。当事人提交了补充申辩意见。</w:t>
      </w:r>
      <w:r>
        <w:rPr>
          <w:rFonts w:hint="eastAsia" w:ascii="仿宋_GB2312" w:hAnsi="仿宋_GB2312" w:eastAsia="仿宋_GB2312" w:cs="仿宋_GB2312"/>
          <w:b w:val="0"/>
          <w:bCs/>
          <w:color w:val="auto"/>
          <w:sz w:val="32"/>
          <w:szCs w:val="32"/>
        </w:rPr>
        <w:t>本案现已调查、</w:t>
      </w:r>
      <w:r>
        <w:rPr>
          <w:rFonts w:hint="eastAsia" w:ascii="仿宋_GB2312" w:hAnsi="仿宋_GB2312" w:eastAsia="仿宋_GB2312" w:cs="仿宋_GB2312"/>
          <w:b w:val="0"/>
          <w:bCs/>
          <w:color w:val="auto"/>
          <w:sz w:val="32"/>
          <w:szCs w:val="32"/>
          <w:lang w:eastAsia="zh-CN"/>
        </w:rPr>
        <w:t>办</w:t>
      </w:r>
      <w:r>
        <w:rPr>
          <w:rFonts w:hint="eastAsia" w:ascii="仿宋_GB2312" w:hAnsi="仿宋_GB2312" w:eastAsia="仿宋_GB2312" w:cs="仿宋_GB2312"/>
          <w:b w:val="0"/>
          <w:bCs/>
          <w:color w:val="auto"/>
          <w:sz w:val="32"/>
          <w:szCs w:val="32"/>
        </w:rPr>
        <w:t>理终结。</w:t>
      </w:r>
    </w:p>
    <w:p w14:paraId="7878E616">
      <w:pPr>
        <w:pStyle w:val="5"/>
        <w:keepNext w:val="0"/>
        <w:keepLines w:val="0"/>
        <w:pageBreakBefore w:val="0"/>
        <w:widowControl/>
        <w:suppressLineNumbers w:val="0"/>
        <w:kinsoku/>
        <w:wordWrap/>
        <w:overflowPunct/>
        <w:topLinePunct w:val="0"/>
        <w:bidi w:val="0"/>
        <w:adjustRightInd/>
        <w:snapToGrid/>
        <w:spacing w:line="240" w:lineRule="auto"/>
        <w:ind w:firstLine="640" w:firstLineChars="200"/>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经查明</w:t>
      </w:r>
      <w:r>
        <w:rPr>
          <w:rFonts w:hint="eastAsia" w:ascii="仿宋_GB2312" w:hAnsi="仿宋_GB2312" w:eastAsia="仿宋_GB2312" w:cs="仿宋_GB2312"/>
          <w:color w:val="auto"/>
          <w:sz w:val="32"/>
          <w:szCs w:val="32"/>
          <w:lang w:eastAsia="zh-CN"/>
        </w:rPr>
        <w:t>，当事人</w:t>
      </w:r>
      <w:r>
        <w:rPr>
          <w:rFonts w:hint="eastAsia" w:ascii="仿宋_GB2312" w:hAnsi="仿宋_GB2312" w:eastAsia="仿宋_GB2312" w:cs="仿宋_GB2312"/>
          <w:color w:val="auto"/>
          <w:sz w:val="32"/>
          <w:szCs w:val="32"/>
        </w:rPr>
        <w:t>存在以下违法事实：</w:t>
      </w:r>
    </w:p>
    <w:p w14:paraId="2BB8018F">
      <w:pPr>
        <w:pStyle w:val="10"/>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640" w:firstLineChars="200"/>
        <w:jc w:val="both"/>
        <w:textAlignment w:val="baseline"/>
        <w:outlineLvl w:val="9"/>
        <w:rPr>
          <w:rFonts w:hint="eastAsia" w:ascii="方正黑体简体" w:hAnsi="方正黑体简体" w:eastAsia="方正黑体简体" w:cs="方正黑体简体"/>
          <w:b w:val="0"/>
          <w:bCs w:val="0"/>
          <w:color w:val="auto"/>
          <w:sz w:val="32"/>
          <w:szCs w:val="32"/>
        </w:rPr>
      </w:pPr>
      <w:r>
        <w:rPr>
          <w:rFonts w:hint="eastAsia" w:ascii="方正黑体简体" w:hAnsi="方正黑体简体" w:eastAsia="方正黑体简体" w:cs="方正黑体简体"/>
          <w:color w:val="auto"/>
          <w:sz w:val="32"/>
          <w:szCs w:val="32"/>
          <w:lang w:val="en-US" w:eastAsia="zh-CN"/>
        </w:rPr>
        <w:t>一、内幕信息的形成和公开过程</w:t>
      </w:r>
    </w:p>
    <w:p w14:paraId="6DF85D59">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2020年4月29日，江特电机披露公告称，由于公司2018年度、2019年度连续两年经审计的年度净利润为负值，深圳证券交易所将对公司股票实行“退市风险警示”。</w:t>
      </w:r>
    </w:p>
    <w:p w14:paraId="737471A9">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default"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2020年6月8日，江特电机向宜春市袁州区人民政府（以下简称袁州区政府）呈报《化解江特电机退市风险措施报告》，提及多项“预防面值低于1元退市的措施”，其中包括“引进战略投资者，增强二级市场信心”等。</w:t>
      </w:r>
    </w:p>
    <w:p w14:paraId="249DB203">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不晚于2020年6月9日，江特电机董事卢某民拟定《成为江特电机第一大股东方案》，发送给时任董事长朱某。该方案详细说明了战略投资者可以通过二级市场交易及股票增发方式成为江特电机第一大股东。江特电机总裁梁某、时任副总裁兼董事会秘书闵某章等高管人员按此方案积极寻找战略投资者。</w:t>
      </w:r>
    </w:p>
    <w:p w14:paraId="128AB182">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2020年6月起，赣锋锂业在袁州区政府的推动下与江特电机接洽。</w:t>
      </w:r>
    </w:p>
    <w:p w14:paraId="61C3A227">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2020年6月18日，赣锋锂业</w:t>
      </w:r>
      <w:r>
        <w:rPr>
          <w:rFonts w:hint="eastAsia" w:ascii="仿宋_GB2312" w:hAnsi="仿宋_GB2312" w:eastAsia="仿宋_GB2312" w:cs="仿宋_GB2312"/>
          <w:b w:val="0"/>
          <w:bCs w:val="0"/>
          <w:color w:val="auto"/>
          <w:sz w:val="32"/>
          <w:szCs w:val="32"/>
          <w:highlight w:val="none"/>
          <w:lang w:val="en-US" w:eastAsia="zh-CN"/>
        </w:rPr>
        <w:t>董事长、时任总裁</w:t>
      </w:r>
      <w:r>
        <w:rPr>
          <w:rFonts w:hint="eastAsia" w:ascii="仿宋_GB2312" w:hAnsi="仿宋_GB2312" w:eastAsia="仿宋_GB2312" w:cs="仿宋_GB2312"/>
          <w:color w:val="auto"/>
          <w:sz w:val="32"/>
          <w:szCs w:val="32"/>
          <w:highlight w:val="none"/>
          <w:lang w:val="en-US" w:eastAsia="zh-CN"/>
        </w:rPr>
        <w:t>李某彬，时任董事会秘书欧阳某，时任副总裁、财务总监杨某英等赴江特电机考察，双方就合作事宜进行交流。</w:t>
      </w:r>
    </w:p>
    <w:p w14:paraId="29EF6D0F">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default"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2020年7月4日，赣锋锂业向袁州区政府提出收购江特电机的诉求。</w:t>
      </w:r>
    </w:p>
    <w:p w14:paraId="5DF6134E">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2020年7月8日，袁州区政府对赣锋锂业的诉求进行回复。</w:t>
      </w:r>
    </w:p>
    <w:p w14:paraId="0772AB9F">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default"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2020年7月13日，江特电机和赣锋锂业在袁州区政府的组织下举行会谈。</w:t>
      </w:r>
    </w:p>
    <w:p w14:paraId="0676A8DB">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2020年8月12日，江特电机和赣锋锂业签订《合作备忘录》，约定赣锋锂业独家认购江特电机非公开发行的全部股票（发行股票数量不超过江特电机总股本的30%），成为江特电机的控股股东，李某彬成为江特电机实际控制人。</w:t>
      </w:r>
    </w:p>
    <w:p w14:paraId="3C4B95A6">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2020年8月13日，江特电机披露《关于筹划非公开发行股票事项的停牌公告》，称江特电机正在筹划非公开发行股票事项，该事项可能导致公司控股股东及实际控制人变更。</w:t>
      </w:r>
    </w:p>
    <w:p w14:paraId="04E63459">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随后赣锋锂业对江特电机开展尽职调查。2020年8月20日，江特电机披露公告称，因双方未能就避免同业竞争的解决方式等关键条款达成一致意见，终止筹划本次非公开发行股票事项。</w:t>
      </w:r>
    </w:p>
    <w:p w14:paraId="30D7D205">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highlight w:val="none"/>
          <w:lang w:val="zh-CN"/>
        </w:rPr>
        <w:t>江特电机筹划的非公开发行股票事项，可能导致公司控股股东及实际控制人变更，属于《证券法》第八十条第二款第八项规定的“持有公司百分之五以上股份的股东或者实际控制人持有股份或者控制公司的情况发生较大变化”，在依法公开前系《证券法》第五十二条规定的内幕信息</w:t>
      </w:r>
      <w:r>
        <w:rPr>
          <w:rFonts w:hint="eastAsia" w:ascii="仿宋_GB2312" w:hAnsi="仿宋_GB2312" w:eastAsia="仿宋_GB2312" w:cs="仿宋_GB2312"/>
          <w:color w:val="auto"/>
          <w:sz w:val="32"/>
          <w:szCs w:val="32"/>
          <w:highlight w:val="none"/>
          <w:lang w:val="en-US" w:eastAsia="zh-CN"/>
        </w:rPr>
        <w:t>。该内幕信息形成时间不晚于2020年6月9日，公开于2020年8月13日。内幕信息敏感期为2020年6月9日至2020年8月13日。赣锋锂业李某彬、欧阳某、杨某英，江特电机相关董事及高管人员，宜春市及袁州区政府相关工作人员等为内幕信息知情人。其</w:t>
      </w:r>
      <w:r>
        <w:rPr>
          <w:rFonts w:hint="eastAsia" w:ascii="仿宋_GB2312" w:hAnsi="仿宋_GB2312" w:eastAsia="仿宋_GB2312" w:cs="仿宋_GB2312"/>
          <w:color w:val="auto"/>
          <w:sz w:val="32"/>
          <w:szCs w:val="32"/>
          <w:u w:val="none"/>
          <w:lang w:val="en-US" w:eastAsia="zh-CN"/>
        </w:rPr>
        <w:t>中，李某彬、欧阳某知悉时间不晚于2020年6月18日。</w:t>
      </w:r>
    </w:p>
    <w:p w14:paraId="199A3FE0">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default" w:ascii="Times New Roman" w:hAnsi="Times New Roman" w:eastAsia="方正仿宋简体" w:cs="Times New Roman"/>
          <w:color w:val="auto"/>
          <w:kern w:val="0"/>
          <w:sz w:val="32"/>
          <w:szCs w:val="32"/>
          <w:lang w:val="en-US" w:eastAsia="zh-CN" w:bidi="ar-SA"/>
        </w:rPr>
      </w:pPr>
      <w:r>
        <w:rPr>
          <w:rFonts w:hint="eastAsia" w:ascii="黑体" w:hAnsi="黑体" w:eastAsia="黑体" w:cs="黑体"/>
          <w:color w:val="auto"/>
          <w:sz w:val="32"/>
          <w:szCs w:val="32"/>
          <w:lang w:eastAsia="zh-CN"/>
        </w:rPr>
        <w:t>二、</w:t>
      </w:r>
      <w:r>
        <w:rPr>
          <w:rFonts w:hint="eastAsia" w:ascii="方正黑体简体" w:hAnsi="方正黑体简体" w:eastAsia="方正黑体简体" w:cs="方正黑体简体"/>
          <w:color w:val="auto"/>
          <w:sz w:val="32"/>
          <w:szCs w:val="32"/>
          <w:lang w:val="en-US" w:eastAsia="zh-CN"/>
        </w:rPr>
        <w:t>赣锋锂业</w:t>
      </w:r>
      <w:r>
        <w:rPr>
          <w:rFonts w:hint="default" w:ascii="方正黑体简体" w:hAnsi="方正黑体简体" w:eastAsia="方正黑体简体" w:cs="方正黑体简体"/>
          <w:color w:val="auto"/>
          <w:sz w:val="32"/>
          <w:szCs w:val="32"/>
          <w:lang w:val="en-US" w:eastAsia="zh-CN"/>
        </w:rPr>
        <w:t>内幕交易</w:t>
      </w:r>
      <w:r>
        <w:rPr>
          <w:rFonts w:hint="eastAsia" w:ascii="方正黑体简体" w:hAnsi="方正黑体简体" w:eastAsia="方正黑体简体" w:cs="方正黑体简体"/>
          <w:color w:val="auto"/>
          <w:sz w:val="32"/>
          <w:szCs w:val="32"/>
          <w:lang w:val="en-US" w:eastAsia="zh-CN"/>
        </w:rPr>
        <w:t>“*ST江特”股票情况</w:t>
      </w:r>
    </w:p>
    <w:p w14:paraId="4639E1CC">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640" w:firstLineChars="200"/>
        <w:jc w:val="both"/>
        <w:textAlignment w:val="baseline"/>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b w:val="0"/>
          <w:bCs w:val="0"/>
          <w:color w:val="auto"/>
          <w:sz w:val="32"/>
          <w:szCs w:val="32"/>
          <w:highlight w:val="none"/>
          <w:lang w:val="en-US" w:eastAsia="zh-CN"/>
        </w:rPr>
        <w:t>“赣锋锂业”证券账户（资金账号127XXX582）于2015年5月15日在长江证券新余堎上路营业部开立，下挂2个上海股东账户（B88XXX403、F11XXX096），2个深圳股东账户（080XXX468、001XXX261），第三方存管账户为工商银行150XXX371账户。该账户归赣锋锂业所有，由证券部具体负责投资管理。</w:t>
      </w:r>
    </w:p>
    <w:p w14:paraId="4FF4A84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640" w:firstLineChars="200"/>
        <w:jc w:val="both"/>
        <w:textAlignment w:val="baseline"/>
        <w:outlineLvl w:val="9"/>
        <w:rPr>
          <w:rFonts w:hint="eastAsia" w:ascii="仿宋_GB2312" w:hAnsi="仿宋_GB2312" w:eastAsia="仿宋_GB2312" w:cs="仿宋_GB2312"/>
          <w:b w:val="0"/>
          <w:bCs w:val="0"/>
          <w:color w:val="auto"/>
          <w:sz w:val="32"/>
          <w:szCs w:val="32"/>
          <w:highlight w:val="none"/>
          <w:lang w:val="en-US" w:eastAsia="zh-CN"/>
        </w:rPr>
      </w:pPr>
      <w:r>
        <w:rPr>
          <w:rFonts w:hint="eastAsia" w:ascii="仿宋_GB2312" w:hAnsi="仿宋_GB2312" w:eastAsia="仿宋_GB2312" w:cs="仿宋_GB2312"/>
          <w:color w:val="auto"/>
          <w:sz w:val="32"/>
          <w:szCs w:val="32"/>
          <w:lang w:val="en-US" w:eastAsia="zh-CN"/>
        </w:rPr>
        <w:t>受李某彬决策安排，由欧阳某具体负责，证券部员工具体操作，</w:t>
      </w:r>
      <w:r>
        <w:rPr>
          <w:rFonts w:hint="eastAsia" w:ascii="仿宋_GB2312" w:hAnsi="仿宋_GB2312" w:eastAsia="仿宋_GB2312" w:cs="仿宋_GB2312"/>
          <w:b w:val="0"/>
          <w:bCs w:val="0"/>
          <w:color w:val="auto"/>
          <w:sz w:val="32"/>
          <w:szCs w:val="32"/>
          <w:highlight w:val="none"/>
          <w:lang w:val="en-US" w:eastAsia="zh-CN"/>
        </w:rPr>
        <w:t>“赣锋锂业”证券账户在内幕信息敏感期内交易“*ST江特”股票。</w:t>
      </w:r>
    </w:p>
    <w:p w14:paraId="2AF4DFC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640" w:firstLineChars="200"/>
        <w:jc w:val="both"/>
        <w:textAlignment w:val="baseline"/>
        <w:outlineLvl w:val="9"/>
        <w:rPr>
          <w:rFonts w:hint="eastAsia" w:ascii="仿宋_GB2312" w:hAnsi="仿宋_GB2312" w:eastAsia="仿宋_GB2312" w:cs="仿宋_GB2312"/>
          <w:color w:val="auto"/>
          <w:kern w:val="0"/>
          <w:sz w:val="32"/>
          <w:szCs w:val="32"/>
          <w:lang w:val="en-US" w:eastAsia="zh-CN" w:bidi="ar-SA"/>
        </w:rPr>
      </w:pPr>
      <w:r>
        <w:rPr>
          <w:rFonts w:hint="eastAsia" w:ascii="仿宋_GB2312" w:hAnsi="仿宋_GB2312" w:eastAsia="仿宋_GB2312" w:cs="仿宋_GB2312"/>
          <w:color w:val="auto"/>
          <w:sz w:val="32"/>
          <w:szCs w:val="32"/>
          <w:lang w:val="en-US" w:eastAsia="zh-CN"/>
        </w:rPr>
        <w:t>2020年6月22日，赣锋锂业转入3000万元至“赣锋锂业”证券账户。2020年6月23日至7月2日，“</w:t>
      </w:r>
      <w:r>
        <w:rPr>
          <w:rFonts w:hint="eastAsia" w:ascii="仿宋_GB2312" w:hAnsi="仿宋_GB2312" w:eastAsia="仿宋_GB2312" w:cs="仿宋_GB2312"/>
          <w:b w:val="0"/>
          <w:bCs w:val="0"/>
          <w:color w:val="auto"/>
          <w:sz w:val="32"/>
          <w:szCs w:val="32"/>
          <w:highlight w:val="none"/>
          <w:lang w:val="en-US" w:eastAsia="zh-CN"/>
        </w:rPr>
        <w:t>赣锋锂业</w:t>
      </w:r>
      <w:r>
        <w:rPr>
          <w:rFonts w:hint="eastAsia" w:ascii="仿宋_GB2312" w:hAnsi="仿宋_GB2312" w:eastAsia="仿宋_GB2312" w:cs="仿宋_GB2312"/>
          <w:color w:val="auto"/>
          <w:sz w:val="32"/>
          <w:szCs w:val="32"/>
          <w:lang w:val="en-US" w:eastAsia="zh-CN"/>
        </w:rPr>
        <w:t>”</w:t>
      </w:r>
      <w:r>
        <w:rPr>
          <w:rFonts w:hint="eastAsia" w:ascii="仿宋_GB2312" w:hAnsi="仿宋_GB2312" w:eastAsia="仿宋_GB2312" w:cs="仿宋_GB2312"/>
          <w:b w:val="0"/>
          <w:bCs w:val="0"/>
          <w:color w:val="auto"/>
          <w:sz w:val="32"/>
          <w:szCs w:val="32"/>
          <w:highlight w:val="none"/>
          <w:lang w:val="en-US" w:eastAsia="zh-CN"/>
        </w:rPr>
        <w:t>证券账户</w:t>
      </w:r>
      <w:r>
        <w:rPr>
          <w:rFonts w:hint="eastAsia" w:ascii="仿宋_GB2312" w:hAnsi="仿宋_GB2312" w:eastAsia="仿宋_GB2312" w:cs="仿宋_GB2312"/>
          <w:color w:val="auto"/>
          <w:sz w:val="32"/>
          <w:szCs w:val="32"/>
          <w:lang w:val="en-US" w:eastAsia="zh-CN"/>
        </w:rPr>
        <w:t>买入“*ST江特”股票15</w:t>
      </w:r>
      <w:r>
        <w:rPr>
          <w:rFonts w:hint="default" w:ascii="仿宋_GB2312" w:hAnsi="仿宋_GB2312" w:eastAsia="仿宋_GB2312" w:cs="仿宋_GB2312"/>
          <w:color w:val="auto"/>
          <w:sz w:val="32"/>
          <w:szCs w:val="32"/>
          <w:lang w:val="en" w:eastAsia="zh-CN"/>
        </w:rPr>
        <w:t>,</w:t>
      </w:r>
      <w:r>
        <w:rPr>
          <w:rFonts w:hint="eastAsia" w:ascii="仿宋_GB2312" w:hAnsi="仿宋_GB2312" w:eastAsia="仿宋_GB2312" w:cs="仿宋_GB2312"/>
          <w:color w:val="auto"/>
          <w:sz w:val="32"/>
          <w:szCs w:val="32"/>
          <w:lang w:val="en-US" w:eastAsia="zh-CN"/>
        </w:rPr>
        <w:t>677</w:t>
      </w:r>
      <w:r>
        <w:rPr>
          <w:rFonts w:hint="default" w:ascii="仿宋_GB2312" w:hAnsi="仿宋_GB2312" w:eastAsia="仿宋_GB2312" w:cs="仿宋_GB2312"/>
          <w:color w:val="auto"/>
          <w:sz w:val="32"/>
          <w:szCs w:val="32"/>
          <w:lang w:val="en" w:eastAsia="zh-CN"/>
        </w:rPr>
        <w:t>,</w:t>
      </w:r>
      <w:r>
        <w:rPr>
          <w:rFonts w:hint="eastAsia" w:ascii="仿宋_GB2312" w:hAnsi="仿宋_GB2312" w:eastAsia="仿宋_GB2312" w:cs="仿宋_GB2312"/>
          <w:color w:val="auto"/>
          <w:sz w:val="32"/>
          <w:szCs w:val="32"/>
          <w:lang w:val="en-US" w:eastAsia="zh-CN"/>
        </w:rPr>
        <w:t>7</w:t>
      </w:r>
      <w:r>
        <w:rPr>
          <w:rFonts w:hint="default" w:ascii="仿宋_GB2312" w:hAnsi="仿宋_GB2312" w:eastAsia="仿宋_GB2312" w:cs="仿宋_GB2312"/>
          <w:color w:val="auto"/>
          <w:sz w:val="32"/>
          <w:szCs w:val="32"/>
          <w:lang w:val="en" w:eastAsia="zh-CN"/>
        </w:rPr>
        <w:t>00</w:t>
      </w:r>
      <w:r>
        <w:rPr>
          <w:rFonts w:hint="eastAsia" w:ascii="仿宋_GB2312" w:hAnsi="仿宋_GB2312" w:eastAsia="仿宋_GB2312" w:cs="仿宋_GB2312"/>
          <w:color w:val="auto"/>
          <w:sz w:val="32"/>
          <w:szCs w:val="32"/>
          <w:lang w:val="en-US" w:eastAsia="zh-CN"/>
        </w:rPr>
        <w:t>股，买入金额26</w:t>
      </w:r>
      <w:r>
        <w:rPr>
          <w:rFonts w:hint="default" w:ascii="仿宋_GB2312" w:hAnsi="仿宋_GB2312" w:eastAsia="仿宋_GB2312" w:cs="仿宋_GB2312"/>
          <w:color w:val="auto"/>
          <w:sz w:val="32"/>
          <w:szCs w:val="32"/>
          <w:lang w:val="en" w:eastAsia="zh-CN"/>
        </w:rPr>
        <w:t>,</w:t>
      </w:r>
      <w:r>
        <w:rPr>
          <w:rFonts w:hint="eastAsia" w:ascii="仿宋_GB2312" w:hAnsi="仿宋_GB2312" w:eastAsia="仿宋_GB2312" w:cs="仿宋_GB2312"/>
          <w:color w:val="auto"/>
          <w:sz w:val="32"/>
          <w:szCs w:val="32"/>
          <w:lang w:val="en-US" w:eastAsia="zh-CN"/>
        </w:rPr>
        <w:t>483</w:t>
      </w:r>
      <w:r>
        <w:rPr>
          <w:rFonts w:hint="default" w:ascii="仿宋_GB2312" w:hAnsi="仿宋_GB2312" w:eastAsia="仿宋_GB2312" w:cs="仿宋_GB2312"/>
          <w:color w:val="auto"/>
          <w:sz w:val="32"/>
          <w:szCs w:val="32"/>
          <w:lang w:val="en" w:eastAsia="zh-CN"/>
        </w:rPr>
        <w:t>,753.18</w:t>
      </w:r>
      <w:r>
        <w:rPr>
          <w:rFonts w:hint="eastAsia" w:ascii="仿宋_GB2312" w:hAnsi="仿宋_GB2312" w:eastAsia="仿宋_GB2312" w:cs="仿宋_GB2312"/>
          <w:color w:val="auto"/>
          <w:sz w:val="32"/>
          <w:szCs w:val="32"/>
          <w:lang w:val="en-US" w:eastAsia="zh-CN"/>
        </w:rPr>
        <w:t>元；2020年7月8日至7月9日全部卖出，卖出金额27</w:t>
      </w:r>
      <w:r>
        <w:rPr>
          <w:rFonts w:hint="default" w:ascii="仿宋_GB2312" w:hAnsi="仿宋_GB2312" w:eastAsia="仿宋_GB2312" w:cs="仿宋_GB2312"/>
          <w:color w:val="auto"/>
          <w:sz w:val="32"/>
          <w:szCs w:val="32"/>
          <w:lang w:val="en" w:eastAsia="zh-CN"/>
        </w:rPr>
        <w:t>,632,905.00</w:t>
      </w:r>
      <w:r>
        <w:rPr>
          <w:rFonts w:hint="eastAsia" w:ascii="仿宋_GB2312" w:hAnsi="仿宋_GB2312" w:eastAsia="仿宋_GB2312" w:cs="仿宋_GB2312"/>
          <w:color w:val="auto"/>
          <w:sz w:val="32"/>
          <w:szCs w:val="32"/>
          <w:lang w:val="en-US" w:eastAsia="zh-CN"/>
        </w:rPr>
        <w:t>元，获利</w:t>
      </w:r>
      <w:r>
        <w:rPr>
          <w:rFonts w:hint="default" w:ascii="仿宋_GB2312" w:hAnsi="仿宋_GB2312" w:eastAsia="仿宋_GB2312" w:cs="仿宋_GB2312"/>
          <w:color w:val="auto"/>
          <w:sz w:val="32"/>
          <w:szCs w:val="32"/>
          <w:lang w:val="en" w:eastAsia="zh-CN"/>
        </w:rPr>
        <w:t>1,105,283.92</w:t>
      </w:r>
      <w:r>
        <w:rPr>
          <w:rFonts w:hint="eastAsia" w:ascii="仿宋_GB2312" w:hAnsi="仿宋_GB2312" w:eastAsia="仿宋_GB2312" w:cs="仿宋_GB2312"/>
          <w:color w:val="auto"/>
          <w:sz w:val="32"/>
          <w:szCs w:val="32"/>
          <w:lang w:val="en" w:eastAsia="zh-CN"/>
        </w:rPr>
        <w:t>元。卖出股票所得资金沉淀在</w:t>
      </w:r>
      <w:r>
        <w:rPr>
          <w:rFonts w:hint="eastAsia" w:ascii="仿宋_GB2312" w:hAnsi="仿宋_GB2312" w:eastAsia="仿宋_GB2312" w:cs="仿宋_GB2312"/>
          <w:b w:val="0"/>
          <w:bCs w:val="0"/>
          <w:color w:val="auto"/>
          <w:sz w:val="32"/>
          <w:szCs w:val="32"/>
          <w:highlight w:val="none"/>
          <w:lang w:val="en-US" w:eastAsia="zh-CN"/>
        </w:rPr>
        <w:t>“赣锋锂业”证券账户中。</w:t>
      </w:r>
    </w:p>
    <w:p w14:paraId="27410F27">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仿宋_GB2312" w:hAnsi="仿宋_GB2312" w:eastAsia="仿宋_GB2312" w:cs="仿宋_GB2312"/>
          <w:color w:val="auto"/>
          <w:sz w:val="32"/>
          <w:szCs w:val="32"/>
          <w:highlight w:val="none"/>
          <w:lang w:eastAsia="zh-CN"/>
        </w:rPr>
      </w:pPr>
      <w:r>
        <w:rPr>
          <w:rFonts w:hint="eastAsia" w:ascii="仿宋_GB2312" w:hAnsi="仿宋_GB2312" w:eastAsia="仿宋_GB2312" w:cs="仿宋_GB2312"/>
          <w:color w:val="auto"/>
          <w:kern w:val="0"/>
          <w:sz w:val="32"/>
          <w:szCs w:val="32"/>
          <w:lang w:val="en-US" w:eastAsia="zh-CN" w:bidi="ar-SA"/>
        </w:rPr>
        <w:t>以上违法事实，有江特电机相关公告、相关证券和银行账户资料、交易记录、交易所计算数据以及相关人员询问笔录等证据证明，</w:t>
      </w:r>
      <w:r>
        <w:rPr>
          <w:rFonts w:hint="eastAsia" w:ascii="仿宋_GB2312" w:hAnsi="仿宋_GB2312" w:eastAsia="仿宋_GB2312" w:cs="仿宋_GB2312"/>
          <w:color w:val="auto"/>
          <w:sz w:val="32"/>
          <w:szCs w:val="32"/>
          <w:highlight w:val="none"/>
          <w:lang w:eastAsia="zh-CN"/>
        </w:rPr>
        <w:t>足以认定。</w:t>
      </w:r>
    </w:p>
    <w:p w14:paraId="666F97CC">
      <w:pPr>
        <w:pStyle w:val="11"/>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640" w:firstLineChars="200"/>
        <w:outlineLvl w:val="9"/>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赣锋锂业的上述行为违反了《证券法》第五十三条第一款的规定，构成《证券法》第一百九十一条第一款所述的内幕交易行为。</w:t>
      </w:r>
    </w:p>
    <w:p w14:paraId="5BF1AC45">
      <w:pPr>
        <w:keepNext w:val="0"/>
        <w:keepLines w:val="0"/>
        <w:pageBreakBefore w:val="0"/>
        <w:widowControl w:val="0"/>
        <w:numPr>
          <w:ilvl w:val="0"/>
          <w:numId w:val="0"/>
        </w:numPr>
        <w:kinsoku/>
        <w:wordWrap/>
        <w:overflowPunct/>
        <w:topLinePunct w:val="0"/>
        <w:bidi w:val="0"/>
        <w:adjustRightInd/>
        <w:snapToGrid/>
        <w:spacing w:line="240" w:lineRule="auto"/>
        <w:ind w:left="0" w:leftChars="0" w:right="0" w:firstLine="640" w:firstLineChars="200"/>
        <w:jc w:val="both"/>
        <w:textAlignment w:val="baseline"/>
        <w:outlineLvl w:val="9"/>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对赣锋锂业内幕交易的违法行为，赣锋锂业董事长、时任总裁李某彬是直接负责的主管人员，赣锋锂业时任董事会秘书欧阳某是其他直接责任人员。</w:t>
      </w:r>
    </w:p>
    <w:p w14:paraId="05ECECD6">
      <w:pPr>
        <w:pStyle w:val="11"/>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640" w:firstLineChars="200"/>
        <w:jc w:val="both"/>
        <w:outlineLvl w:val="9"/>
        <w:rPr>
          <w:rFonts w:hint="eastAsia" w:ascii="仿宋_GB2312" w:hAnsi="仿宋_GB2312" w:eastAsia="仿宋_GB2312"/>
          <w:color w:val="auto"/>
          <w:sz w:val="32"/>
          <w:szCs w:val="32"/>
          <w:lang w:val="en-US" w:eastAsia="zh-CN"/>
        </w:rPr>
      </w:pPr>
      <w:r>
        <w:rPr>
          <w:rFonts w:hint="eastAsia" w:ascii="仿宋_GB2312" w:hAnsi="仿宋_GB2312" w:eastAsia="仿宋_GB2312"/>
          <w:color w:val="auto"/>
          <w:sz w:val="32"/>
          <w:szCs w:val="32"/>
          <w:lang w:val="en-US" w:eastAsia="zh-CN"/>
        </w:rPr>
        <w:t>在听证过程中，赣锋锂业提出如下申辩意见：</w:t>
      </w:r>
    </w:p>
    <w:p w14:paraId="7123D499">
      <w:pPr>
        <w:pStyle w:val="11"/>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624" w:firstLineChars="200"/>
        <w:jc w:val="both"/>
        <w:outlineLvl w:val="9"/>
        <w:rPr>
          <w:rFonts w:hint="eastAsia" w:ascii="仿宋_GB2312" w:hAnsi="仿宋_GB2312" w:eastAsia="仿宋_GB2312" w:cs="仿宋_GB2312"/>
          <w:b w:val="0"/>
          <w:bCs/>
          <w:color w:val="auto"/>
          <w:spacing w:val="-4"/>
          <w:kern w:val="0"/>
          <w:sz w:val="32"/>
          <w:szCs w:val="32"/>
          <w:highlight w:val="none"/>
          <w:lang w:eastAsia="zh-CN"/>
        </w:rPr>
      </w:pPr>
      <w:r>
        <w:rPr>
          <w:rFonts w:hint="eastAsia" w:ascii="仿宋_GB2312" w:hAnsi="仿宋_GB2312" w:eastAsia="仿宋_GB2312" w:cs="仿宋_GB2312"/>
          <w:b w:val="0"/>
          <w:bCs/>
          <w:color w:val="auto"/>
          <w:spacing w:val="-4"/>
          <w:kern w:val="0"/>
          <w:sz w:val="32"/>
          <w:szCs w:val="32"/>
          <w:highlight w:val="none"/>
          <w:lang w:eastAsia="zh-CN"/>
        </w:rPr>
        <w:t>其一，赣锋锂业交易“</w:t>
      </w:r>
      <w:r>
        <w:rPr>
          <w:rFonts w:hint="eastAsia" w:ascii="仿宋_GB2312" w:hAnsi="仿宋_GB2312" w:eastAsia="仿宋_GB2312" w:cs="仿宋_GB2312"/>
          <w:b w:val="0"/>
          <w:bCs/>
          <w:color w:val="auto"/>
          <w:spacing w:val="-4"/>
          <w:kern w:val="0"/>
          <w:sz w:val="32"/>
          <w:szCs w:val="32"/>
          <w:highlight w:val="none"/>
          <w:lang w:val="en-US" w:eastAsia="zh-CN"/>
        </w:rPr>
        <w:t>*ST江特</w:t>
      </w:r>
      <w:r>
        <w:rPr>
          <w:rFonts w:hint="eastAsia" w:ascii="仿宋_GB2312" w:hAnsi="仿宋_GB2312" w:eastAsia="仿宋_GB2312" w:cs="仿宋_GB2312"/>
          <w:b w:val="0"/>
          <w:bCs/>
          <w:color w:val="auto"/>
          <w:spacing w:val="-4"/>
          <w:kern w:val="0"/>
          <w:sz w:val="32"/>
          <w:szCs w:val="32"/>
          <w:highlight w:val="none"/>
          <w:lang w:eastAsia="zh-CN"/>
        </w:rPr>
        <w:t>”股票，系在公司事先订立的日常证券投资计划基础上，为了收购江特电机股份而进行的正当交易。赣锋锂业是基于看好江特电机即将迎来行业反转的发展时机而制定投资计划，属于事先订立的投资计划，与本案后面形成的内幕信息无关；其二，赣锋锂业交易“</w:t>
      </w:r>
      <w:r>
        <w:rPr>
          <w:rFonts w:hint="eastAsia" w:ascii="仿宋_GB2312" w:hAnsi="仿宋_GB2312" w:eastAsia="仿宋_GB2312" w:cs="仿宋_GB2312"/>
          <w:b w:val="0"/>
          <w:bCs/>
          <w:color w:val="auto"/>
          <w:spacing w:val="-4"/>
          <w:kern w:val="0"/>
          <w:sz w:val="32"/>
          <w:szCs w:val="32"/>
          <w:highlight w:val="none"/>
          <w:lang w:val="en-US" w:eastAsia="zh-CN"/>
        </w:rPr>
        <w:t>*ST江特</w:t>
      </w:r>
      <w:r>
        <w:rPr>
          <w:rFonts w:hint="eastAsia" w:ascii="仿宋_GB2312" w:hAnsi="仿宋_GB2312" w:eastAsia="仿宋_GB2312" w:cs="仿宋_GB2312"/>
          <w:b w:val="0"/>
          <w:bCs/>
          <w:color w:val="auto"/>
          <w:spacing w:val="-4"/>
          <w:kern w:val="0"/>
          <w:sz w:val="32"/>
          <w:szCs w:val="32"/>
          <w:highlight w:val="none"/>
          <w:lang w:eastAsia="zh-CN"/>
        </w:rPr>
        <w:t>”股票与其他真正的内幕交易有明显区别，完全没有内幕交易的主观故意。</w:t>
      </w:r>
    </w:p>
    <w:p w14:paraId="12EEADCE">
      <w:pPr>
        <w:keepNext w:val="0"/>
        <w:keepLines w:val="0"/>
        <w:pageBreakBefore w:val="0"/>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bidi w:val="0"/>
        <w:adjustRightInd/>
        <w:snapToGrid/>
        <w:spacing w:line="240" w:lineRule="auto"/>
        <w:ind w:firstLine="624" w:firstLineChars="200"/>
        <w:rPr>
          <w:rFonts w:hint="eastAsia" w:ascii="仿宋_GB2312" w:hAnsi="仿宋_GB2312" w:eastAsia="仿宋_GB2312" w:cs="仿宋_GB2312"/>
          <w:b w:val="0"/>
          <w:bCs/>
          <w:color w:val="auto"/>
          <w:spacing w:val="-4"/>
          <w:kern w:val="0"/>
          <w:sz w:val="32"/>
          <w:szCs w:val="32"/>
          <w:highlight w:val="none"/>
          <w:lang w:eastAsia="zh-CN"/>
        </w:rPr>
      </w:pPr>
      <w:r>
        <w:rPr>
          <w:rFonts w:hint="eastAsia" w:ascii="仿宋_GB2312" w:hAnsi="仿宋_GB2312" w:eastAsia="仿宋_GB2312" w:cs="仿宋_GB2312"/>
          <w:b w:val="0"/>
          <w:bCs/>
          <w:color w:val="auto"/>
          <w:spacing w:val="-4"/>
          <w:kern w:val="0"/>
          <w:sz w:val="32"/>
          <w:szCs w:val="32"/>
          <w:highlight w:val="none"/>
          <w:lang w:eastAsia="zh-CN"/>
        </w:rPr>
        <w:t>李某彬提出如下申辩意见：其一，当时的背景和初衷是赣锋锂业帮助江特电机脱困，壮大锂电新能源产业集群；其二，没有牟利目的；其三，即便无心之失可能违反了相关规定，但属于首次违法，行为轻微并及时改正，没有造成危害后果。</w:t>
      </w:r>
    </w:p>
    <w:p w14:paraId="0AE1ABA0">
      <w:pPr>
        <w:keepNext w:val="0"/>
        <w:keepLines w:val="0"/>
        <w:pageBreakBefore w:val="0"/>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bidi w:val="0"/>
        <w:adjustRightInd/>
        <w:snapToGrid/>
        <w:spacing w:line="240" w:lineRule="auto"/>
        <w:ind w:firstLine="624" w:firstLineChars="200"/>
        <w:rPr>
          <w:rFonts w:hint="eastAsia" w:ascii="仿宋_GB2312" w:hAnsi="仿宋_GB2312" w:eastAsia="仿宋_GB2312" w:cs="仿宋_GB2312"/>
          <w:b w:val="0"/>
          <w:bCs/>
          <w:color w:val="auto"/>
          <w:spacing w:val="-4"/>
          <w:kern w:val="0"/>
          <w:sz w:val="32"/>
          <w:szCs w:val="32"/>
          <w:highlight w:val="none"/>
          <w:lang w:val="en-US" w:eastAsia="zh-CN"/>
        </w:rPr>
      </w:pPr>
      <w:r>
        <w:rPr>
          <w:rFonts w:hint="eastAsia" w:ascii="仿宋_GB2312" w:hAnsi="仿宋_GB2312" w:eastAsia="仿宋_GB2312" w:cs="仿宋_GB2312"/>
          <w:b w:val="0"/>
          <w:bCs/>
          <w:color w:val="auto"/>
          <w:spacing w:val="-4"/>
          <w:kern w:val="0"/>
          <w:sz w:val="32"/>
          <w:szCs w:val="32"/>
          <w:highlight w:val="none"/>
          <w:lang w:eastAsia="zh-CN"/>
        </w:rPr>
        <w:t>欧阳某提出如下申辩意见：买入“*ST江特”股票系执行</w:t>
      </w:r>
      <w:r>
        <w:rPr>
          <w:rFonts w:hint="eastAsia" w:ascii="仿宋_GB2312" w:hAnsi="仿宋_GB2312" w:eastAsia="仿宋_GB2312" w:cs="仿宋_GB2312"/>
          <w:b w:val="0"/>
          <w:bCs/>
          <w:color w:val="auto"/>
          <w:spacing w:val="-4"/>
          <w:kern w:val="0"/>
          <w:sz w:val="32"/>
          <w:szCs w:val="32"/>
          <w:highlight w:val="none"/>
          <w:lang w:val="en-US" w:eastAsia="zh-CN"/>
        </w:rPr>
        <w:t>2020年6月4日制定的《江特电机投资建议》，后因2020年7月8日袁州区政府的答复未满足公司诉求而卖出，没有内幕交易的企图。</w:t>
      </w:r>
    </w:p>
    <w:p w14:paraId="7A0B1993">
      <w:pPr>
        <w:keepNext w:val="0"/>
        <w:keepLines w:val="0"/>
        <w:pageBreakBefore w:val="0"/>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bidi w:val="0"/>
        <w:adjustRightInd/>
        <w:snapToGrid/>
        <w:spacing w:line="240" w:lineRule="auto"/>
        <w:ind w:firstLine="624" w:firstLineChars="200"/>
        <w:rPr>
          <w:rFonts w:hint="eastAsia" w:ascii="仿宋_GB2312" w:hAnsi="仿宋_GB2312" w:eastAsia="仿宋_GB2312" w:cs="仿宋_GB2312"/>
          <w:b w:val="0"/>
          <w:bCs/>
          <w:color w:val="auto"/>
          <w:spacing w:val="-4"/>
          <w:kern w:val="0"/>
          <w:sz w:val="32"/>
          <w:szCs w:val="32"/>
          <w:highlight w:val="none"/>
          <w:lang w:val="en-US" w:eastAsia="zh-CN"/>
        </w:rPr>
      </w:pPr>
      <w:r>
        <w:rPr>
          <w:rFonts w:hint="eastAsia" w:ascii="仿宋_GB2312" w:hAnsi="仿宋_GB2312" w:eastAsia="仿宋_GB2312" w:cs="仿宋_GB2312"/>
          <w:b w:val="0"/>
          <w:bCs/>
          <w:color w:val="auto"/>
          <w:spacing w:val="-4"/>
          <w:kern w:val="0"/>
          <w:sz w:val="32"/>
          <w:szCs w:val="32"/>
          <w:highlight w:val="none"/>
          <w:lang w:val="en-US" w:eastAsia="zh-CN"/>
        </w:rPr>
        <w:t>赣锋锂业及李某彬、欧阳某补充提出如下申辩意见：</w:t>
      </w:r>
    </w:p>
    <w:p w14:paraId="3893F0A1">
      <w:pPr>
        <w:keepNext w:val="0"/>
        <w:keepLines w:val="0"/>
        <w:pageBreakBefore w:val="0"/>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bidi w:val="0"/>
        <w:adjustRightInd/>
        <w:snapToGrid/>
        <w:spacing w:line="240" w:lineRule="auto"/>
        <w:ind w:firstLine="624" w:firstLineChars="200"/>
        <w:rPr>
          <w:rFonts w:hint="eastAsia" w:ascii="仿宋_GB2312" w:hAnsi="仿宋_GB2312" w:eastAsia="仿宋_GB2312" w:cs="仿宋_GB2312"/>
          <w:b w:val="0"/>
          <w:bCs/>
          <w:color w:val="auto"/>
          <w:spacing w:val="-4"/>
          <w:kern w:val="0"/>
          <w:sz w:val="32"/>
          <w:szCs w:val="32"/>
          <w:highlight w:val="none"/>
          <w:lang w:val="en-US" w:eastAsia="zh-CN"/>
        </w:rPr>
      </w:pPr>
      <w:r>
        <w:rPr>
          <w:rFonts w:hint="eastAsia" w:ascii="仿宋_GB2312" w:hAnsi="仿宋_GB2312" w:eastAsia="仿宋_GB2312" w:cs="仿宋_GB2312"/>
          <w:b w:val="0"/>
          <w:bCs/>
          <w:color w:val="auto"/>
          <w:spacing w:val="-4"/>
          <w:kern w:val="0"/>
          <w:sz w:val="32"/>
          <w:szCs w:val="32"/>
          <w:highlight w:val="none"/>
          <w:lang w:val="en-US" w:eastAsia="zh-CN"/>
        </w:rPr>
        <w:t>其一，</w:t>
      </w:r>
      <w:r>
        <w:rPr>
          <w:rFonts w:hint="eastAsia" w:ascii="仿宋_GB2312" w:hAnsi="仿宋_GB2312" w:eastAsia="仿宋_GB2312" w:cs="仿宋_GB2312"/>
          <w:b w:val="0"/>
          <w:bCs/>
          <w:color w:val="auto"/>
          <w:spacing w:val="-4"/>
          <w:kern w:val="0"/>
          <w:sz w:val="32"/>
          <w:szCs w:val="32"/>
          <w:highlight w:val="none"/>
          <w:lang w:eastAsia="zh-CN"/>
        </w:rPr>
        <w:t>赣锋锂业交易“</w:t>
      </w:r>
      <w:r>
        <w:rPr>
          <w:rFonts w:hint="eastAsia" w:ascii="仿宋_GB2312" w:hAnsi="仿宋_GB2312" w:eastAsia="仿宋_GB2312" w:cs="仿宋_GB2312"/>
          <w:b w:val="0"/>
          <w:bCs w:val="0"/>
          <w:color w:val="auto"/>
          <w:sz w:val="32"/>
          <w:szCs w:val="32"/>
          <w:highlight w:val="none"/>
          <w:lang w:val="en-US" w:eastAsia="zh-CN"/>
        </w:rPr>
        <w:t>*ST江特</w:t>
      </w:r>
      <w:r>
        <w:rPr>
          <w:rFonts w:hint="eastAsia" w:ascii="仿宋_GB2312" w:hAnsi="仿宋_GB2312" w:eastAsia="仿宋_GB2312" w:cs="仿宋_GB2312"/>
          <w:b w:val="0"/>
          <w:bCs/>
          <w:color w:val="auto"/>
          <w:spacing w:val="-4"/>
          <w:kern w:val="0"/>
          <w:sz w:val="32"/>
          <w:szCs w:val="32"/>
          <w:highlight w:val="none"/>
          <w:lang w:eastAsia="zh-CN"/>
        </w:rPr>
        <w:t>”股票的行为，是通过一致行动安排与</w:t>
      </w:r>
      <w:r>
        <w:rPr>
          <w:rFonts w:hint="eastAsia" w:ascii="仿宋_GB2312" w:hAnsi="仿宋_GB2312" w:eastAsia="仿宋_GB2312" w:cs="仿宋_GB2312"/>
          <w:b w:val="0"/>
          <w:bCs/>
          <w:color w:val="auto"/>
          <w:spacing w:val="-4"/>
          <w:kern w:val="0"/>
          <w:sz w:val="32"/>
          <w:szCs w:val="32"/>
          <w:highlight w:val="none"/>
          <w:u w:val="none"/>
          <w:lang w:eastAsia="zh-CN"/>
        </w:rPr>
        <w:t>他人</w:t>
      </w:r>
      <w:r>
        <w:rPr>
          <w:rFonts w:hint="eastAsia" w:ascii="仿宋_GB2312" w:hAnsi="仿宋_GB2312" w:eastAsia="仿宋_GB2312" w:cs="仿宋_GB2312"/>
          <w:b w:val="0"/>
          <w:bCs/>
          <w:color w:val="auto"/>
          <w:spacing w:val="-4"/>
          <w:kern w:val="0"/>
          <w:sz w:val="32"/>
          <w:szCs w:val="32"/>
          <w:highlight w:val="none"/>
          <w:lang w:eastAsia="zh-CN"/>
        </w:rPr>
        <w:t>共同持股江特电机</w:t>
      </w:r>
      <w:r>
        <w:rPr>
          <w:rFonts w:hint="eastAsia" w:ascii="仿宋_GB2312" w:hAnsi="仿宋_GB2312" w:eastAsia="仿宋_GB2312" w:cs="仿宋_GB2312"/>
          <w:b w:val="0"/>
          <w:bCs/>
          <w:color w:val="auto"/>
          <w:spacing w:val="-4"/>
          <w:kern w:val="0"/>
          <w:sz w:val="32"/>
          <w:szCs w:val="32"/>
          <w:highlight w:val="none"/>
          <w:lang w:val="en-US" w:eastAsia="zh-CN"/>
        </w:rPr>
        <w:t>百分之五以上，并计划收购江特电机股份的情形，系按照事先收购计划从事相关证券交易；其二，赣锋锂业客观上没有从事内幕交易行为，主观上更不存在任何过错，不符合《证券法》第五十条所述禁止“利用”内幕信息交易的情形；其三，《行政处罚事先告知书》认定的两名责任人员的笔录并非前后矛盾，不应当成为否认公司交易“*ST江特”股票合法性的依据；</w:t>
      </w:r>
      <w:r>
        <w:rPr>
          <w:rFonts w:hint="eastAsia" w:ascii="仿宋_GB2312" w:hAnsi="仿宋_GB2312" w:eastAsia="仿宋_GB2312" w:cs="仿宋_GB2312"/>
          <w:b w:val="0"/>
          <w:bCs/>
          <w:color w:val="auto"/>
          <w:spacing w:val="-4"/>
          <w:kern w:val="0"/>
          <w:sz w:val="32"/>
          <w:szCs w:val="32"/>
          <w:highlight w:val="none"/>
          <w:lang w:eastAsia="zh-CN"/>
        </w:rPr>
        <w:t>其四，赣锋锂业没有利用内幕信息进行交易的主观故意，交易行为没有社会危害性。</w:t>
      </w:r>
    </w:p>
    <w:p w14:paraId="2723073D">
      <w:pPr>
        <w:keepNext w:val="0"/>
        <w:keepLines w:val="0"/>
        <w:pageBreakBefore w:val="0"/>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bidi w:val="0"/>
        <w:adjustRightInd/>
        <w:snapToGrid/>
        <w:spacing w:line="240" w:lineRule="auto"/>
        <w:ind w:firstLine="624" w:firstLineChars="200"/>
        <w:rPr>
          <w:rFonts w:hint="eastAsia" w:ascii="仿宋_GB2312" w:hAnsi="仿宋_GB2312" w:eastAsia="仿宋_GB2312" w:cs="仿宋_GB2312"/>
          <w:b w:val="0"/>
          <w:bCs/>
          <w:color w:val="auto"/>
          <w:spacing w:val="-4"/>
          <w:kern w:val="0"/>
          <w:sz w:val="32"/>
          <w:szCs w:val="32"/>
          <w:highlight w:val="none"/>
          <w:lang w:val="en-US" w:eastAsia="zh-CN"/>
        </w:rPr>
      </w:pPr>
      <w:r>
        <w:rPr>
          <w:rFonts w:hint="eastAsia" w:ascii="仿宋_GB2312" w:hAnsi="仿宋_GB2312" w:eastAsia="仿宋_GB2312" w:cs="仿宋_GB2312"/>
          <w:b w:val="0"/>
          <w:bCs/>
          <w:color w:val="auto"/>
          <w:spacing w:val="-4"/>
          <w:kern w:val="0"/>
          <w:sz w:val="32"/>
          <w:szCs w:val="32"/>
          <w:highlight w:val="none"/>
          <w:lang w:eastAsia="zh-CN"/>
        </w:rPr>
        <w:t>综上，赣锋锂业交易“</w:t>
      </w:r>
      <w:r>
        <w:rPr>
          <w:rFonts w:hint="eastAsia" w:ascii="仿宋_GB2312" w:hAnsi="仿宋_GB2312" w:eastAsia="仿宋_GB2312" w:cs="仿宋_GB2312"/>
          <w:b w:val="0"/>
          <w:bCs/>
          <w:color w:val="auto"/>
          <w:spacing w:val="-4"/>
          <w:kern w:val="0"/>
          <w:sz w:val="32"/>
          <w:szCs w:val="32"/>
          <w:highlight w:val="none"/>
          <w:lang w:val="en-US" w:eastAsia="zh-CN"/>
        </w:rPr>
        <w:t>*ST江特</w:t>
      </w:r>
      <w:r>
        <w:rPr>
          <w:rFonts w:hint="eastAsia" w:ascii="仿宋_GB2312" w:hAnsi="仿宋_GB2312" w:eastAsia="仿宋_GB2312" w:cs="仿宋_GB2312"/>
          <w:b w:val="0"/>
          <w:bCs/>
          <w:color w:val="auto"/>
          <w:spacing w:val="-4"/>
          <w:kern w:val="0"/>
          <w:sz w:val="32"/>
          <w:szCs w:val="32"/>
          <w:highlight w:val="none"/>
          <w:lang w:eastAsia="zh-CN"/>
        </w:rPr>
        <w:t>”股票的行为不属于内幕交易。赣锋锂业及李某彬、欧阳某请求免予处罚。</w:t>
      </w:r>
    </w:p>
    <w:p w14:paraId="49056C21">
      <w:pPr>
        <w:pStyle w:val="11"/>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640" w:firstLineChars="200"/>
        <w:jc w:val="both"/>
        <w:outlineLvl w:val="9"/>
        <w:rPr>
          <w:rFonts w:hint="eastAsia" w:ascii="仿宋_GB2312" w:hAnsi="仿宋_GB2312" w:eastAsia="仿宋_GB2312"/>
          <w:color w:val="auto"/>
          <w:sz w:val="32"/>
          <w:szCs w:val="32"/>
          <w:lang w:val="en-US" w:eastAsia="zh-CN"/>
        </w:rPr>
      </w:pPr>
      <w:r>
        <w:rPr>
          <w:rFonts w:hint="eastAsia" w:ascii="仿宋_GB2312" w:hAnsi="仿宋_GB2312" w:eastAsia="仿宋_GB2312"/>
          <w:color w:val="auto"/>
          <w:sz w:val="32"/>
          <w:szCs w:val="32"/>
          <w:lang w:val="en-US" w:eastAsia="zh-CN"/>
        </w:rPr>
        <w:t>我局认为：</w:t>
      </w:r>
    </w:p>
    <w:p w14:paraId="54D2361B">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default" w:ascii="仿宋_GB2312" w:hAnsi="仿宋_GB2312" w:eastAsia="仿宋_GB2312" w:cs="仿宋_GB2312"/>
          <w:b w:val="0"/>
          <w:bCs w:val="0"/>
          <w:color w:val="auto"/>
          <w:sz w:val="32"/>
          <w:szCs w:val="32"/>
          <w:highlight w:val="none"/>
          <w:lang w:val="en-US" w:eastAsia="zh-CN"/>
        </w:rPr>
      </w:pPr>
      <w:r>
        <w:rPr>
          <w:rFonts w:hint="eastAsia" w:eastAsia="仿宋_GB2312"/>
          <w:b w:val="0"/>
          <w:bCs/>
          <w:color w:val="auto"/>
          <w:spacing w:val="-4"/>
          <w:kern w:val="0"/>
          <w:sz w:val="32"/>
          <w:szCs w:val="32"/>
          <w:highlight w:val="none"/>
          <w:lang w:eastAsia="zh-CN"/>
        </w:rPr>
        <w:t>第一，</w:t>
      </w:r>
      <w:r>
        <w:rPr>
          <w:rFonts w:hint="eastAsia" w:ascii="仿宋_GB2312" w:hAnsi="仿宋_GB2312" w:eastAsia="仿宋_GB2312" w:cs="仿宋_GB2312"/>
          <w:b w:val="0"/>
          <w:bCs w:val="0"/>
          <w:color w:val="auto"/>
          <w:sz w:val="32"/>
          <w:szCs w:val="32"/>
          <w:highlight w:val="none"/>
          <w:lang w:val="en-US" w:eastAsia="zh-CN"/>
        </w:rPr>
        <w:t>赣锋锂业提交的《江特电机投资建议》真实性无法确认，且该投资建议未载明明确的交易时间、数量、价格等详细信息，不足以构成既定交易计划，不符合“既定交易计划豁免”情形。</w:t>
      </w:r>
    </w:p>
    <w:p w14:paraId="17931EB1">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仿宋_GB2312" w:hAnsi="仿宋_GB2312" w:eastAsia="仿宋_GB2312" w:cs="仿宋_GB2312"/>
          <w:b w:val="0"/>
          <w:bCs/>
          <w:color w:val="auto"/>
          <w:spacing w:val="-4"/>
          <w:kern w:val="0"/>
          <w:sz w:val="32"/>
          <w:szCs w:val="32"/>
          <w:highlight w:val="none"/>
          <w:lang w:val="en-US" w:eastAsia="zh-CN"/>
        </w:rPr>
      </w:pPr>
      <w:r>
        <w:rPr>
          <w:rFonts w:hint="eastAsia" w:ascii="仿宋_GB2312" w:hAnsi="仿宋_GB2312" w:eastAsia="仿宋_GB2312" w:cs="仿宋_GB2312"/>
          <w:b w:val="0"/>
          <w:bCs w:val="0"/>
          <w:color w:val="auto"/>
          <w:sz w:val="32"/>
          <w:szCs w:val="32"/>
          <w:highlight w:val="none"/>
          <w:lang w:val="en-US" w:eastAsia="zh-CN"/>
        </w:rPr>
        <w:t>第二，</w:t>
      </w:r>
      <w:r>
        <w:rPr>
          <w:rFonts w:hint="eastAsia" w:ascii="仿宋_GB2312" w:hAnsi="仿宋_GB2312" w:eastAsia="仿宋_GB2312" w:cs="仿宋_GB2312"/>
          <w:b w:val="0"/>
          <w:bCs w:val="0"/>
          <w:color w:val="auto"/>
          <w:sz w:val="32"/>
          <w:szCs w:val="32"/>
          <w:highlight w:val="none"/>
          <w:u w:val="none"/>
          <w:lang w:eastAsia="zh-CN"/>
        </w:rPr>
        <w:t>赣锋锂业交易</w:t>
      </w:r>
      <w:r>
        <w:rPr>
          <w:rFonts w:hint="eastAsia" w:ascii="仿宋_GB2312" w:hAnsi="仿宋_GB2312" w:eastAsia="仿宋_GB2312" w:cs="仿宋_GB2312"/>
          <w:b w:val="0"/>
          <w:bCs/>
          <w:color w:val="auto"/>
          <w:spacing w:val="-4"/>
          <w:kern w:val="0"/>
          <w:sz w:val="32"/>
          <w:szCs w:val="32"/>
          <w:highlight w:val="none"/>
          <w:lang w:val="en-US" w:eastAsia="zh-CN"/>
        </w:rPr>
        <w:t>“</w:t>
      </w:r>
      <w:r>
        <w:rPr>
          <w:rFonts w:hint="eastAsia" w:ascii="仿宋_GB2312" w:hAnsi="仿宋_GB2312" w:eastAsia="仿宋_GB2312" w:cs="仿宋_GB2312"/>
          <w:color w:val="auto"/>
          <w:sz w:val="32"/>
          <w:szCs w:val="32"/>
          <w:highlight w:val="none"/>
        </w:rPr>
        <w:t>*ST江特</w:t>
      </w:r>
      <w:r>
        <w:rPr>
          <w:rFonts w:hint="eastAsia" w:ascii="仿宋_GB2312" w:hAnsi="仿宋_GB2312" w:eastAsia="仿宋_GB2312" w:cs="仿宋_GB2312"/>
          <w:b w:val="0"/>
          <w:bCs/>
          <w:color w:val="auto"/>
          <w:spacing w:val="-4"/>
          <w:kern w:val="0"/>
          <w:sz w:val="32"/>
          <w:szCs w:val="32"/>
          <w:highlight w:val="none"/>
          <w:lang w:val="en-US" w:eastAsia="zh-CN"/>
        </w:rPr>
        <w:t>”</w:t>
      </w:r>
      <w:r>
        <w:rPr>
          <w:rFonts w:hint="eastAsia" w:ascii="仿宋_GB2312" w:hAnsi="仿宋_GB2312" w:eastAsia="仿宋_GB2312" w:cs="仿宋_GB2312"/>
          <w:b w:val="0"/>
          <w:bCs w:val="0"/>
          <w:color w:val="auto"/>
          <w:sz w:val="32"/>
          <w:szCs w:val="32"/>
          <w:highlight w:val="none"/>
          <w:u w:val="none"/>
          <w:lang w:eastAsia="zh-CN"/>
        </w:rPr>
        <w:t>股票时，并非持有或者通过协议、其他安排与他人共同持有江特电机百</w:t>
      </w:r>
      <w:r>
        <w:rPr>
          <w:rFonts w:hint="eastAsia" w:ascii="仿宋_GB2312" w:hAnsi="仿宋_GB2312" w:eastAsia="仿宋_GB2312" w:cs="仿宋_GB2312"/>
          <w:b w:val="0"/>
          <w:bCs w:val="0"/>
          <w:color w:val="auto"/>
          <w:sz w:val="32"/>
          <w:szCs w:val="32"/>
          <w:highlight w:val="none"/>
          <w:u w:val="none"/>
          <w:lang w:val="en-US" w:eastAsia="zh-CN"/>
        </w:rPr>
        <w:t>分之五</w:t>
      </w:r>
      <w:r>
        <w:rPr>
          <w:rFonts w:hint="eastAsia" w:ascii="仿宋_GB2312" w:hAnsi="仿宋_GB2312" w:eastAsia="仿宋_GB2312" w:cs="仿宋_GB2312"/>
          <w:b w:val="0"/>
          <w:bCs w:val="0"/>
          <w:color w:val="auto"/>
          <w:sz w:val="32"/>
          <w:szCs w:val="32"/>
          <w:highlight w:val="none"/>
          <w:u w:val="none"/>
          <w:lang w:eastAsia="zh-CN"/>
        </w:rPr>
        <w:t>以上股份的法人，</w:t>
      </w:r>
      <w:r>
        <w:rPr>
          <w:rFonts w:hint="eastAsia" w:ascii="仿宋_GB2312" w:hAnsi="仿宋_GB2312" w:eastAsia="仿宋_GB2312" w:cs="仿宋_GB2312"/>
          <w:b w:val="0"/>
          <w:bCs/>
          <w:color w:val="auto"/>
          <w:spacing w:val="-4"/>
          <w:kern w:val="0"/>
          <w:sz w:val="32"/>
          <w:szCs w:val="32"/>
          <w:highlight w:val="none"/>
          <w:lang w:val="en-US" w:eastAsia="zh-CN"/>
        </w:rPr>
        <w:t>且</w:t>
      </w:r>
      <w:r>
        <w:rPr>
          <w:rFonts w:hint="eastAsia" w:ascii="仿宋_GB2312" w:hAnsi="仿宋_GB2312" w:eastAsia="仿宋_GB2312" w:cs="仿宋_GB2312"/>
          <w:color w:val="auto"/>
          <w:sz w:val="32"/>
          <w:szCs w:val="32"/>
          <w:highlight w:val="none"/>
          <w:lang w:val="en-US" w:eastAsia="zh-CN"/>
        </w:rPr>
        <w:t>持股时间较短，</w:t>
      </w:r>
      <w:r>
        <w:rPr>
          <w:rFonts w:hint="eastAsia" w:ascii="仿宋_GB2312" w:hAnsi="仿宋_GB2312" w:eastAsia="仿宋_GB2312" w:cs="仿宋_GB2312"/>
          <w:color w:val="auto"/>
          <w:sz w:val="32"/>
          <w:szCs w:val="32"/>
          <w:highlight w:val="none"/>
        </w:rPr>
        <w:t>不符合收购上市公司的特征。</w:t>
      </w:r>
      <w:r>
        <w:rPr>
          <w:rFonts w:hint="eastAsia" w:ascii="仿宋_GB2312" w:hAnsi="仿宋_GB2312" w:eastAsia="仿宋_GB2312" w:cs="仿宋_GB2312"/>
          <w:b w:val="0"/>
          <w:bCs w:val="0"/>
          <w:color w:val="auto"/>
          <w:sz w:val="32"/>
          <w:szCs w:val="32"/>
          <w:highlight w:val="none"/>
          <w:u w:val="none"/>
          <w:lang w:eastAsia="zh-CN"/>
        </w:rPr>
        <w:t>在案证据不能</w:t>
      </w:r>
      <w:r>
        <w:rPr>
          <w:rFonts w:hint="eastAsia" w:ascii="仿宋_GB2312" w:hAnsi="仿宋_GB2312" w:eastAsia="仿宋_GB2312" w:cs="仿宋_GB2312"/>
          <w:b w:val="0"/>
          <w:bCs/>
          <w:color w:val="auto"/>
          <w:spacing w:val="-4"/>
          <w:kern w:val="0"/>
          <w:sz w:val="32"/>
          <w:szCs w:val="32"/>
          <w:highlight w:val="none"/>
          <w:lang w:val="en-US" w:eastAsia="zh-CN"/>
        </w:rPr>
        <w:t>证明相关股票交易行为是实施收购江特电机整体方案的一部分，不符合“收购豁免”情形。</w:t>
      </w:r>
    </w:p>
    <w:p w14:paraId="65C84920">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仿宋_GB2312" w:hAnsi="仿宋_GB2312" w:eastAsia="仿宋_GB2312" w:cs="仿宋_GB2312"/>
          <w:b w:val="0"/>
          <w:color w:val="auto"/>
          <w:kern w:val="2"/>
          <w:sz w:val="32"/>
          <w:szCs w:val="32"/>
          <w:highlight w:val="none"/>
          <w:lang w:val="en-US" w:eastAsia="zh-CN" w:bidi="ar"/>
        </w:rPr>
      </w:pPr>
      <w:r>
        <w:rPr>
          <w:rFonts w:hint="eastAsia" w:ascii="仿宋_GB2312" w:hAnsi="仿宋_GB2312" w:eastAsia="仿宋_GB2312" w:cs="仿宋_GB2312"/>
          <w:color w:val="auto"/>
          <w:sz w:val="32"/>
          <w:szCs w:val="32"/>
          <w:highlight w:val="none"/>
          <w:lang w:eastAsia="zh-CN"/>
        </w:rPr>
        <w:t>第三，李某彬、欧阳某作为内幕信息知情人，理应保持高度的注意义务，</w:t>
      </w:r>
      <w:r>
        <w:rPr>
          <w:rFonts w:hint="eastAsia" w:ascii="仿宋_GB2312" w:hAnsi="仿宋_GB2312" w:eastAsia="仿宋_GB2312" w:cs="仿宋_GB2312"/>
          <w:b w:val="0"/>
          <w:bCs w:val="0"/>
          <w:color w:val="auto"/>
          <w:sz w:val="32"/>
          <w:szCs w:val="32"/>
          <w:highlight w:val="none"/>
          <w:lang w:val="en-US" w:eastAsia="zh-CN"/>
        </w:rPr>
        <w:t>在内幕信息敏感期内应当主动避免并戒绝与内幕信息相关的证券交易</w:t>
      </w:r>
      <w:r>
        <w:rPr>
          <w:rFonts w:hint="eastAsia" w:ascii="仿宋_GB2312" w:hAnsi="仿宋_GB2312" w:eastAsia="仿宋_GB2312" w:cs="仿宋_GB2312"/>
          <w:b w:val="0"/>
          <w:color w:val="auto"/>
          <w:kern w:val="2"/>
          <w:sz w:val="32"/>
          <w:szCs w:val="32"/>
          <w:highlight w:val="none"/>
          <w:lang w:val="en-US" w:eastAsia="zh-CN" w:bidi="ar"/>
        </w:rPr>
        <w:t>，当事人在内幕信息敏感期内交易“*ST江特”股票的行为具有违法性。当事人是否具有牟利目的，不影响本案内幕交易行为的认定。对当事人所述的其他情节，我局已在量罚时综合考虑。</w:t>
      </w:r>
    </w:p>
    <w:p w14:paraId="04356168">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仿宋_GB2312" w:hAnsi="仿宋_GB2312" w:eastAsia="仿宋_GB2312" w:cs="仿宋_GB2312"/>
          <w:b w:val="0"/>
          <w:color w:val="auto"/>
          <w:kern w:val="2"/>
          <w:sz w:val="32"/>
          <w:szCs w:val="32"/>
          <w:highlight w:val="none"/>
          <w:lang w:val="en-US" w:eastAsia="zh-CN" w:bidi="ar"/>
        </w:rPr>
      </w:pPr>
      <w:r>
        <w:rPr>
          <w:rFonts w:hint="eastAsia" w:ascii="仿宋_GB2312" w:hAnsi="仿宋_GB2312" w:eastAsia="仿宋_GB2312" w:cs="仿宋_GB2312"/>
          <w:b w:val="0"/>
          <w:color w:val="auto"/>
          <w:kern w:val="2"/>
          <w:sz w:val="32"/>
          <w:szCs w:val="32"/>
          <w:highlight w:val="none"/>
          <w:lang w:val="en-US" w:eastAsia="zh-CN" w:bidi="ar"/>
        </w:rPr>
        <w:t>综上，我局对赣锋锂业及李某彬、欧阳某的申辩意见不予采纳。赣锋锂业及李某彬、欧阳某提出免予处罚的请求没有法律依据。</w:t>
      </w:r>
    </w:p>
    <w:p w14:paraId="220B0914">
      <w:pPr>
        <w:pStyle w:val="11"/>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640" w:firstLineChars="200"/>
        <w:outlineLvl w:val="9"/>
        <w:rPr>
          <w:rFonts w:hint="eastAsia" w:ascii="仿宋_GB2312" w:hAnsi="仿宋_GB2312" w:eastAsia="仿宋_GB2312"/>
          <w:color w:val="auto"/>
          <w:sz w:val="32"/>
          <w:szCs w:val="32"/>
        </w:rPr>
      </w:pPr>
      <w:r>
        <w:rPr>
          <w:rFonts w:hint="eastAsia" w:ascii="仿宋_GB2312" w:hAnsi="仿宋_GB2312" w:eastAsia="仿宋_GB2312"/>
          <w:color w:val="auto"/>
          <w:sz w:val="32"/>
          <w:szCs w:val="32"/>
        </w:rPr>
        <w:t>根据当事人违法行为的事实、性质、情节与社会危害程度，依据《证券法》第</w:t>
      </w:r>
      <w:r>
        <w:rPr>
          <w:rFonts w:hint="eastAsia" w:ascii="仿宋_GB2312" w:hAnsi="仿宋_GB2312" w:eastAsia="仿宋_GB2312"/>
          <w:color w:val="auto"/>
          <w:sz w:val="32"/>
          <w:szCs w:val="32"/>
          <w:lang w:eastAsia="zh-CN"/>
        </w:rPr>
        <w:t>一百九十一</w:t>
      </w:r>
      <w:r>
        <w:rPr>
          <w:rFonts w:hint="eastAsia" w:ascii="仿宋_GB2312" w:hAnsi="仿宋_GB2312" w:eastAsia="仿宋_GB2312"/>
          <w:color w:val="auto"/>
          <w:sz w:val="32"/>
          <w:szCs w:val="32"/>
        </w:rPr>
        <w:t>条</w:t>
      </w:r>
      <w:r>
        <w:rPr>
          <w:rFonts w:hint="eastAsia" w:ascii="仿宋_GB2312" w:hAnsi="仿宋_GB2312" w:eastAsia="仿宋_GB2312"/>
          <w:color w:val="auto"/>
          <w:sz w:val="32"/>
          <w:szCs w:val="32"/>
          <w:lang w:eastAsia="zh-CN"/>
        </w:rPr>
        <w:t>第一款的规定</w:t>
      </w:r>
      <w:r>
        <w:rPr>
          <w:rFonts w:hint="eastAsia" w:ascii="仿宋_GB2312" w:hAnsi="仿宋_GB2312" w:eastAsia="仿宋_GB2312"/>
          <w:color w:val="auto"/>
          <w:sz w:val="32"/>
          <w:szCs w:val="32"/>
        </w:rPr>
        <w:t>，我局决定：</w:t>
      </w:r>
    </w:p>
    <w:p w14:paraId="5D20B78F">
      <w:pPr>
        <w:keepNext w:val="0"/>
        <w:keepLines w:val="0"/>
        <w:pageBreakBefore w:val="0"/>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cs="仿宋_GB2312"/>
          <w:b w:val="0"/>
          <w:bCs w:val="0"/>
          <w:color w:val="auto"/>
          <w:sz w:val="32"/>
          <w:szCs w:val="32"/>
          <w:highlight w:val="none"/>
          <w:lang w:val="en-US" w:eastAsia="zh-CN"/>
        </w:rPr>
      </w:pPr>
      <w:r>
        <w:rPr>
          <w:rFonts w:hint="eastAsia" w:ascii="仿宋_GB2312" w:hAnsi="仿宋_GB2312" w:eastAsia="仿宋_GB2312"/>
          <w:b w:val="0"/>
          <w:bCs w:val="0"/>
          <w:color w:val="auto"/>
          <w:sz w:val="32"/>
          <w:szCs w:val="32"/>
          <w:lang w:val="en-US" w:eastAsia="zh-CN"/>
        </w:rPr>
        <w:t>一、</w:t>
      </w:r>
      <w:r>
        <w:rPr>
          <w:rFonts w:hint="eastAsia" w:ascii="仿宋_GB2312" w:hAnsi="仿宋_GB2312" w:eastAsia="仿宋_GB2312" w:cs="仿宋_GB2312"/>
          <w:b w:val="0"/>
          <w:bCs w:val="0"/>
          <w:color w:val="auto"/>
          <w:kern w:val="0"/>
          <w:sz w:val="32"/>
          <w:szCs w:val="32"/>
          <w:highlight w:val="none"/>
          <w:lang w:val="en-US" w:eastAsia="zh-CN"/>
        </w:rPr>
        <w:t>没收江西赣锋锂业集团股份有限公司违法所得</w:t>
      </w:r>
      <w:r>
        <w:rPr>
          <w:rFonts w:hint="eastAsia" w:ascii="仿宋_GB2312" w:hAnsi="仿宋_GB2312" w:eastAsia="仿宋_GB2312" w:cs="仿宋_GB2312"/>
          <w:b w:val="0"/>
          <w:bCs w:val="0"/>
          <w:color w:val="auto"/>
          <w:sz w:val="32"/>
          <w:szCs w:val="32"/>
          <w:highlight w:val="none"/>
          <w:lang w:val="en-US" w:eastAsia="zh-CN"/>
        </w:rPr>
        <w:t>1</w:t>
      </w:r>
      <w:r>
        <w:rPr>
          <w:rFonts w:hint="eastAsia" w:ascii="仿宋_GB2312" w:hAnsi="仿宋_GB2312" w:eastAsia="仿宋_GB2312" w:cs="仿宋_GB2312"/>
          <w:b w:val="0"/>
          <w:bCs w:val="0"/>
          <w:color w:val="auto"/>
          <w:sz w:val="32"/>
          <w:szCs w:val="32"/>
          <w:highlight w:val="none"/>
          <w:lang w:val="en" w:eastAsia="zh-CN"/>
        </w:rPr>
        <w:t>,</w:t>
      </w:r>
      <w:r>
        <w:rPr>
          <w:rFonts w:hint="eastAsia" w:ascii="仿宋_GB2312" w:hAnsi="仿宋_GB2312" w:eastAsia="仿宋_GB2312" w:cs="仿宋_GB2312"/>
          <w:b w:val="0"/>
          <w:bCs w:val="0"/>
          <w:color w:val="auto"/>
          <w:sz w:val="32"/>
          <w:szCs w:val="32"/>
          <w:highlight w:val="none"/>
          <w:lang w:val="en-US" w:eastAsia="zh-CN"/>
        </w:rPr>
        <w:t>105</w:t>
      </w:r>
      <w:r>
        <w:rPr>
          <w:rFonts w:hint="eastAsia" w:ascii="仿宋_GB2312" w:hAnsi="仿宋_GB2312" w:eastAsia="仿宋_GB2312" w:cs="仿宋_GB2312"/>
          <w:b w:val="0"/>
          <w:bCs w:val="0"/>
          <w:color w:val="auto"/>
          <w:sz w:val="32"/>
          <w:szCs w:val="32"/>
          <w:highlight w:val="none"/>
          <w:lang w:val="en" w:eastAsia="zh-CN"/>
        </w:rPr>
        <w:t>,</w:t>
      </w:r>
      <w:r>
        <w:rPr>
          <w:rFonts w:hint="eastAsia" w:ascii="仿宋_GB2312" w:hAnsi="仿宋_GB2312" w:eastAsia="仿宋_GB2312" w:cs="仿宋_GB2312"/>
          <w:b w:val="0"/>
          <w:bCs w:val="0"/>
          <w:color w:val="auto"/>
          <w:sz w:val="32"/>
          <w:szCs w:val="32"/>
          <w:highlight w:val="none"/>
          <w:lang w:val="en-US" w:eastAsia="zh-CN"/>
        </w:rPr>
        <w:t>283.92元，并处以3</w:t>
      </w:r>
      <w:r>
        <w:rPr>
          <w:rFonts w:hint="eastAsia" w:ascii="仿宋_GB2312" w:hAnsi="仿宋_GB2312" w:eastAsia="仿宋_GB2312" w:cs="仿宋_GB2312"/>
          <w:b w:val="0"/>
          <w:bCs w:val="0"/>
          <w:color w:val="auto"/>
          <w:sz w:val="32"/>
          <w:szCs w:val="32"/>
          <w:highlight w:val="none"/>
          <w:lang w:val="en" w:eastAsia="zh-CN"/>
        </w:rPr>
        <w:t>,</w:t>
      </w:r>
      <w:r>
        <w:rPr>
          <w:rFonts w:hint="eastAsia" w:ascii="仿宋_GB2312" w:hAnsi="仿宋_GB2312" w:eastAsia="仿宋_GB2312" w:cs="仿宋_GB2312"/>
          <w:b w:val="0"/>
          <w:bCs w:val="0"/>
          <w:color w:val="auto"/>
          <w:sz w:val="32"/>
          <w:szCs w:val="32"/>
          <w:highlight w:val="none"/>
          <w:lang w:val="en-US" w:eastAsia="zh-CN"/>
        </w:rPr>
        <w:t>315</w:t>
      </w:r>
      <w:r>
        <w:rPr>
          <w:rFonts w:hint="eastAsia" w:ascii="仿宋_GB2312" w:hAnsi="仿宋_GB2312" w:eastAsia="仿宋_GB2312" w:cs="仿宋_GB2312"/>
          <w:b w:val="0"/>
          <w:bCs w:val="0"/>
          <w:color w:val="auto"/>
          <w:sz w:val="32"/>
          <w:szCs w:val="32"/>
          <w:highlight w:val="none"/>
          <w:lang w:val="en" w:eastAsia="zh-CN"/>
        </w:rPr>
        <w:t>,</w:t>
      </w:r>
      <w:r>
        <w:rPr>
          <w:rFonts w:hint="eastAsia" w:ascii="仿宋_GB2312" w:hAnsi="仿宋_GB2312" w:eastAsia="仿宋_GB2312" w:cs="仿宋_GB2312"/>
          <w:b w:val="0"/>
          <w:bCs w:val="0"/>
          <w:color w:val="auto"/>
          <w:sz w:val="32"/>
          <w:szCs w:val="32"/>
          <w:highlight w:val="none"/>
          <w:lang w:val="en-US" w:eastAsia="zh-CN"/>
        </w:rPr>
        <w:t>851.76元罚款；</w:t>
      </w:r>
    </w:p>
    <w:p w14:paraId="5634D70A">
      <w:pPr>
        <w:keepNext w:val="0"/>
        <w:keepLines w:val="0"/>
        <w:pageBreakBefore w:val="0"/>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cs="仿宋_GB2312"/>
          <w:b w:val="0"/>
          <w:bCs w:val="0"/>
          <w:color w:val="auto"/>
          <w:sz w:val="32"/>
          <w:szCs w:val="32"/>
          <w:highlight w:val="none"/>
          <w:lang w:val="en-US" w:eastAsia="zh-CN"/>
        </w:rPr>
      </w:pPr>
      <w:r>
        <w:rPr>
          <w:rFonts w:hint="eastAsia" w:ascii="仿宋_GB2312" w:hAnsi="仿宋_GB2312" w:eastAsia="仿宋_GB2312" w:cs="仿宋_GB2312"/>
          <w:b w:val="0"/>
          <w:bCs w:val="0"/>
          <w:color w:val="auto"/>
          <w:sz w:val="32"/>
          <w:szCs w:val="32"/>
          <w:highlight w:val="none"/>
          <w:lang w:val="en-US" w:eastAsia="zh-CN"/>
        </w:rPr>
        <w:t>二、对李某彬给予警告，并处以60万元罚款；</w:t>
      </w:r>
    </w:p>
    <w:p w14:paraId="2F38BFA9">
      <w:pPr>
        <w:keepNext w:val="0"/>
        <w:keepLines w:val="0"/>
        <w:pageBreakBefore w:val="0"/>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highlight w:val="none"/>
          <w:lang w:val="en-US" w:eastAsia="zh-CN"/>
        </w:rPr>
        <w:t>三、对欧阳某给予警告，并处以20万元罚款</w:t>
      </w:r>
      <w:r>
        <w:rPr>
          <w:rFonts w:hint="eastAsia" w:ascii="仿宋_GB2312" w:hAnsi="仿宋_GB2312" w:eastAsia="仿宋_GB2312" w:cs="仿宋_GB2312"/>
          <w:b w:val="0"/>
          <w:bCs w:val="0"/>
          <w:color w:val="auto"/>
          <w:kern w:val="0"/>
          <w:sz w:val="32"/>
          <w:szCs w:val="32"/>
          <w:highlight w:val="none"/>
          <w:lang w:val="en-US" w:eastAsia="zh-CN"/>
        </w:rPr>
        <w:t>。</w:t>
      </w:r>
    </w:p>
    <w:p w14:paraId="65888E5A">
      <w:pPr>
        <w:keepNext w:val="0"/>
        <w:keepLines w:val="0"/>
        <w:pageBreakBefore w:val="0"/>
        <w:kinsoku/>
        <w:wordWrap/>
        <w:overflowPunct/>
        <w:topLinePunct w:val="0"/>
        <w:autoSpaceDE/>
        <w:autoSpaceDN/>
        <w:bidi w:val="0"/>
        <w:adjustRightInd/>
        <w:snapToGrid/>
        <w:spacing w:line="240" w:lineRule="auto"/>
        <w:ind w:firstLine="640" w:firstLineChars="200"/>
        <w:jc w:val="both"/>
        <w:rPr>
          <w:rFonts w:hint="eastAsia" w:ascii="仿宋_GB2312" w:eastAsia="仿宋_GB2312" w:cs="仿宋_GB2312"/>
          <w:color w:val="auto"/>
          <w:sz w:val="32"/>
          <w:szCs w:val="32"/>
        </w:rPr>
      </w:pPr>
      <w:r>
        <w:rPr>
          <w:rFonts w:ascii="仿宋_GB2312" w:eastAsia="仿宋_GB2312" w:cs="仿宋_GB2312"/>
          <w:color w:val="auto"/>
          <w:sz w:val="32"/>
          <w:szCs w:val="32"/>
        </w:rPr>
        <w:t>上述当事人应自收到本处罚决定书之日起15日内，将罚</w:t>
      </w:r>
      <w:r>
        <w:rPr>
          <w:rFonts w:hint="eastAsia" w:ascii="仿宋_GB2312" w:eastAsia="仿宋_GB2312" w:cs="仿宋_GB2312"/>
          <w:color w:val="auto"/>
          <w:sz w:val="32"/>
          <w:szCs w:val="32"/>
          <w:lang w:eastAsia="zh-CN"/>
        </w:rPr>
        <w:t>没</w:t>
      </w:r>
      <w:r>
        <w:rPr>
          <w:rFonts w:ascii="仿宋_GB2312" w:eastAsia="仿宋_GB2312" w:cs="仿宋_GB2312"/>
          <w:color w:val="auto"/>
          <w:sz w:val="32"/>
          <w:szCs w:val="32"/>
        </w:rPr>
        <w:t>款汇交中国证券监督管理委员会开户银行：中信银行北京分行营业部，账号：7111010189800000162，由该行直接上缴国库，并将注有当事人名称的付款凭证复印件送中国证券监督管理委员会行政处罚委员会办公室和江西证监局备案。当事人如果对本处罚决定不服，可在收到本处罚决定书之日起60日内向中国证券监督管理委员会申请行政复议</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lang w:eastAsia="zh-CN"/>
        </w:rPr>
        <w:t>行政复议申请可以</w:t>
      </w:r>
      <w:r>
        <w:rPr>
          <w:rFonts w:hint="eastAsia" w:ascii="仿宋_GB2312" w:hAnsi="仿宋_GB2312" w:eastAsia="仿宋_GB2312" w:cs="仿宋_GB2312"/>
          <w:color w:val="auto"/>
          <w:sz w:val="32"/>
          <w:szCs w:val="32"/>
          <w:highlight w:val="none"/>
          <w:lang w:eastAsia="zh-CN"/>
        </w:rPr>
        <w:t>通过邮政快递寄送至中国证券监督管理委员会法治司）</w:t>
      </w:r>
      <w:r>
        <w:rPr>
          <w:rFonts w:ascii="仿宋_GB2312" w:eastAsia="仿宋_GB2312" w:cs="仿宋_GB2312"/>
          <w:color w:val="auto"/>
          <w:sz w:val="32"/>
          <w:szCs w:val="32"/>
        </w:rPr>
        <w:t>，也可在收到本处罚决定书之日起6个月内直接向有管辖权的人民法院提起行政诉讼。复议和诉讼期间，上述决定不停止执行。 </w:t>
      </w:r>
      <w:r>
        <w:rPr>
          <w:rFonts w:hint="eastAsia" w:ascii="仿宋_GB2312" w:eastAsia="仿宋_GB2312" w:cs="仿宋_GB2312"/>
          <w:color w:val="auto"/>
          <w:sz w:val="32"/>
          <w:szCs w:val="32"/>
        </w:rPr>
        <w:t>　　</w:t>
      </w:r>
    </w:p>
    <w:p w14:paraId="04A63622">
      <w:pPr>
        <w:keepNext w:val="0"/>
        <w:keepLines w:val="0"/>
        <w:pageBreakBefore w:val="0"/>
        <w:kinsoku/>
        <w:wordWrap/>
        <w:overflowPunct/>
        <w:topLinePunct w:val="0"/>
        <w:autoSpaceDE/>
        <w:autoSpaceDN/>
        <w:bidi w:val="0"/>
        <w:adjustRightInd/>
        <w:snapToGrid/>
        <w:spacing w:beforeLines="0" w:afterLines="0" w:line="620" w:lineRule="exact"/>
        <w:ind w:firstLine="640"/>
        <w:jc w:val="both"/>
        <w:rPr>
          <w:rFonts w:hint="eastAsia" w:ascii="仿宋_GB2312" w:eastAsia="仿宋_GB2312" w:cs="仿宋_GB2312"/>
          <w:sz w:val="32"/>
          <w:szCs w:val="32"/>
        </w:rPr>
      </w:pPr>
    </w:p>
    <w:p w14:paraId="6BD3F86F">
      <w:pPr>
        <w:keepNext w:val="0"/>
        <w:keepLines w:val="0"/>
        <w:pageBreakBefore w:val="0"/>
        <w:kinsoku/>
        <w:wordWrap/>
        <w:overflowPunct/>
        <w:topLinePunct w:val="0"/>
        <w:autoSpaceDE/>
        <w:autoSpaceDN/>
        <w:bidi w:val="0"/>
        <w:adjustRightInd/>
        <w:snapToGrid/>
        <w:spacing w:beforeLines="0" w:afterLines="0" w:line="620" w:lineRule="exact"/>
        <w:ind w:firstLine="640"/>
        <w:jc w:val="both"/>
        <w:rPr>
          <w:rFonts w:hint="eastAsia" w:ascii="仿宋_GB2312" w:eastAsia="仿宋_GB2312" w:cs="仿宋_GB2312"/>
          <w:sz w:val="32"/>
          <w:szCs w:val="32"/>
        </w:rPr>
      </w:pPr>
    </w:p>
    <w:p w14:paraId="0B183554">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20" w:lineRule="exact"/>
        <w:jc w:val="center"/>
        <w:textAlignment w:val="auto"/>
      </w:pP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江西证监局</w:t>
      </w:r>
    </w:p>
    <w:p w14:paraId="6DE7B773">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20" w:lineRule="exact"/>
        <w:ind w:firstLine="640"/>
        <w:jc w:val="center"/>
        <w:textAlignment w:val="auto"/>
        <w:rPr>
          <w:rFonts w:hint="eastAsia" w:ascii="仿宋_GB2312" w:eastAsia="仿宋_GB2312" w:cs="仿宋_GB2312"/>
          <w:sz w:val="32"/>
          <w:szCs w:val="32"/>
        </w:rPr>
      </w:pP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202</w:t>
      </w:r>
      <w:r>
        <w:rPr>
          <w:rFonts w:hint="eastAsia" w:ascii="仿宋_GB2312" w:eastAsia="仿宋_GB2312" w:cs="仿宋_GB2312"/>
          <w:sz w:val="32"/>
          <w:szCs w:val="32"/>
          <w:lang w:val="en-US" w:eastAsia="zh-CN"/>
        </w:rPr>
        <w:t>4</w:t>
      </w:r>
      <w:r>
        <w:rPr>
          <w:rFonts w:hint="eastAsia" w:ascii="仿宋_GB2312" w:eastAsia="仿宋_GB2312" w:cs="仿宋_GB2312"/>
          <w:sz w:val="32"/>
          <w:szCs w:val="32"/>
        </w:rPr>
        <w:t>年</w:t>
      </w:r>
      <w:r>
        <w:rPr>
          <w:rFonts w:hint="eastAsia" w:ascii="仿宋_GB2312" w:eastAsia="仿宋_GB2312" w:cs="仿宋_GB2312"/>
          <w:sz w:val="32"/>
          <w:szCs w:val="32"/>
          <w:lang w:val="en-US" w:eastAsia="zh-CN"/>
        </w:rPr>
        <w:t>7</w:t>
      </w:r>
      <w:r>
        <w:rPr>
          <w:rFonts w:hint="eastAsia" w:ascii="仿宋_GB2312" w:eastAsia="仿宋_GB2312" w:cs="仿宋_GB2312"/>
          <w:sz w:val="32"/>
          <w:szCs w:val="32"/>
        </w:rPr>
        <w:t>月</w:t>
      </w:r>
      <w:r>
        <w:rPr>
          <w:rFonts w:hint="eastAsia" w:ascii="仿宋_GB2312" w:eastAsia="仿宋_GB2312" w:cs="仿宋_GB2312"/>
          <w:sz w:val="32"/>
          <w:szCs w:val="32"/>
          <w:lang w:val="en-US" w:eastAsia="zh-CN"/>
        </w:rPr>
        <w:t>3</w:t>
      </w:r>
      <w:r>
        <w:rPr>
          <w:rFonts w:hint="eastAsia" w:ascii="仿宋_GB2312" w:eastAsia="仿宋_GB2312" w:cs="仿宋_GB2312"/>
          <w:sz w:val="32"/>
          <w:szCs w:val="32"/>
        </w:rPr>
        <w:t>日</w:t>
      </w:r>
    </w:p>
    <w:p w14:paraId="114E34C8">
      <w:pPr>
        <w:spacing w:line="420" w:lineRule="exact"/>
        <w:rPr>
          <w:rFonts w:hint="eastAsia" w:ascii="仿宋_GB2312" w:hAnsi="仿宋_GB2312" w:eastAsia="仿宋_GB2312"/>
          <w:b w:val="0"/>
          <w:color w:val="000000"/>
          <w:kern w:val="2"/>
          <w:sz w:val="32"/>
          <w:u w:val="none" w:color="auto"/>
          <w:lang w:val="en-US" w:eastAsia="zh-CN"/>
        </w:rPr>
      </w:pPr>
      <w:r>
        <w:rPr>
          <w:rFonts w:hint="eastAsia" w:ascii="仿宋_GB2312" w:hAnsi="仿宋_GB2312" w:eastAsia="仿宋_GB2312"/>
          <w:b w:val="0"/>
          <w:color w:val="000000"/>
          <w:kern w:val="2"/>
          <w:sz w:val="32"/>
          <w:u w:val="none" w:color="auto"/>
          <w:lang w:val="en-US" w:eastAsia="zh-CN"/>
        </w:rPr>
        <w:t xml:space="preserve">     </w:t>
      </w:r>
    </w:p>
    <w:p w14:paraId="21F49B98">
      <w:pPr>
        <w:spacing w:line="420" w:lineRule="exact"/>
        <w:rPr>
          <w:rFonts w:hint="eastAsia" w:ascii="仿宋_GB2312" w:hAnsi="仿宋_GB2312" w:eastAsia="仿宋_GB2312"/>
          <w:b w:val="0"/>
          <w:color w:val="000000"/>
          <w:kern w:val="2"/>
          <w:sz w:val="32"/>
          <w:u w:val="none" w:color="auto"/>
          <w:lang w:val="en-US" w:eastAsia="zh-CN"/>
        </w:rPr>
      </w:pPr>
    </w:p>
    <w:p w14:paraId="5A38A38A">
      <w:pPr>
        <w:spacing w:line="420" w:lineRule="exact"/>
        <w:rPr>
          <w:rFonts w:hint="eastAsia" w:ascii="仿宋_GB2312" w:hAnsi="仿宋_GB2312" w:eastAsia="仿宋_GB2312"/>
          <w:b w:val="0"/>
          <w:color w:val="000000"/>
          <w:kern w:val="2"/>
          <w:sz w:val="32"/>
          <w:u w:val="none" w:color="auto"/>
          <w:lang w:val="en-US" w:eastAsia="zh-CN"/>
        </w:rPr>
      </w:pPr>
    </w:p>
    <w:p w14:paraId="760794E4">
      <w:pPr>
        <w:spacing w:line="420" w:lineRule="exact"/>
        <w:rPr>
          <w:rFonts w:hint="eastAsia" w:ascii="仿宋_GB2312" w:hAnsi="仿宋_GB2312" w:eastAsia="仿宋_GB2312"/>
          <w:b w:val="0"/>
          <w:color w:val="000000"/>
          <w:kern w:val="2"/>
          <w:sz w:val="32"/>
          <w:u w:val="none" w:color="auto"/>
          <w:lang w:val="en-US" w:eastAsia="zh-CN"/>
        </w:rPr>
      </w:pPr>
    </w:p>
    <w:p w14:paraId="6A5BEABD">
      <w:pPr>
        <w:spacing w:line="420" w:lineRule="exact"/>
        <w:rPr>
          <w:rFonts w:hint="eastAsia" w:ascii="仿宋_GB2312" w:hAnsi="仿宋_GB2312" w:eastAsia="仿宋_GB2312"/>
          <w:b w:val="0"/>
          <w:color w:val="000000"/>
          <w:kern w:val="2"/>
          <w:sz w:val="32"/>
          <w:u w:val="none" w:color="auto"/>
          <w:lang w:val="en-US" w:eastAsia="zh-CN"/>
        </w:rPr>
      </w:pPr>
    </w:p>
    <w:p w14:paraId="29DCD3A7">
      <w:pPr>
        <w:spacing w:line="420" w:lineRule="exact"/>
        <w:rPr>
          <w:rFonts w:hint="eastAsia" w:ascii="仿宋_GB2312" w:hAnsi="仿宋_GB2312" w:eastAsia="仿宋_GB2312"/>
          <w:b w:val="0"/>
          <w:color w:val="000000"/>
          <w:kern w:val="2"/>
          <w:sz w:val="32"/>
          <w:u w:val="none" w:color="auto"/>
          <w:lang w:val="en-US" w:eastAsia="zh-CN"/>
        </w:rPr>
      </w:pPr>
    </w:p>
    <w:p w14:paraId="1803B62D">
      <w:pPr>
        <w:spacing w:line="420" w:lineRule="exact"/>
        <w:rPr>
          <w:rFonts w:hint="eastAsia" w:ascii="仿宋_GB2312" w:hAnsi="仿宋_GB2312" w:eastAsia="仿宋_GB2312"/>
          <w:b w:val="0"/>
          <w:color w:val="000000"/>
          <w:kern w:val="2"/>
          <w:sz w:val="32"/>
          <w:u w:val="none" w:color="auto"/>
          <w:lang w:val="en-US" w:eastAsia="zh-CN"/>
        </w:rPr>
      </w:pPr>
    </w:p>
    <w:p w14:paraId="081E882D">
      <w:pPr>
        <w:spacing w:line="420" w:lineRule="exact"/>
        <w:rPr>
          <w:rFonts w:hint="eastAsia" w:ascii="仿宋_GB2312" w:hAnsi="仿宋_GB2312" w:eastAsia="仿宋_GB2312"/>
          <w:b w:val="0"/>
          <w:color w:val="000000"/>
          <w:kern w:val="2"/>
          <w:sz w:val="32"/>
          <w:u w:val="none" w:color="auto"/>
          <w:lang w:val="en-US" w:eastAsia="zh-CN"/>
        </w:rPr>
      </w:pPr>
    </w:p>
    <w:p w14:paraId="743D243E">
      <w:pPr>
        <w:spacing w:line="420" w:lineRule="exact"/>
        <w:rPr>
          <w:rFonts w:hint="eastAsia" w:ascii="仿宋_GB2312" w:hAnsi="仿宋_GB2312" w:eastAsia="仿宋_GB2312"/>
          <w:b w:val="0"/>
          <w:color w:val="000000"/>
          <w:kern w:val="2"/>
          <w:sz w:val="32"/>
          <w:u w:val="none" w:color="auto"/>
          <w:lang w:val="en-US" w:eastAsia="zh-CN"/>
        </w:rPr>
      </w:pPr>
    </w:p>
    <w:p w14:paraId="4B81B0DF"/>
    <w:sectPr>
      <w:headerReference r:id="rId3" w:type="default"/>
      <w:footerReference r:id="rId4"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altName w:val="宋体"/>
    <w:panose1 w:val="02010600040101010101"/>
    <w:charset w:val="00"/>
    <w:family w:val="auto"/>
    <w:pitch w:val="default"/>
    <w:sig w:usb0="00000000" w:usb1="00000000" w:usb2="00000000" w:usb3="00000000" w:csb0="0004009F" w:csb1="DFD70000"/>
  </w:font>
  <w:font w:name="仿宋_GB2312">
    <w:altName w:val="仿宋"/>
    <w:panose1 w:val="02010609030101010101"/>
    <w:charset w:val="86"/>
    <w:family w:val="modern"/>
    <w:pitch w:val="default"/>
    <w:sig w:usb0="00000001" w:usb1="080E0000" w:usb2="00000000" w:usb3="00000000" w:csb0="00040000" w:csb1="00000000"/>
  </w:font>
  <w:font w:name="方正黑体简体">
    <w:altName w:val="微软雅黑"/>
    <w:panose1 w:val="02010601030101010101"/>
    <w:charset w:val="86"/>
    <w:family w:val="auto"/>
    <w:pitch w:val="default"/>
    <w:sig w:usb0="00000001" w:usb1="080E0000" w:usb2="00000000" w:usb3="00000000" w:csb0="00040000" w:csb1="00000000"/>
  </w:font>
  <w:font w:name="方正仿宋简体">
    <w:altName w:val="微软雅黑"/>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094A27">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107D0D8B">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- 1 -</w:t>
                          </w:r>
                          <w:r>
                            <w:rPr>
                              <w:rFonts w:hint="eastAsia" w:ascii="宋体" w:hAnsi="宋体" w:eastAsia="宋体" w:cs="宋体"/>
                              <w:sz w:val="28"/>
                              <w:szCs w:val="28"/>
                              <w:lang w:eastAsia="zh-CN"/>
                            </w:rPr>
                            <w:fldChar w:fldCharType="end"/>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6pebnPAAAABQEAAA8AAAAAAAAA&#10;AQAgAAAAIgAAAGRycy9kb3ducmV2LnhtbFBLAQIUABQAAAAIAIdO4kDesQ8x4QEAAMwDAAAOAAAA&#10;AAAAAAEAIAAAAB4BAABkcnMvZTJvRG9jLnhtbFBLBQYAAAAABgAGAFkBAABxBQAAAAA=&#10;">
              <v:fill on="f" focussize="0,0"/>
              <v:stroke on="f"/>
              <v:imagedata o:title=""/>
              <o:lock v:ext="edit" aspectratio="f"/>
              <v:textbox inset="0mm,0mm,0mm,0mm" style="mso-fit-shape-to-text:t;">
                <w:txbxContent>
                  <w:p w14:paraId="107D0D8B">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- 1 -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9880C7">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trackRevisions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EBDF8A"/>
    <w:rsid w:val="01FFF635"/>
    <w:rsid w:val="0FBD8CE3"/>
    <w:rsid w:val="15FC1019"/>
    <w:rsid w:val="17AFB1A6"/>
    <w:rsid w:val="1E4FDC09"/>
    <w:rsid w:val="1F79E557"/>
    <w:rsid w:val="22F6987C"/>
    <w:rsid w:val="2B9BF69E"/>
    <w:rsid w:val="2EFFF0A6"/>
    <w:rsid w:val="2F7987F2"/>
    <w:rsid w:val="2FCAF4C4"/>
    <w:rsid w:val="333E90DB"/>
    <w:rsid w:val="36BA8DB5"/>
    <w:rsid w:val="36F75B1F"/>
    <w:rsid w:val="377FEB8C"/>
    <w:rsid w:val="388AA8B3"/>
    <w:rsid w:val="3A9351A2"/>
    <w:rsid w:val="3BFB678A"/>
    <w:rsid w:val="3D7BC964"/>
    <w:rsid w:val="3E6BA9DA"/>
    <w:rsid w:val="3ED963C1"/>
    <w:rsid w:val="3EFF1C24"/>
    <w:rsid w:val="3FBA386F"/>
    <w:rsid w:val="3FBFC9D7"/>
    <w:rsid w:val="3FDF01C9"/>
    <w:rsid w:val="3FFBEA6A"/>
    <w:rsid w:val="45DF8955"/>
    <w:rsid w:val="47F30904"/>
    <w:rsid w:val="4A85422E"/>
    <w:rsid w:val="4DBFECD8"/>
    <w:rsid w:val="4DDA7175"/>
    <w:rsid w:val="53CE1DC3"/>
    <w:rsid w:val="56BF3A4D"/>
    <w:rsid w:val="57AEBD77"/>
    <w:rsid w:val="58B730F3"/>
    <w:rsid w:val="59FF08B0"/>
    <w:rsid w:val="5B9D4F22"/>
    <w:rsid w:val="5BDC63E8"/>
    <w:rsid w:val="5DF9788A"/>
    <w:rsid w:val="5DFF7116"/>
    <w:rsid w:val="5EB21D43"/>
    <w:rsid w:val="5EDBE167"/>
    <w:rsid w:val="5F735042"/>
    <w:rsid w:val="5FBD0EBF"/>
    <w:rsid w:val="5FCD4FEE"/>
    <w:rsid w:val="5FDF8C14"/>
    <w:rsid w:val="629721EC"/>
    <w:rsid w:val="62FF660C"/>
    <w:rsid w:val="63FF64A7"/>
    <w:rsid w:val="64F71503"/>
    <w:rsid w:val="65FF126F"/>
    <w:rsid w:val="669F9EEE"/>
    <w:rsid w:val="67DA4B5E"/>
    <w:rsid w:val="6C5EF47C"/>
    <w:rsid w:val="6CBD032B"/>
    <w:rsid w:val="6DBF089A"/>
    <w:rsid w:val="6DF625FD"/>
    <w:rsid w:val="6EF6648E"/>
    <w:rsid w:val="6F275670"/>
    <w:rsid w:val="6F615A5E"/>
    <w:rsid w:val="6F6574AE"/>
    <w:rsid w:val="6F774780"/>
    <w:rsid w:val="6F9EA9EC"/>
    <w:rsid w:val="6FDCB6E8"/>
    <w:rsid w:val="6FDD7F70"/>
    <w:rsid w:val="6FE43AC2"/>
    <w:rsid w:val="6FF5378F"/>
    <w:rsid w:val="6FF6A4E9"/>
    <w:rsid w:val="73628232"/>
    <w:rsid w:val="73FE1E56"/>
    <w:rsid w:val="74EFAE76"/>
    <w:rsid w:val="74F365D6"/>
    <w:rsid w:val="74FF9FB3"/>
    <w:rsid w:val="7730C921"/>
    <w:rsid w:val="773F21AE"/>
    <w:rsid w:val="777FF3DF"/>
    <w:rsid w:val="77EF7729"/>
    <w:rsid w:val="77FEC8FB"/>
    <w:rsid w:val="78B7CB3F"/>
    <w:rsid w:val="793F0BBA"/>
    <w:rsid w:val="7A1F69ED"/>
    <w:rsid w:val="7BBEF28C"/>
    <w:rsid w:val="7BBF1758"/>
    <w:rsid w:val="7BCDA984"/>
    <w:rsid w:val="7CAFAAB9"/>
    <w:rsid w:val="7D9F3C1E"/>
    <w:rsid w:val="7DFD11B2"/>
    <w:rsid w:val="7E334D93"/>
    <w:rsid w:val="7E5FB5ED"/>
    <w:rsid w:val="7EBF0E67"/>
    <w:rsid w:val="7EFDCA14"/>
    <w:rsid w:val="7F7F133B"/>
    <w:rsid w:val="7F9F8E90"/>
    <w:rsid w:val="7FB1C218"/>
    <w:rsid w:val="7FB8B84B"/>
    <w:rsid w:val="7FBB6C3E"/>
    <w:rsid w:val="7FEB0EAA"/>
    <w:rsid w:val="7FEB8BD0"/>
    <w:rsid w:val="7FF79968"/>
    <w:rsid w:val="7FF7A9F0"/>
    <w:rsid w:val="7FF7BA17"/>
    <w:rsid w:val="7FFB1E4C"/>
    <w:rsid w:val="93B5745A"/>
    <w:rsid w:val="975DDA90"/>
    <w:rsid w:val="99FF2C18"/>
    <w:rsid w:val="9BF80C2A"/>
    <w:rsid w:val="9F9F5FA5"/>
    <w:rsid w:val="9FFFBBED"/>
    <w:rsid w:val="A3DFFF0F"/>
    <w:rsid w:val="AFB61398"/>
    <w:rsid w:val="AFFDAF9B"/>
    <w:rsid w:val="AFFF6033"/>
    <w:rsid w:val="B1BFAAC9"/>
    <w:rsid w:val="B2FF3846"/>
    <w:rsid w:val="B33C64BA"/>
    <w:rsid w:val="B61FF229"/>
    <w:rsid w:val="B767BB3F"/>
    <w:rsid w:val="B936C8EF"/>
    <w:rsid w:val="B9F6CB3A"/>
    <w:rsid w:val="BAED2C5E"/>
    <w:rsid w:val="BAFB99E7"/>
    <w:rsid w:val="BBEBDF8A"/>
    <w:rsid w:val="BE9D8F7A"/>
    <w:rsid w:val="BEFD5661"/>
    <w:rsid w:val="BEFE6CC1"/>
    <w:rsid w:val="BF66CEA2"/>
    <w:rsid w:val="BFCE8DF5"/>
    <w:rsid w:val="BFFB854C"/>
    <w:rsid w:val="BFFD16FA"/>
    <w:rsid w:val="BFFD8866"/>
    <w:rsid w:val="BFFF250F"/>
    <w:rsid w:val="CB76A578"/>
    <w:rsid w:val="CB79A151"/>
    <w:rsid w:val="CDF8328E"/>
    <w:rsid w:val="CE884873"/>
    <w:rsid w:val="CEEDBF5F"/>
    <w:rsid w:val="CFFA364B"/>
    <w:rsid w:val="D1BA750F"/>
    <w:rsid w:val="D5E5A230"/>
    <w:rsid w:val="D6F345F5"/>
    <w:rsid w:val="D7BF3BA8"/>
    <w:rsid w:val="D9DE95B6"/>
    <w:rsid w:val="DAFB8789"/>
    <w:rsid w:val="DDDF2C77"/>
    <w:rsid w:val="DFF689D5"/>
    <w:rsid w:val="DFFB3CDA"/>
    <w:rsid w:val="DFFEA309"/>
    <w:rsid w:val="DFFF071E"/>
    <w:rsid w:val="EB5ED981"/>
    <w:rsid w:val="EC7F314A"/>
    <w:rsid w:val="EDFFDD77"/>
    <w:rsid w:val="EEFDC150"/>
    <w:rsid w:val="EF7EB9CF"/>
    <w:rsid w:val="EFB7B9F1"/>
    <w:rsid w:val="F21D9C7D"/>
    <w:rsid w:val="F3AE29BB"/>
    <w:rsid w:val="F3BF1588"/>
    <w:rsid w:val="F4FD91FC"/>
    <w:rsid w:val="F55B5F03"/>
    <w:rsid w:val="F5BA4193"/>
    <w:rsid w:val="F5BED409"/>
    <w:rsid w:val="F615AFFB"/>
    <w:rsid w:val="F6690BF5"/>
    <w:rsid w:val="F6B22399"/>
    <w:rsid w:val="F6F78528"/>
    <w:rsid w:val="F76FEA3A"/>
    <w:rsid w:val="F77F47A3"/>
    <w:rsid w:val="F7ABA010"/>
    <w:rsid w:val="F7CC2CA3"/>
    <w:rsid w:val="F87AF2C2"/>
    <w:rsid w:val="F9BE1EDB"/>
    <w:rsid w:val="FA3C096C"/>
    <w:rsid w:val="FA5DD5A7"/>
    <w:rsid w:val="FABF8FB1"/>
    <w:rsid w:val="FB3F6E50"/>
    <w:rsid w:val="FBABFA15"/>
    <w:rsid w:val="FBB5600D"/>
    <w:rsid w:val="FBC74003"/>
    <w:rsid w:val="FBDFFB30"/>
    <w:rsid w:val="FBFF0D0D"/>
    <w:rsid w:val="FDFF2BDE"/>
    <w:rsid w:val="FECF5044"/>
    <w:rsid w:val="FEF76743"/>
    <w:rsid w:val="FF7DD186"/>
    <w:rsid w:val="FF9B8D2F"/>
    <w:rsid w:val="FFCB28F7"/>
    <w:rsid w:val="FFCEE3A0"/>
    <w:rsid w:val="FFD31F3D"/>
    <w:rsid w:val="FFED76BA"/>
    <w:rsid w:val="FFEF0B13"/>
    <w:rsid w:val="FFEF722C"/>
    <w:rsid w:val="FFFAD48A"/>
    <w:rsid w:val="FFFFFD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qFormat/>
    <w:uiPriority w:val="0"/>
  </w:style>
  <w:style w:type="table" w:default="1" w:styleId="7">
    <w:name w:val="Normal Table"/>
    <w:semiHidden/>
    <w:qFormat/>
    <w:uiPriority w:val="0"/>
    <w:tblPr>
      <w:tblStyle w:val="7"/>
      <w:tblCellMar>
        <w:top w:w="0" w:type="dxa"/>
        <w:left w:w="108" w:type="dxa"/>
        <w:bottom w:w="0" w:type="dxa"/>
        <w:right w:w="108" w:type="dxa"/>
      </w:tblCellMar>
    </w:tblPr>
  </w:style>
  <w:style w:type="paragraph" w:styleId="2">
    <w:name w:val="footer"/>
    <w:basedOn w:val="1"/>
    <w:unhideWhenUsed/>
    <w:qFormat/>
    <w:uiPriority w:val="0"/>
    <w:pPr>
      <w:tabs>
        <w:tab w:val="center" w:pos="4153"/>
        <w:tab w:val="right" w:pos="8306"/>
      </w:tabs>
      <w:snapToGrid w:val="0"/>
      <w:jc w:val="left"/>
    </w:pPr>
    <w:rPr>
      <w:kern w:val="2"/>
      <w:sz w:val="18"/>
    </w:rPr>
  </w:style>
  <w:style w:type="paragraph" w:styleId="3">
    <w:name w:val="header"/>
    <w:basedOn w:val="1"/>
    <w:unhideWhenUsed/>
    <w:qFormat/>
    <w:uiPriority w:val="0"/>
    <w:pPr>
      <w:pBdr>
        <w:bottom w:val="single" w:color="auto" w:sz="6" w:space="1"/>
      </w:pBdr>
      <w:tabs>
        <w:tab w:val="center" w:pos="4153"/>
        <w:tab w:val="right" w:pos="8306"/>
      </w:tabs>
      <w:snapToGrid w:val="0"/>
      <w:jc w:val="center"/>
    </w:pPr>
    <w:rPr>
      <w:sz w:val="18"/>
    </w:rPr>
  </w:style>
  <w:style w:type="paragraph" w:styleId="4">
    <w:name w:val="footnote text"/>
    <w:basedOn w:val="1"/>
    <w:qFormat/>
    <w:uiPriority w:val="0"/>
    <w:pPr>
      <w:snapToGrid w:val="0"/>
      <w:jc w:val="left"/>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character" w:styleId="9">
    <w:name w:val="footnote reference"/>
    <w:basedOn w:val="8"/>
    <w:qFormat/>
    <w:uiPriority w:val="0"/>
    <w:rPr>
      <w:vertAlign w:val="superscript"/>
    </w:rPr>
  </w:style>
  <w:style w:type="paragraph" w:customStyle="1" w:styleId="10">
    <w:name w:val="List Paragraph"/>
    <w:basedOn w:val="1"/>
    <w:qFormat/>
    <w:uiPriority w:val="0"/>
    <w:pPr>
      <w:ind w:firstLine="420" w:firstLineChars="200"/>
    </w:pPr>
    <w:rPr>
      <w:rFonts w:ascii="Times New Roman" w:hAnsi="Times New Roman"/>
    </w:rPr>
  </w:style>
  <w:style w:type="paragraph" w:customStyle="1" w:styleId="11">
    <w:name w:val="p0"/>
    <w:basedOn w:val="1"/>
    <w:qFormat/>
    <w:uiPriority w:val="0"/>
    <w:pPr>
      <w:widowControl/>
    </w:pPr>
    <w:rPr>
      <w:rFonts w:ascii="Calibri" w:hAnsi="Calibri"/>
      <w:kern w:val="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3365</Words>
  <Characters>3630</Characters>
  <Lines>0</Lines>
  <Paragraphs>0</Paragraphs>
  <TotalTime>72.6666666666667</TotalTime>
  <ScaleCrop>false</ScaleCrop>
  <LinksUpToDate>false</LinksUpToDate>
  <CharactersWithSpaces>3732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2023-01-06T07:14:00Z</dcterms:created>
  <dc:creator>严子棠：法制处经办人</dc:creator>
  <cp:lastModifiedBy>L</cp:lastModifiedBy>
  <cp:lastPrinted>2024-06-30T09:27:44Z</cp:lastPrinted>
  <dcterms:modified xsi:type="dcterms:W3CDTF">2024-12-21T06:38:56Z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F73FBB1271DB4034A4B3211177F731F1_13</vt:lpwstr>
  </property>
</Properties>
</file>