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4EEE" w14:textId="77777777" w:rsidR="00682A3E" w:rsidRDefault="00682A3E" w:rsidP="00682A3E">
      <w:pPr>
        <w:pStyle w:val="a3"/>
        <w:shd w:val="clear" w:color="auto" w:fill="FFFFFF"/>
        <w:spacing w:before="0" w:beforeAutospacing="0" w:after="0" w:afterAutospacing="0" w:line="560" w:lineRule="atLeast"/>
        <w:ind w:firstLine="646"/>
        <w:jc w:val="center"/>
        <w:rPr>
          <w:rFonts w:ascii="微软雅黑" w:eastAsia="微软雅黑" w:hAnsi="微软雅黑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朝阳市人民检察院</w:t>
      </w:r>
    </w:p>
    <w:p w14:paraId="0466D788" w14:textId="77777777" w:rsidR="00682A3E" w:rsidRDefault="00682A3E" w:rsidP="00682A3E">
      <w:pPr>
        <w:pStyle w:val="a3"/>
        <w:shd w:val="clear" w:color="auto" w:fill="FFFFFF"/>
        <w:spacing w:before="0" w:beforeAutospacing="0" w:after="0" w:afterAutospacing="0" w:line="560" w:lineRule="atLeast"/>
        <w:ind w:firstLine="646"/>
        <w:jc w:val="center"/>
        <w:rPr>
          <w:rFonts w:ascii="微软雅黑" w:eastAsia="微软雅黑" w:hAnsi="微软雅黑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起诉书</w:t>
      </w:r>
    </w:p>
    <w:p w14:paraId="7867326D" w14:textId="77777777" w:rsidR="00682A3E" w:rsidRDefault="00682A3E" w:rsidP="00682A3E">
      <w:pPr>
        <w:pStyle w:val="a3"/>
        <w:shd w:val="clear" w:color="auto" w:fill="FFFFFF"/>
        <w:spacing w:before="0" w:beforeAutospacing="0" w:after="0" w:afterAutospacing="0" w:line="560" w:lineRule="atLeast"/>
        <w:ind w:firstLine="646"/>
        <w:jc w:val="center"/>
        <w:rPr>
          <w:rFonts w:ascii="微软雅黑" w:eastAsia="微软雅黑" w:hAnsi="微软雅黑"/>
          <w:color w:val="333333"/>
        </w:rPr>
      </w:pP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朝检公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刑诉〔2018〕30号</w:t>
      </w:r>
    </w:p>
    <w:p w14:paraId="2A067E61" w14:textId="77777777" w:rsidR="00682A3E" w:rsidRDefault="00682A3E" w:rsidP="00682A3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被告单位</w:t>
      </w:r>
      <w:commentRangeStart w:id="0"/>
      <w:r>
        <w:rPr>
          <w:rFonts w:ascii="华文仿宋" w:eastAsia="华文仿宋" w:hAnsi="华文仿宋" w:hint="eastAsia"/>
          <w:color w:val="333333"/>
          <w:sz w:val="32"/>
          <w:szCs w:val="32"/>
        </w:rPr>
        <w:t>北京**投资有限公司</w:t>
      </w:r>
      <w:commentRangeEnd w:id="0"/>
      <w:r w:rsidR="004952E3">
        <w:rPr>
          <w:rStyle w:val="a8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，组织机构代码：</w:t>
      </w:r>
      <w:commentRangeStart w:id="1"/>
      <w:r>
        <w:rPr>
          <w:rFonts w:ascii="华文仿宋" w:eastAsia="华文仿宋" w:hAnsi="华文仿宋" w:hint="eastAsia"/>
          <w:color w:val="333333"/>
          <w:sz w:val="32"/>
          <w:szCs w:val="32"/>
        </w:rPr>
        <w:t>75672****</w:t>
      </w:r>
      <w:commentRangeEnd w:id="1"/>
      <w:r w:rsidR="004952E3">
        <w:rPr>
          <w:rStyle w:val="a8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，单位地址:北京市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昌平区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**镇**路**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号院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**号楼**室，法定代表人：何某甲，监事：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某甲。</w:t>
      </w:r>
    </w:p>
    <w:p w14:paraId="562B0F9A" w14:textId="77777777" w:rsidR="00682A3E" w:rsidRDefault="00682A3E" w:rsidP="00682A3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朝阳市中级人民法院建议以该单位该罪名补充起诉，后由朝阳市公安局侦查终结，以被告人北京**投资有限公司涉嫌内幕交易、泄露内幕信息罪，于2018年11月1日移送我院审查起诉，我院受理后，*甲公司法定代表人有权委托辩护人，听取了法定代表人的意见，审查了全部案卷材料。</w:t>
      </w:r>
    </w:p>
    <w:p w14:paraId="4D0261E8" w14:textId="77777777" w:rsidR="00682A3E" w:rsidRDefault="00682A3E" w:rsidP="00682A3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经依法审查查明：</w:t>
      </w:r>
    </w:p>
    <w:p w14:paraId="6F72EEC0" w14:textId="77777777" w:rsidR="00682A3E" w:rsidRDefault="00682A3E" w:rsidP="00682A3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2016年2月17日，北京**建筑设计股份有限公司（以下简称**创意）发布了《关于2015年度利润分配及资本公积金转增股本预案的预披露公告》，此公告内容为**创意董事长何某甲提议公司2015年度利润分配及资本公积金转增股本预案：以公司未来实施分配方案时股权登记日的总股本为基数，向全体股东每十股派发现金红利1.5元人民币；同时，以资本公积金向全体股东每十股转增15股。此次事项属于内幕信息。经中国证监会北京监管局确定内幕信息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的敏感期为不晚于2016年1月1日，并持续到2016年2月17日。</w:t>
      </w:r>
    </w:p>
    <w:p w14:paraId="273E240D" w14:textId="77777777" w:rsidR="00682A3E" w:rsidRDefault="00682A3E" w:rsidP="00682A3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2016年1月中旬，时任**创意**、**会**王**在跟**创意证券部的工作人员讨论《公告》相关内容，其知道发布该《公告》会使**创意股票上涨，便产生了购买**创意股票盈利的想法，随后其以安排**创意职工监事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**；**创意财务总监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薛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*，要求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**找几个人开证券账户，交易**创意的股票，要求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薛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*按照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**的要求向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**提供资金。自2016年1月14日至2016年3月，*乙公司**何**、陈**、杨**、李**四人的名义开立了证券账户和银行账户，并向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薛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*申请资金，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薛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*在得到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某甲的确认后使用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某甲中国建设银行账户43406200******和何某甲司机**中国建设银行账户62170000100******内的钱款，分多笔向何**、陈**、杨**、李**等四个证券账户陆续支付2900余万元资金用于购买**创意的股票。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**在得到资金由其本人操作或者交给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的儿子**及其同学**操作，利用何**、陈**、杨**、李**四个证券账户交易**创意股票，累计买入1492700股，买入金额34,505,807.75元，卖出1,476,200股，卖出金额41,063,712.50元，共获利6,776,882.48元，所用本金及获利部分用于**创意、**公司等公司的经营活动，部分用于私人。被告人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某甲作为**事和实际控制人，能够代表**公司意志，其安排工作人员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甄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**、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薛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*利用何**、陈**、杨**、李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**四个证券账户，交易**创意股票获利的行为系***单位犯罪行为。</w:t>
      </w:r>
    </w:p>
    <w:p w14:paraId="15F9DA92" w14:textId="77777777" w:rsidR="00682A3E" w:rsidRDefault="00682A3E" w:rsidP="00682A3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认定上述事实的证据如下：</w:t>
      </w:r>
    </w:p>
    <w:p w14:paraId="2D42D055" w14:textId="77777777" w:rsidR="00682A3E" w:rsidRDefault="00682A3E" w:rsidP="00682A3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1.书证：北京**投资有限公司出具的相关证明文件；2.证人证言：证人何某甲、姜某某、贺某某等人的证言；3.被告人的供述与辩解：被告人北京**投资有限公司的供述与辩解；</w:t>
      </w:r>
    </w:p>
    <w:p w14:paraId="773F16AE" w14:textId="77777777" w:rsidR="00682A3E" w:rsidRDefault="00682A3E" w:rsidP="00682A3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，被告单位北京**投资有限公司利用内幕信息交易**创意股票并获利，其行为触犯了《中华人民共和国刑法》第一百八十条第一款之规定，犯罪事实清楚，证据确实、充分，应当以内幕交易罪追究其刑事责任。根据《中华人民共和国刑事诉讼法》第一百七十六条的规定，提起公诉，请依法判处。</w:t>
      </w:r>
    </w:p>
    <w:p w14:paraId="4A560E31" w14:textId="77777777" w:rsidR="00682A3E" w:rsidRDefault="00682A3E" w:rsidP="00682A3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此致</w:t>
      </w:r>
    </w:p>
    <w:p w14:paraId="626B46BD" w14:textId="77777777" w:rsidR="00682A3E" w:rsidRDefault="00682A3E" w:rsidP="00682A3E">
      <w:pPr>
        <w:pStyle w:val="a3"/>
        <w:shd w:val="clear" w:color="auto" w:fill="FFFFFF"/>
        <w:spacing w:before="0" w:beforeAutospacing="0" w:after="0" w:afterAutospacing="0" w:line="560" w:lineRule="atLeast"/>
        <w:ind w:firstLine="646"/>
        <w:rPr>
          <w:rFonts w:ascii="微软雅黑" w:eastAsia="微软雅黑" w:hAnsi="微软雅黑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朝阳市中级人民法院</w:t>
      </w:r>
    </w:p>
    <w:p w14:paraId="4885B1CD" w14:textId="77777777" w:rsidR="00682A3E" w:rsidRDefault="00682A3E" w:rsidP="00682A3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检察员：王晓磊</w:t>
      </w:r>
    </w:p>
    <w:p w14:paraId="4C02E9F3" w14:textId="77777777" w:rsidR="00682A3E" w:rsidRDefault="00682A3E" w:rsidP="00682A3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助理检察官：李进</w:t>
      </w:r>
    </w:p>
    <w:p w14:paraId="26D5FF5F" w14:textId="77777777" w:rsidR="00682A3E" w:rsidRDefault="00682A3E" w:rsidP="00682A3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2018年11月13日</w:t>
      </w:r>
    </w:p>
    <w:p w14:paraId="7AB2AF28" w14:textId="77777777" w:rsidR="00682A3E" w:rsidRDefault="00682A3E" w:rsidP="00682A3E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rPr>
          <w:rFonts w:ascii="华文仿宋" w:eastAsia="华文仿宋" w:hAnsi="华文仿宋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附：1案卷材料和证据。</w:t>
      </w:r>
    </w:p>
    <w:p w14:paraId="0347468A" w14:textId="77777777" w:rsidR="00BD0D2B" w:rsidRPr="00682A3E" w:rsidRDefault="00BD0D2B"/>
    <w:sectPr w:rsidR="00BD0D2B" w:rsidRPr="00682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林 新波" w:date="2021-11-01T15:26:00Z" w:initials="林">
    <w:p w14:paraId="33EE9EAE" w14:textId="34A429B4" w:rsidR="004952E3" w:rsidRDefault="004952E3">
      <w:pPr>
        <w:pStyle w:val="a9"/>
      </w:pPr>
      <w:r>
        <w:rPr>
          <w:rStyle w:val="a8"/>
        </w:rPr>
        <w:annotationRef/>
      </w:r>
      <w:r>
        <w:rPr>
          <w:rFonts w:ascii="微软雅黑" w:eastAsia="微软雅黑" w:hAnsi="微软雅黑" w:hint="eastAsia"/>
          <w:b/>
          <w:bCs/>
          <w:color w:val="3A3A3A"/>
          <w:sz w:val="39"/>
          <w:szCs w:val="39"/>
          <w:shd w:val="clear" w:color="auto" w:fill="FFFFFF"/>
        </w:rPr>
        <w:t>北京弘高慧目投资有限公司</w:t>
      </w:r>
    </w:p>
  </w:comment>
  <w:comment w:id="1" w:author="林 新波" w:date="2021-11-01T15:26:00Z" w:initials="林">
    <w:p w14:paraId="39EDB0BF" w14:textId="3FF51D44" w:rsidR="004952E3" w:rsidRDefault="004952E3">
      <w:pPr>
        <w:pStyle w:val="a9"/>
      </w:pPr>
      <w:r>
        <w:rPr>
          <w:rStyle w:val="a8"/>
        </w:rPr>
        <w:annotationRef/>
      </w:r>
      <w:r>
        <w:rPr>
          <w:rFonts w:ascii="微软雅黑" w:eastAsia="微软雅黑" w:hAnsi="微软雅黑" w:hint="eastAsia"/>
          <w:color w:val="3A3A3A"/>
          <w:szCs w:val="21"/>
          <w:shd w:val="clear" w:color="auto" w:fill="FFFFFF"/>
        </w:rPr>
        <w:t>756729299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EE9EAE" w15:done="0"/>
  <w15:commentEx w15:paraId="39EDB0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A85AD" w16cex:dateUtc="2021-11-01T07:26:00Z"/>
  <w16cex:commentExtensible w16cex:durableId="252A85C0" w16cex:dateUtc="2021-11-01T0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EE9EAE" w16cid:durableId="252A85AD"/>
  <w16cid:commentId w16cid:paraId="39EDB0BF" w16cid:durableId="252A85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193C5" w14:textId="77777777" w:rsidR="00437DEA" w:rsidRDefault="00437DEA" w:rsidP="004952E3">
      <w:r>
        <w:separator/>
      </w:r>
    </w:p>
  </w:endnote>
  <w:endnote w:type="continuationSeparator" w:id="0">
    <w:p w14:paraId="0E368F65" w14:textId="77777777" w:rsidR="00437DEA" w:rsidRDefault="00437DEA" w:rsidP="00495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5B63D" w14:textId="77777777" w:rsidR="00437DEA" w:rsidRDefault="00437DEA" w:rsidP="004952E3">
      <w:r>
        <w:separator/>
      </w:r>
    </w:p>
  </w:footnote>
  <w:footnote w:type="continuationSeparator" w:id="0">
    <w:p w14:paraId="0FD475EA" w14:textId="77777777" w:rsidR="00437DEA" w:rsidRDefault="00437DEA" w:rsidP="004952E3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林 新波">
    <w15:presenceInfo w15:providerId="Windows Live" w15:userId="98703db9a5e8a6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3E"/>
    <w:rsid w:val="00437DEA"/>
    <w:rsid w:val="004952E3"/>
    <w:rsid w:val="00682A3E"/>
    <w:rsid w:val="00A905C5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D878B"/>
  <w15:chartTrackingRefBased/>
  <w15:docId w15:val="{B412C853-BB13-4080-A15A-4B9C9C14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A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5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52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5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52E3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952E3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952E3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952E3"/>
  </w:style>
  <w:style w:type="paragraph" w:styleId="ab">
    <w:name w:val="annotation subject"/>
    <w:basedOn w:val="a9"/>
    <w:next w:val="a9"/>
    <w:link w:val="ac"/>
    <w:uiPriority w:val="99"/>
    <w:semiHidden/>
    <w:unhideWhenUsed/>
    <w:rsid w:val="004952E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95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2021-09-25T07:02:00Z</dcterms:created>
  <dcterms:modified xsi:type="dcterms:W3CDTF">2021-11-01T07:51:00Z</dcterms:modified>
</cp:coreProperties>
</file>