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B80E" w14:textId="77777777" w:rsidR="00AC4FEF" w:rsidRDefault="00AC4FEF" w:rsidP="00AC4FEF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******人民检察院</w:t>
      </w:r>
    </w:p>
    <w:p w14:paraId="6C41DA6F" w14:textId="77777777" w:rsidR="00AC4FEF" w:rsidRDefault="00AC4FEF" w:rsidP="00AC4FEF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3565BD26" w14:textId="77777777" w:rsidR="00AC4FEF" w:rsidRDefault="00AC4FEF" w:rsidP="00AC4FEF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STKaiti" w:eastAsia="STKaiti" w:hAnsi="STKaiti"/>
          <w:color w:val="333333"/>
          <w:sz w:val="28"/>
          <w:szCs w:val="28"/>
        </w:rPr>
      </w:pPr>
      <w:proofErr w:type="gramStart"/>
      <w:r>
        <w:rPr>
          <w:rStyle w:val="s1"/>
          <w:rFonts w:ascii="STKaiti" w:eastAsia="STKaiti" w:hAnsi="STKaiti" w:hint="eastAsia"/>
          <w:color w:val="000000"/>
          <w:sz w:val="28"/>
          <w:szCs w:val="28"/>
        </w:rPr>
        <w:t>辽铁检</w:t>
      </w:r>
      <w:proofErr w:type="gramEnd"/>
      <w:r>
        <w:rPr>
          <w:rStyle w:val="s1"/>
          <w:rFonts w:ascii="STKaiti" w:eastAsia="STKaiti" w:hAnsi="STKaiti" w:hint="eastAsia"/>
          <w:color w:val="000000"/>
          <w:sz w:val="28"/>
          <w:szCs w:val="28"/>
        </w:rPr>
        <w:t>公诉刑诉〔****〕*号</w:t>
      </w:r>
    </w:p>
    <w:p w14:paraId="1B163924" w14:textId="77777777" w:rsidR="00AC4FEF" w:rsidRDefault="00AC4FEF" w:rsidP="00AC4FEF">
      <w:pPr>
        <w:pStyle w:val="p6"/>
        <w:shd w:val="clear" w:color="auto" w:fill="FFFFFF"/>
        <w:spacing w:before="0" w:beforeAutospacing="0" w:after="0" w:afterAutospacing="0" w:line="560" w:lineRule="atLeast"/>
        <w:ind w:firstLine="645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被告人郑**，男，********生，**********，**身份证件号码*********，汉族，******，*************有限公司实际控制人，原为*************股份有限公司控股股东、实际控制人，住*************室。因涉嫌内幕交易罪，于****年*月*日被***公安厅监视居住，同年*月*6日被***公安局取保候审。因涉嫌内幕交易、泄露内幕信息罪，于****年*月**日被本院重新取保候审。 </w:t>
      </w:r>
    </w:p>
    <w:p w14:paraId="3E9AE7DB" w14:textId="77777777" w:rsidR="00AC4FEF" w:rsidRDefault="00AC4FEF" w:rsidP="00AC4FEF">
      <w:pPr>
        <w:pStyle w:val="p6"/>
        <w:shd w:val="clear" w:color="auto" w:fill="FFFFFF"/>
        <w:spacing w:before="0" w:beforeAutospacing="0" w:after="0" w:afterAutospacing="0" w:line="560" w:lineRule="atLeast"/>
        <w:ind w:firstLine="645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被告人方**，男，****年**月**日出生，居民身份证号码************，汉族，大学本科，********有限公司副总经理，户籍所在地********************房，原住*************室，现住**************号。因涉嫌内幕交易罪，于*********被***公安厅监视居住，同年***********日被***公安局取保候审。因涉嫌内幕交易罪，于**********日被本院重新取保候审。</w:t>
      </w:r>
    </w:p>
    <w:p w14:paraId="57BD84DD" w14:textId="77777777" w:rsidR="00AC4FEF" w:rsidRDefault="00AC4FEF" w:rsidP="00AC4FEF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本案由***公安局经侦支队侦查终结，以被告人郑**涉嫌内幕交易、泄露内幕信息罪，被告人方**涉嫌内幕交易罪，于************日移送我院审查起诉。本院受案后，已告知二被告人有权委托辩护人和认罪认罚可能导致的法律后果，依法讯问了二被告人，听取了二被告人及其辩护人的意见，审查了全部案件材料。其间，退回公安机关补充侦查二次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。</w:t>
      </w:r>
    </w:p>
    <w:p w14:paraId="1C9EF6FE" w14:textId="77777777" w:rsidR="00AC4FEF" w:rsidRDefault="00AC4FEF" w:rsidP="00AC4FEF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lastRenderedPageBreak/>
        <w:t>经依法审查查明：</w:t>
      </w:r>
    </w:p>
    <w:p w14:paraId="1976268C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*************，被告人郑**系</w:t>
      </w:r>
      <w:commentRangeStart w:id="0"/>
      <w:r>
        <w:rPr>
          <w:rFonts w:ascii="STFangsong" w:eastAsia="STFangsong" w:hAnsi="STFangsong" w:hint="eastAsia"/>
          <w:color w:val="333333"/>
          <w:sz w:val="32"/>
          <w:szCs w:val="32"/>
        </w:rPr>
        <w:t>*************股份有限公司</w:t>
      </w:r>
      <w:commentRangeEnd w:id="0"/>
      <w:r w:rsidR="00E47F1A">
        <w:rPr>
          <w:rStyle w:val="a3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STFangsong" w:eastAsia="STFangsong" w:hAnsi="STFangsong" w:hint="eastAsia"/>
          <w:color w:val="333333"/>
          <w:sz w:val="32"/>
          <w:szCs w:val="32"/>
        </w:rPr>
        <w:t>（曾用名***********股份有限公司，以下简称***********公司）控股股东、实际控制人，该公司股票名称为“</w:t>
      </w:r>
      <w:r>
        <w:rPr>
          <w:rStyle w:val="s3"/>
          <w:rFonts w:ascii="STFangsong" w:eastAsia="STFangsong" w:hAnsi="STFangsong" w:hint="eastAsia"/>
          <w:color w:val="000000"/>
          <w:sz w:val="32"/>
          <w:szCs w:val="32"/>
        </w:rPr>
        <w:t>***********”（股票代码：*********，后更名为“***********”）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。2009年末，郑**有意将***********公司主营业务由房地产开发转向投资矿业，2010年3月初***********公司组建负责矿产投资的投资管理中心，同年3月24日投资管理中心工作人员开始对***********金属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矿进行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考察，并在考察后向郑**报告考察情况。2010年11月15日***********公司股票停牌，同年11月18日***********公司召开董事会表决通过成立</w:t>
      </w:r>
      <w:commentRangeStart w:id="1"/>
      <w:r>
        <w:rPr>
          <w:rFonts w:ascii="STFangsong" w:eastAsia="STFangsong" w:hAnsi="STFangsong" w:hint="eastAsia"/>
          <w:color w:val="333333"/>
          <w:sz w:val="32"/>
          <w:szCs w:val="32"/>
        </w:rPr>
        <w:t>矿业子公司</w:t>
      </w:r>
      <w:commentRangeEnd w:id="1"/>
      <w:r w:rsidR="00E47F1A">
        <w:rPr>
          <w:rStyle w:val="a3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STFangsong" w:eastAsia="STFangsong" w:hAnsi="STFangsong" w:hint="eastAsia"/>
          <w:color w:val="333333"/>
          <w:sz w:val="32"/>
          <w:szCs w:val="32"/>
        </w:rPr>
        <w:t>的决议，并于11月22日对外发布公告，股票复牌。为拓展矿业投资，2011年8月15日至2011年8月18日，在被告人郑**的安排下，***********公司董事长郑**带领投资管理中心工作人员对*******有限公司进行实地考察并向郑**汇报考察情况。2011年12月12日，***********公司股票停牌，同年12月19日***********公司召开董事会表决通过收购*******公司股份的决议，并于12月21日对外发布公告，股票复牌。2014年底，被告人郑**欲转让其持有的***********公司股权，并安排李**与********有限公司顾问唐**协商有关股权转让事宜。2015年2月7日，李**与唐**商谈后于次日向郑**汇报了股权转让的商谈内容。2015年3月30日，***********公司股票</w:t>
      </w:r>
      <w:r>
        <w:rPr>
          <w:rFonts w:ascii="STFangsong" w:eastAsia="STFangsong" w:hAnsi="STFangsong" w:hint="eastAsia"/>
          <w:color w:val="333333"/>
          <w:sz w:val="32"/>
          <w:szCs w:val="32"/>
        </w:rPr>
        <w:lastRenderedPageBreak/>
        <w:t>停牌，同年4月26日郑**实际控制的******公司、******公司签订协议将持有的</w:t>
      </w:r>
      <w:commentRangeStart w:id="2"/>
      <w:r>
        <w:rPr>
          <w:rFonts w:ascii="STFangsong" w:eastAsia="STFangsong" w:hAnsi="STFangsong" w:hint="eastAsia"/>
          <w:color w:val="333333"/>
          <w:sz w:val="32"/>
          <w:szCs w:val="32"/>
        </w:rPr>
        <w:t>***********公司股权转让给******</w:t>
      </w:r>
      <w:commentRangeEnd w:id="2"/>
      <w:r w:rsidR="00923AEC">
        <w:rPr>
          <w:rStyle w:val="a3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STFangsong" w:eastAsia="STFangsong" w:hAnsi="STFangsong" w:hint="eastAsia"/>
          <w:color w:val="333333"/>
          <w:sz w:val="32"/>
          <w:szCs w:val="32"/>
        </w:rPr>
        <w:t>有限公司，同年4月28日***********公司发布公司控股股东及实际控制人变更的公告，同年6月3日***********公司股票复牌。</w:t>
      </w:r>
    </w:p>
    <w:p w14:paraId="64B18C25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经中国证券监督管理委员会认定，2010年***********公司投资设立矿业子公司为内幕信息，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内幕信息敏感期起点不晚于2010年3月24日，止于2010年11月22日；2011年***********公司收购</w:t>
      </w:r>
      <w:commentRangeStart w:id="3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*******有限公司</w:t>
      </w:r>
      <w:commentRangeEnd w:id="3"/>
      <w:r w:rsidR="00E47F1A">
        <w:rPr>
          <w:rStyle w:val="a3"/>
          <w:rFonts w:asciiTheme="minorHAnsi" w:eastAsiaTheme="minorEastAsia" w:hAnsiTheme="minorHAnsi" w:cstheme="minorBidi"/>
          <w:kern w:val="2"/>
        </w:rPr>
        <w:commentReference w:id="3"/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股权为内幕信息，内幕信息敏感期起点不晚于2011年8月19日，止于2011年12月21日；2015年***********公司控股股东及实际控制人发生重大变化为内幕信息，内幕信息敏感期起点不晚于2015年2月8日，止于2015年4月28日；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郑**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系上述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三个内幕信息的知情人。</w:t>
      </w:r>
    </w:p>
    <w:p w14:paraId="0A5A45A1" w14:textId="77777777" w:rsidR="00AC4FEF" w:rsidRDefault="00AC4FEF" w:rsidP="00AC4FEF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（一）郑**内幕交易、泄露内幕信息罪</w:t>
      </w:r>
    </w:p>
    <w:p w14:paraId="442DF154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2010年3月至2015年3月，被告人郑**在上述三个内幕信息敏感期内，指使公司员工用其控制的刘**等8人证券账户买入“***********”或“***********”股票</w:t>
      </w:r>
      <w:r w:rsidRPr="0080044E">
        <w:rPr>
          <w:rFonts w:ascii="STFangsong" w:eastAsia="STFangsong" w:hAnsi="STFangsong" w:hint="eastAsia"/>
          <w:color w:val="333333"/>
          <w:sz w:val="32"/>
          <w:szCs w:val="32"/>
          <w:highlight w:val="yellow"/>
        </w:rPr>
        <w:t>合计429.92万股，</w:t>
      </w:r>
      <w:r w:rsidRPr="0080044E">
        <w:rPr>
          <w:rStyle w:val="s1"/>
          <w:rFonts w:ascii="STFangsong" w:eastAsia="STFangsong" w:hAnsi="STFangsong" w:hint="eastAsia"/>
          <w:color w:val="000000"/>
          <w:sz w:val="32"/>
          <w:szCs w:val="32"/>
          <w:highlight w:val="yellow"/>
        </w:rPr>
        <w:t>成交金额共计</w:t>
      </w:r>
      <w:r w:rsidRPr="0080044E">
        <w:rPr>
          <w:rFonts w:ascii="STFangsong" w:eastAsia="STFangsong" w:hAnsi="STFangsong" w:hint="eastAsia"/>
          <w:color w:val="333333"/>
          <w:sz w:val="32"/>
          <w:szCs w:val="32"/>
          <w:highlight w:val="yellow"/>
        </w:rPr>
        <w:t>人民币3901.176257万元，截止2018年4月24日尚持有0.44万股（含红股0.07万股）外，内幕敏感期内及复牌后将其余股票全部抛售，非法获利共计人民币1151.202009万元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。期间，被告人郑**泄露上述三个内幕信息给其EMBA班同学白**（已判决），并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借给白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**人民币500</w:t>
      </w:r>
      <w:r>
        <w:rPr>
          <w:rFonts w:ascii="STFangsong" w:eastAsia="STFangsong" w:hAnsi="STFangsong" w:hint="eastAsia"/>
          <w:color w:val="333333"/>
          <w:sz w:val="32"/>
          <w:szCs w:val="32"/>
        </w:rPr>
        <w:lastRenderedPageBreak/>
        <w:t>万元用于购买股票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。在前两个内幕信息敏感期内，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白**筹集资金指使陈**、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翟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**用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多个亲属账户买入“***********”股票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621.37万股（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含利用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郑**借款购买股票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83.25万股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）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，成交金额共计人民币4683.365832万元（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含郑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**借款人民币498.914142万元），截止2018年5月23日尚持有22.24万股（含红股11.98万股）外，复牌后将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其余股票及红股29.7416万股全部抛售，非法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获利共计人民币2047.526452万元（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含利用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郑**借款买卖股票非法获利人民币337.420964万元）。具体如下： </w:t>
      </w:r>
    </w:p>
    <w:p w14:paraId="318FF411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1、2010年3月24日至2010年11月12日期间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，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在***********公司投资设立矿业子公司的消息尚未公开前，被告人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郑**利用其控制的刘**、************的证券账户买入“***********”股票合计</w:t>
      </w:r>
      <w:r w:rsidRPr="0080044E">
        <w:rPr>
          <w:rFonts w:ascii="STFangsong" w:eastAsia="STFangsong" w:hAnsi="STFangsong" w:hint="eastAsia"/>
          <w:color w:val="333333"/>
          <w:sz w:val="32"/>
          <w:szCs w:val="32"/>
          <w:highlight w:val="yellow"/>
        </w:rPr>
        <w:t>271.80万股，成交金额人民币2110.513962万元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，内幕敏感期内将利用***账户买入的1.2万股全部抛售，内幕敏感期内及复牌后陆续将利用刘**账户买入的72.35万股全部抛售，复牌后将利用***三人账户买入的198.25万股全部抛售，非法获利共计人民币1144.820359万元。</w:t>
      </w:r>
    </w:p>
    <w:p w14:paraId="7A92EDC3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2010年10月初，被告人郑**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泄露该内幕信息给白**，并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借给白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**人民币500万元用于购买股票，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白**同时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筹集资金指使陈**、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翟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**用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陈**、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翟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**、***等人的账户在该内幕信息敏感期内买入“***********”股票</w:t>
      </w:r>
      <w:r w:rsidRPr="0080044E">
        <w:rPr>
          <w:rFonts w:ascii="STFangsong" w:eastAsia="STFangsong" w:hAnsi="STFangsong" w:hint="eastAsia"/>
          <w:color w:val="333333"/>
          <w:sz w:val="32"/>
          <w:szCs w:val="32"/>
          <w:highlight w:val="yellow"/>
        </w:rPr>
        <w:t>466.79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万股（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含利用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郑**借款购买股票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83.25万股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）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，成交金额共计人民2836.988608万元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lastRenderedPageBreak/>
        <w:t>（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含郑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**借款人民币498.914142万元），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截止2018年5月23日尚持有7.41万股外，复牌后将其余股票全部抛售，非法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获利共计人民币1937.259194万元（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含利用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郑**借款买卖股票非法获利人民币337.420964万元）。</w:t>
      </w:r>
    </w:p>
    <w:p w14:paraId="71B85DE1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2、2011年8月19日至2011年12月9日期间，在***********公司收购*******有限公司股权的消息尚未公开前，被告人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郑**利用其控制的刘**、****的证券账户买入“***********”股票149.14万股，成交金额人民币1732.794195万元，截止2018年4月24日尚持有利用安群账户买入的0.44万股（含0.07万红股）外，复牌后将其余股票全部抛售，无非法获利。</w:t>
      </w:r>
    </w:p>
    <w:p w14:paraId="48F66D4F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2011年8月，被告人郑**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泄露该内幕信息给白**，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白**指使陈**、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翟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**用陈**、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翟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**、***等人的账户在该内幕信息敏感期内买入“***********”股票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154.58万股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，成交金额共计人民币1846.377224万元，截止2018年5月23日尚持有14.83万股（含红股11.98万股）外，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复牌后将其余股票及红股29.7416万股全部抛售，非法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获利共计人民币110.267258万元。</w:t>
      </w:r>
    </w:p>
    <w:p w14:paraId="30CC512F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3、2015年2月8日至2015年3月27日期间，在***********公司控股股东及实际控制人重大变化的消息尚未公开前，被告人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郑**利用其控制的****的证券账户买入“***********”股票8.97万股，成交金额人民币57.8681万元，内幕敏感期内将利用***账户买入的8.50万股全部抛售，复牌后将利用***</w:t>
      </w:r>
      <w:r>
        <w:rPr>
          <w:rFonts w:ascii="STFangsong" w:eastAsia="STFangsong" w:hAnsi="STFangsong" w:hint="eastAsia"/>
          <w:color w:val="333333"/>
          <w:sz w:val="32"/>
          <w:szCs w:val="32"/>
        </w:rPr>
        <w:lastRenderedPageBreak/>
        <w:t>账户买入的0.47万股全部抛售，非法获利共计人民币6.38165万元。</w:t>
      </w:r>
    </w:p>
    <w:p w14:paraId="2953379D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2015年2月，被告人郑**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泄露该内幕信息给白**，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白**未利用该内幕信息买入“***********”股票。</w:t>
      </w:r>
    </w:p>
    <w:p w14:paraId="78895D12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（二）方**内幕交易罪</w:t>
      </w:r>
    </w:p>
    <w:p w14:paraId="48C46FFA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2010年10月，被告人方**在白**提出让其帮助周转郑**提供的用于购买股票的人民币500万元及提出向其家借款500万元用于购买股票时，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获知白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**可能掌握股票的内幕信息，遂在提供借款过程中向白**打探股票及内幕信息情况，获知***********公司投资设立矿业子公司的内幕信息。后方**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又替白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垫付偿还给郑**的借款500万元，并多次向白**打探***********公司及“***********”股票的情况，分别在2011年8月、2015年2月获知***********公司收购*******有限公司股权和***********公司控股股东及实际控制人重大变化的内幕信息。2010年10月至2015年3月，在上述三个内幕信息敏感期内，被告人方**与**********使用家族资金操作多个亲属的证券账户买入“***********”或“***********”股票合计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580.41万股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，成交金额共计人民币4308.577735万元，内幕敏感期内及复牌后将上述股票及红股4.97万股全部抛售，非法获利共计为人民币4052.089409万元。具体如下：</w:t>
      </w:r>
    </w:p>
    <w:p w14:paraId="3308AE27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1、2010年10月18日至2010年11月15日期间，在***********公司投资设立矿业子公司的消息尚未公开前，被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lastRenderedPageBreak/>
        <w:t>告人方**与**********使用家族资金操作**********的证券账户买入“***********”股票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合计279.06万股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，成交金额共计人民币1849.284641万元，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内幕敏感期内及复牌后陆续将利用***账户买入的2.00万股全部抛售，复牌后将其余股票全部抛售，非法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获利共计人民币1119.012146万元。</w:t>
      </w:r>
    </w:p>
    <w:p w14:paraId="6F0DC9F5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2、2011年8月19日至2011年12月12日期间，在***********公司收购*******有限公司股权的消息尚未公开前，被告人方**与**********使用家族资金操作***********的证券账户买入 “***********”股票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101.35万股，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成交金额共计人民币1252.258992万元，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内幕敏感期内及复牌后陆续将利用***账户买入的1.03万股全部抛售，复牌后将其余股票及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红股4.97万股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全部抛售，非法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获利共计人民币562.772235万元。</w:t>
      </w:r>
    </w:p>
    <w:p w14:paraId="7F09BA41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3、2015年2月8日至2015年3月30日期间，在***********公司控股股东及实际控制人重大变化的消息尚未公开前，被告人方**与**********使用家族资金操作***的证券账户买入“***********”股票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200万股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，成交金额共计人民币1207.034102万元，复牌后全部抛售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，非法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获利共计人民币2370.305028万元。</w:t>
      </w:r>
    </w:p>
    <w:p w14:paraId="333B525D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2018年3月5日，根据国家监察委员会的办案协助请求，***公安厅经侦总队办案人员在北京找到被告人郑**，告知其国家监察委员会需要他配合调查工作，郑**遂到指定地点积极配合调查工作，并主动交待了相关部门未掌握的内幕交易、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lastRenderedPageBreak/>
        <w:t>向白**泄露内幕信息的全部犯罪事实；2018年3月20日，被告人方**主动到***********投案，如实供述了向白**打探内幕信息并从事内幕交易的犯罪事实。</w:t>
      </w:r>
    </w:p>
    <w:p w14:paraId="05D39248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到案后，被告人郑**向公安机关主动上交人民币1800万元；被告人方**及其亲属向公安机关主动上交人民币共计6100万元。</w:t>
      </w:r>
    </w:p>
    <w:p w14:paraId="209F7520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认定上述事实的证据如下：</w:t>
      </w:r>
    </w:p>
    <w:p w14:paraId="205D2378" w14:textId="77777777" w:rsidR="00AC4FEF" w:rsidRDefault="00AC4FEF" w:rsidP="00AC4FEF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证监会认定函、***********股票停复牌一览表、***********公司工商档案、董事会、股东会会议记录、相关股票账户明细、案件来源、到案经过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等书证；中准会计师事务所辽宁分所的司法会计鉴定意见书；证人郑**、李**、****白**、陈**、</w:t>
      </w:r>
      <w:proofErr w:type="gramStart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翟</w:t>
      </w:r>
      <w:proofErr w:type="gramEnd"/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**、**********、***等证人证言；被告人郑**、方**供述等证据在卷佐证。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上述证据收集程序合法，内容客观真实，足以认定指控事实。被告人郑**、方**对指控的犯罪事实和证据没有异议，并自愿认罪认罚。</w:t>
      </w:r>
    </w:p>
    <w:p w14:paraId="30267A14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本院认为，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被告人郑**作为证券交易内幕信息知情人，在对证券交易价格有重大影响的信息尚未公开前买入该证券，并泄露该信息导致他人从事上述交易，情节特别严重；被告人方**非法获取内幕信息，在对证券交易价格有重大影响的信息尚未公开前买入该证券，情节特别严重，其行为均触犯了《中华人民共和国刑法》第一百八十条第一款之规定，应以内幕交易、泄露内幕信息罪追究郑**的刑事责任，以内</w:t>
      </w:r>
      <w:r>
        <w:rPr>
          <w:rFonts w:ascii="STFangsong" w:eastAsia="STFangsong" w:hAnsi="STFangsong" w:hint="eastAsia"/>
          <w:color w:val="333333"/>
          <w:sz w:val="32"/>
          <w:szCs w:val="32"/>
        </w:rPr>
        <w:lastRenderedPageBreak/>
        <w:t>幕交易罪追究方**的刑事责任。根据《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中华人民共和国</w:t>
      </w:r>
      <w:r>
        <w:rPr>
          <w:rFonts w:ascii="STFangsong" w:eastAsia="STFangsong" w:hAnsi="STFangsong" w:hint="eastAsia"/>
          <w:color w:val="333333"/>
          <w:sz w:val="32"/>
          <w:szCs w:val="32"/>
        </w:rPr>
        <w:t>刑法》第六十七条之规定，被告人郑**、方**系自首。</w:t>
      </w: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根据《中华人民共和国刑事诉讼法》第一百七十六条第一款的规定，提起公诉，请依法判处。</w:t>
      </w:r>
    </w:p>
    <w:p w14:paraId="4F260FAE" w14:textId="77777777" w:rsidR="00AC4FEF" w:rsidRDefault="00AC4FEF" w:rsidP="00AC4FEF">
      <w:pPr>
        <w:pStyle w:val="p11"/>
        <w:shd w:val="clear" w:color="auto" w:fill="FFFFFF"/>
        <w:spacing w:before="0" w:beforeAutospacing="0" w:after="0" w:afterAutospacing="0" w:line="560" w:lineRule="atLeast"/>
        <w:jc w:val="center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此致</w:t>
      </w:r>
    </w:p>
    <w:p w14:paraId="02346BD1" w14:textId="77777777" w:rsidR="00AC4FEF" w:rsidRDefault="00AC4FEF" w:rsidP="00AC4FEF">
      <w:pPr>
        <w:pStyle w:val="p12"/>
        <w:shd w:val="clear" w:color="auto" w:fill="FFFFFF"/>
        <w:spacing w:before="0" w:beforeAutospacing="0" w:after="0" w:afterAutospacing="0" w:line="560" w:lineRule="atLeast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***中级人民法院</w:t>
      </w:r>
    </w:p>
    <w:p w14:paraId="3018F017" w14:textId="77777777" w:rsidR="00AC4FEF" w:rsidRDefault="00AC4FEF" w:rsidP="00AC4FEF">
      <w:pPr>
        <w:pStyle w:val="p13"/>
        <w:shd w:val="clear" w:color="auto" w:fill="FFFFFF"/>
        <w:spacing w:before="0" w:beforeAutospacing="0" w:after="0" w:afterAutospacing="0" w:line="560" w:lineRule="atLeast"/>
        <w:ind w:firstLine="5373"/>
        <w:jc w:val="right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副检察长：***</w:t>
      </w:r>
    </w:p>
    <w:p w14:paraId="47BF80EB" w14:textId="77777777" w:rsidR="00AC4FEF" w:rsidRDefault="00AC4FEF" w:rsidP="00AC4FEF">
      <w:pPr>
        <w:pStyle w:val="p13"/>
        <w:shd w:val="clear" w:color="auto" w:fill="FFFFFF"/>
        <w:spacing w:before="0" w:beforeAutospacing="0" w:after="0" w:afterAutospacing="0" w:line="560" w:lineRule="atLeast"/>
        <w:ind w:firstLine="5373"/>
        <w:jc w:val="right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检察官助理：**</w:t>
      </w:r>
    </w:p>
    <w:p w14:paraId="18C18AB2" w14:textId="77777777" w:rsidR="00AC4FEF" w:rsidRDefault="00AC4FEF" w:rsidP="00AC4FEF">
      <w:pPr>
        <w:pStyle w:val="p14"/>
        <w:shd w:val="clear" w:color="auto" w:fill="FFFFFF"/>
        <w:spacing w:before="0" w:beforeAutospacing="0" w:after="0" w:afterAutospacing="0" w:line="560" w:lineRule="atLeast"/>
        <w:jc w:val="right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****************</w:t>
      </w:r>
    </w:p>
    <w:p w14:paraId="53F2818A" w14:textId="77777777" w:rsidR="00AC4FEF" w:rsidRDefault="00AC4FEF" w:rsidP="00AC4FEF">
      <w:pPr>
        <w:pStyle w:val="p12"/>
        <w:shd w:val="clear" w:color="auto" w:fill="FFFFFF"/>
        <w:spacing w:before="0" w:beforeAutospacing="0" w:after="0" w:afterAutospacing="0" w:line="560" w:lineRule="atLeast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附：</w:t>
      </w:r>
    </w:p>
    <w:p w14:paraId="196071CA" w14:textId="77777777" w:rsidR="00AC4FEF" w:rsidRDefault="00AC4FEF" w:rsidP="00AC4FEF">
      <w:pPr>
        <w:pStyle w:val="p12"/>
        <w:shd w:val="clear" w:color="auto" w:fill="FFFFFF"/>
        <w:spacing w:before="0" w:beforeAutospacing="0" w:after="0" w:afterAutospacing="0" w:line="560" w:lineRule="atLeast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    1.被告人郑**现被取保候审于**********；被告人方**现被取保候审于*********。</w:t>
      </w:r>
    </w:p>
    <w:p w14:paraId="23FA0004" w14:textId="77777777" w:rsidR="00AC4FEF" w:rsidRDefault="00AC4FEF" w:rsidP="00AC4FEF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Style w:val="s1"/>
          <w:rFonts w:ascii="STFangsong" w:eastAsia="STFangsong" w:hAnsi="STFangsong" w:hint="eastAsia"/>
          <w:color w:val="000000"/>
          <w:sz w:val="32"/>
          <w:szCs w:val="32"/>
        </w:rPr>
        <w:t>2. 移送案卷材料七十一册。</w:t>
      </w:r>
    </w:p>
    <w:p w14:paraId="0582FBCC" w14:textId="77777777" w:rsidR="00BD0D2B" w:rsidRPr="00AC4FEF" w:rsidRDefault="00BD0D2B"/>
    <w:sectPr w:rsidR="00BD0D2B" w:rsidRPr="00AC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林 新波" w:date="2021-11-06T20:52:00Z" w:initials="林">
    <w:p w14:paraId="1E7B4B65" w14:textId="4A3662A0" w:rsidR="00E47F1A" w:rsidRDefault="00E47F1A">
      <w:pPr>
        <w:pStyle w:val="a4"/>
      </w:pPr>
      <w:r>
        <w:rPr>
          <w:rStyle w:val="a3"/>
        </w:rPr>
        <w:annotationRef/>
      </w:r>
      <w:proofErr w:type="gramStart"/>
      <w:r>
        <w:t>山东中润投资</w:t>
      </w:r>
      <w:proofErr w:type="gramEnd"/>
      <w:r>
        <w:t>控股集团股份有限公司</w:t>
      </w:r>
      <w:r>
        <w:rPr>
          <w:rFonts w:hint="eastAsia"/>
        </w:rPr>
        <w:t>，</w:t>
      </w:r>
      <w:proofErr w:type="gramStart"/>
      <w:r>
        <w:t>中润投资</w:t>
      </w:r>
      <w:proofErr w:type="gramEnd"/>
    </w:p>
  </w:comment>
  <w:comment w:id="1" w:author="林 新波" w:date="2021-11-06T20:52:00Z" w:initials="林">
    <w:p w14:paraId="51D46137" w14:textId="4E689DD1" w:rsidR="00E47F1A" w:rsidRDefault="00E47F1A">
      <w:pPr>
        <w:pStyle w:val="a4"/>
      </w:pPr>
      <w:r>
        <w:rPr>
          <w:rStyle w:val="a3"/>
        </w:rPr>
        <w:annotationRef/>
      </w:r>
      <w:proofErr w:type="gramStart"/>
      <w:r>
        <w:t>中润矿业</w:t>
      </w:r>
      <w:proofErr w:type="gramEnd"/>
      <w:r>
        <w:t>发展有限公司</w:t>
      </w:r>
    </w:p>
  </w:comment>
  <w:comment w:id="2" w:author="林 新波" w:date="2021-11-06T21:00:00Z" w:initials="林">
    <w:p w14:paraId="2077EDF5" w14:textId="71D93A16" w:rsidR="00923AEC" w:rsidRDefault="00923AEC">
      <w:pPr>
        <w:pStyle w:val="a4"/>
      </w:pPr>
      <w:r>
        <w:rPr>
          <w:rStyle w:val="a3"/>
        </w:rPr>
        <w:annotationRef/>
      </w:r>
      <w:r>
        <w:t>公司控股股东</w:t>
      </w:r>
      <w:proofErr w:type="gramStart"/>
      <w:r>
        <w:t>中润富泰投</w:t>
      </w:r>
      <w:proofErr w:type="gramEnd"/>
      <w:r>
        <w:t xml:space="preserve"> 资有限公司（以下简称“中润富泰”）</w:t>
      </w:r>
      <w:proofErr w:type="gramStart"/>
      <w:r>
        <w:t>及一致</w:t>
      </w:r>
      <w:proofErr w:type="gramEnd"/>
      <w:r>
        <w:t>行动人金安投资有限公司（以下简称“金安投 资”）与</w:t>
      </w:r>
      <w:proofErr w:type="gramStart"/>
      <w:r>
        <w:t>深圳市南午北安</w:t>
      </w:r>
      <w:proofErr w:type="gramEnd"/>
      <w:r>
        <w:t xml:space="preserve">资产管理有限公司（以下简称“南午北安”）签订了股权转让协议， </w:t>
      </w:r>
      <w:proofErr w:type="gramStart"/>
      <w:r>
        <w:t>中润富</w:t>
      </w:r>
      <w:proofErr w:type="gramEnd"/>
      <w:r>
        <w:t>泰与金安投资将所持有本公司的部分股份转让</w:t>
      </w:r>
      <w:proofErr w:type="gramStart"/>
      <w:r>
        <w:t>给南午北安</w:t>
      </w:r>
      <w:proofErr w:type="gramEnd"/>
      <w:r>
        <w:t>，转让完成后将导致本公司 控股股东及实际控制人发生变化。具</w:t>
      </w:r>
    </w:p>
  </w:comment>
  <w:comment w:id="3" w:author="林 新波" w:date="2021-11-06T20:57:00Z" w:initials="林">
    <w:p w14:paraId="78366B4C" w14:textId="7AC522D1" w:rsidR="00E47F1A" w:rsidRDefault="00E47F1A">
      <w:pPr>
        <w:pStyle w:val="a4"/>
      </w:pPr>
      <w:r>
        <w:rPr>
          <w:rStyle w:val="a3"/>
        </w:rPr>
        <w:annotationRef/>
      </w:r>
      <w:r>
        <w:t>内蒙古汇银矿业有限公司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B4B65" w15:done="0"/>
  <w15:commentEx w15:paraId="51D46137" w15:done="0"/>
  <w15:commentEx w15:paraId="2077EDF5" w15:done="0"/>
  <w15:commentEx w15:paraId="78366B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169A9" w16cex:dateUtc="2021-11-06T12:52:00Z"/>
  <w16cex:commentExtensible w16cex:durableId="25316991" w16cex:dateUtc="2021-11-06T12:52:00Z"/>
  <w16cex:commentExtensible w16cex:durableId="25316B80" w16cex:dateUtc="2021-11-06T13:00:00Z"/>
  <w16cex:commentExtensible w16cex:durableId="25316AA4" w16cex:dateUtc="2021-11-06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B4B65" w16cid:durableId="253169A9"/>
  <w16cid:commentId w16cid:paraId="51D46137" w16cid:durableId="25316991"/>
  <w16cid:commentId w16cid:paraId="2077EDF5" w16cid:durableId="25316B80"/>
  <w16cid:commentId w16cid:paraId="78366B4C" w16cid:durableId="25316A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林 新波">
    <w15:presenceInfo w15:providerId="Windows Live" w15:userId="98703db9a5e8a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EF"/>
    <w:rsid w:val="002A6F34"/>
    <w:rsid w:val="0080044E"/>
    <w:rsid w:val="00923AEC"/>
    <w:rsid w:val="00963A3F"/>
    <w:rsid w:val="00AC4FEF"/>
    <w:rsid w:val="00BD0D2B"/>
    <w:rsid w:val="00E4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7988"/>
  <w15:chartTrackingRefBased/>
  <w15:docId w15:val="{74A2E039-AE8B-43B2-8F52-63C6E7AB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AC4FEF"/>
  </w:style>
  <w:style w:type="paragraph" w:customStyle="1" w:styleId="p2">
    <w:name w:val="p2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AC4FEF"/>
  </w:style>
  <w:style w:type="paragraph" w:customStyle="1" w:styleId="p4">
    <w:name w:val="p4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AC4FEF"/>
  </w:style>
  <w:style w:type="paragraph" w:customStyle="1" w:styleId="p11">
    <w:name w:val="p11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3">
    <w:name w:val="p13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4">
    <w:name w:val="p14"/>
    <w:basedOn w:val="a"/>
    <w:rsid w:val="00AC4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E47F1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47F1A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47F1A"/>
  </w:style>
  <w:style w:type="paragraph" w:styleId="a6">
    <w:name w:val="annotation subject"/>
    <w:basedOn w:val="a4"/>
    <w:next w:val="a4"/>
    <w:link w:val="a7"/>
    <w:uiPriority w:val="99"/>
    <w:semiHidden/>
    <w:unhideWhenUsed/>
    <w:rsid w:val="00E47F1A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47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3</cp:revision>
  <dcterms:created xsi:type="dcterms:W3CDTF">2021-09-25T14:42:00Z</dcterms:created>
  <dcterms:modified xsi:type="dcterms:W3CDTF">2021-11-06T14:15:00Z</dcterms:modified>
</cp:coreProperties>
</file>