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FB7FC" w14:textId="1FBD294B" w:rsidR="00CF54A7" w:rsidRPr="006E6FBC" w:rsidRDefault="00AA0582" w:rsidP="00AA0582">
      <w:pPr>
        <w:spacing w:line="360" w:lineRule="auto"/>
        <w:rPr>
          <w:rFonts w:ascii="宋体" w:eastAsia="宋体" w:hAnsi="宋体"/>
          <w:b/>
          <w:bCs/>
          <w:sz w:val="30"/>
          <w:szCs w:val="30"/>
        </w:rPr>
      </w:pPr>
      <w:r w:rsidRPr="006E6FBC">
        <w:rPr>
          <w:rFonts w:ascii="宋体" w:eastAsia="宋体" w:hAnsi="宋体" w:hint="eastAsia"/>
          <w:b/>
          <w:bCs/>
          <w:sz w:val="30"/>
          <w:szCs w:val="30"/>
        </w:rPr>
        <w:t>一、模型建立：对各国教育状况的评估</w:t>
      </w:r>
    </w:p>
    <w:p w14:paraId="5EB88FE4" w14:textId="388D6EA9" w:rsidR="00AA0582" w:rsidRPr="00AA0582" w:rsidRDefault="00AA0582" w:rsidP="00AA0582">
      <w:pPr>
        <w:spacing w:line="360" w:lineRule="auto"/>
        <w:rPr>
          <w:rFonts w:ascii="宋体" w:eastAsia="宋体" w:hAnsi="宋体" w:hint="eastAsia"/>
          <w:b/>
          <w:bCs/>
          <w:sz w:val="30"/>
          <w:szCs w:val="30"/>
        </w:rPr>
      </w:pPr>
      <w:r w:rsidRPr="00AA0582">
        <w:rPr>
          <w:rFonts w:ascii="宋体" w:eastAsia="宋体" w:hAnsi="宋体" w:hint="eastAsia"/>
          <w:b/>
          <w:bCs/>
          <w:sz w:val="30"/>
          <w:szCs w:val="30"/>
        </w:rPr>
        <w:t>1、Notations</w:t>
      </w:r>
    </w:p>
    <w:tbl>
      <w:tblPr>
        <w:tblStyle w:val="a3"/>
        <w:tblW w:w="8318" w:type="dxa"/>
        <w:tblLook w:val="04A0" w:firstRow="1" w:lastRow="0" w:firstColumn="1" w:lastColumn="0" w:noHBand="0" w:noVBand="1"/>
      </w:tblPr>
      <w:tblGrid>
        <w:gridCol w:w="4159"/>
        <w:gridCol w:w="4159"/>
      </w:tblGrid>
      <w:tr w:rsidR="00AA0582" w:rsidRPr="00AA0582" w14:paraId="191178F3" w14:textId="77777777" w:rsidTr="00AA0582">
        <w:trPr>
          <w:trHeight w:val="433"/>
        </w:trPr>
        <w:tc>
          <w:tcPr>
            <w:tcW w:w="4159" w:type="dxa"/>
          </w:tcPr>
          <w:p w14:paraId="2FDB48E2" w14:textId="0021EBA3"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hint="eastAsia"/>
                <w:sz w:val="24"/>
                <w:szCs w:val="24"/>
              </w:rPr>
              <w:t>S</w:t>
            </w:r>
            <w:r w:rsidRPr="00AA0582">
              <w:rPr>
                <w:rFonts w:ascii="宋体" w:eastAsia="宋体" w:hAnsi="宋体"/>
                <w:sz w:val="24"/>
                <w:szCs w:val="24"/>
              </w:rPr>
              <w:t>ymbol</w:t>
            </w:r>
          </w:p>
        </w:tc>
        <w:tc>
          <w:tcPr>
            <w:tcW w:w="4159" w:type="dxa"/>
          </w:tcPr>
          <w:p w14:paraId="0A87DC0C" w14:textId="69FBBEFD"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hint="eastAsia"/>
                <w:sz w:val="24"/>
                <w:szCs w:val="24"/>
              </w:rPr>
              <w:t>P</w:t>
            </w:r>
            <w:r w:rsidRPr="00AA0582">
              <w:rPr>
                <w:rFonts w:ascii="宋体" w:eastAsia="宋体" w:hAnsi="宋体"/>
                <w:sz w:val="24"/>
                <w:szCs w:val="24"/>
              </w:rPr>
              <w:t>arameter</w:t>
            </w:r>
          </w:p>
        </w:tc>
      </w:tr>
      <w:tr w:rsidR="00AA0582" w:rsidRPr="00AA0582" w14:paraId="1A505A44" w14:textId="77777777" w:rsidTr="00AA0582">
        <w:trPr>
          <w:trHeight w:val="866"/>
        </w:trPr>
        <w:tc>
          <w:tcPr>
            <w:tcW w:w="4159" w:type="dxa"/>
          </w:tcPr>
          <w:p w14:paraId="4E59CBC8" w14:textId="33B820E0"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hint="eastAsia"/>
                <w:sz w:val="24"/>
                <w:szCs w:val="24"/>
              </w:rPr>
              <w:t>P</w:t>
            </w:r>
            <w:r w:rsidRPr="00AA0582">
              <w:rPr>
                <w:rFonts w:ascii="宋体" w:eastAsia="宋体" w:hAnsi="宋体"/>
                <w:sz w:val="24"/>
                <w:szCs w:val="24"/>
              </w:rPr>
              <w:t>EG</w:t>
            </w:r>
          </w:p>
        </w:tc>
        <w:tc>
          <w:tcPr>
            <w:tcW w:w="4159" w:type="dxa"/>
          </w:tcPr>
          <w:p w14:paraId="65EB98C3" w14:textId="13CAB275"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sz w:val="24"/>
                <w:szCs w:val="24"/>
              </w:rPr>
              <w:t>The proportion of total expenditure on higher education to GDP</w:t>
            </w:r>
          </w:p>
        </w:tc>
      </w:tr>
      <w:tr w:rsidR="00AA0582" w:rsidRPr="00AA0582" w14:paraId="7781CB2C" w14:textId="77777777" w:rsidTr="00AA0582">
        <w:trPr>
          <w:trHeight w:val="855"/>
        </w:trPr>
        <w:tc>
          <w:tcPr>
            <w:tcW w:w="4159" w:type="dxa"/>
          </w:tcPr>
          <w:p w14:paraId="17A3ABFC" w14:textId="7520BB63"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hint="eastAsia"/>
                <w:sz w:val="24"/>
                <w:szCs w:val="24"/>
              </w:rPr>
              <w:t>R</w:t>
            </w:r>
            <w:r w:rsidRPr="00AA0582">
              <w:rPr>
                <w:rFonts w:ascii="宋体" w:eastAsia="宋体" w:hAnsi="宋体"/>
                <w:sz w:val="24"/>
                <w:szCs w:val="24"/>
              </w:rPr>
              <w:t>TS</w:t>
            </w:r>
          </w:p>
        </w:tc>
        <w:tc>
          <w:tcPr>
            <w:tcW w:w="4159" w:type="dxa"/>
          </w:tcPr>
          <w:p w14:paraId="7D09AEBF" w14:textId="6EA7294C"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sz w:val="24"/>
                <w:szCs w:val="24"/>
              </w:rPr>
              <w:t>The ratio of teachers to students in college education</w:t>
            </w:r>
          </w:p>
        </w:tc>
      </w:tr>
      <w:tr w:rsidR="00AA0582" w:rsidRPr="00AA0582" w14:paraId="6F9CB33C" w14:textId="77777777" w:rsidTr="00AA0582">
        <w:trPr>
          <w:trHeight w:val="866"/>
        </w:trPr>
        <w:tc>
          <w:tcPr>
            <w:tcW w:w="4159" w:type="dxa"/>
          </w:tcPr>
          <w:p w14:paraId="495C4581" w14:textId="2E71D4AD"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hint="eastAsia"/>
                <w:sz w:val="24"/>
                <w:szCs w:val="24"/>
              </w:rPr>
              <w:t>P</w:t>
            </w:r>
            <w:r w:rsidRPr="00AA0582">
              <w:rPr>
                <w:rFonts w:ascii="宋体" w:eastAsia="宋体" w:hAnsi="宋体"/>
                <w:sz w:val="24"/>
                <w:szCs w:val="24"/>
              </w:rPr>
              <w:t>IE</w:t>
            </w:r>
          </w:p>
        </w:tc>
        <w:tc>
          <w:tcPr>
            <w:tcW w:w="4159" w:type="dxa"/>
          </w:tcPr>
          <w:p w14:paraId="73E33CB4" w14:textId="2C5369A1"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sz w:val="24"/>
                <w:szCs w:val="24"/>
              </w:rPr>
              <w:t>P</w:t>
            </w:r>
            <w:r w:rsidRPr="00AA0582">
              <w:rPr>
                <w:rFonts w:ascii="宋体" w:eastAsia="宋体" w:hAnsi="宋体"/>
                <w:sz w:val="24"/>
                <w:szCs w:val="24"/>
              </w:rPr>
              <w:t>roportion of international students in higher education</w:t>
            </w:r>
          </w:p>
        </w:tc>
      </w:tr>
      <w:tr w:rsidR="00AA0582" w:rsidRPr="00AA0582" w14:paraId="2F6AC98B" w14:textId="77777777" w:rsidTr="00AA0582">
        <w:trPr>
          <w:trHeight w:val="866"/>
        </w:trPr>
        <w:tc>
          <w:tcPr>
            <w:tcW w:w="4159" w:type="dxa"/>
          </w:tcPr>
          <w:p w14:paraId="6994E9B9" w14:textId="29961A01"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hint="eastAsia"/>
                <w:sz w:val="24"/>
                <w:szCs w:val="24"/>
              </w:rPr>
              <w:t>P</w:t>
            </w:r>
            <w:r w:rsidRPr="00AA0582">
              <w:rPr>
                <w:rFonts w:ascii="宋体" w:eastAsia="宋体" w:hAnsi="宋体"/>
                <w:sz w:val="24"/>
                <w:szCs w:val="24"/>
              </w:rPr>
              <w:t>P</w:t>
            </w:r>
          </w:p>
        </w:tc>
        <w:tc>
          <w:tcPr>
            <w:tcW w:w="4159" w:type="dxa"/>
          </w:tcPr>
          <w:p w14:paraId="10D751D3" w14:textId="4EA18B08"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sz w:val="24"/>
                <w:szCs w:val="24"/>
              </w:rPr>
              <w:t>Proportion of the population with higher education</w:t>
            </w:r>
          </w:p>
        </w:tc>
      </w:tr>
      <w:tr w:rsidR="00AA0582" w:rsidRPr="00AA0582" w14:paraId="07374B6F" w14:textId="77777777" w:rsidTr="00AA0582">
        <w:trPr>
          <w:trHeight w:val="433"/>
        </w:trPr>
        <w:tc>
          <w:tcPr>
            <w:tcW w:w="4159" w:type="dxa"/>
          </w:tcPr>
          <w:p w14:paraId="2EC2B4AF" w14:textId="3FB3C58A"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hint="eastAsia"/>
                <w:sz w:val="24"/>
                <w:szCs w:val="24"/>
              </w:rPr>
              <w:t>P</w:t>
            </w:r>
            <w:r w:rsidRPr="00AA0582">
              <w:rPr>
                <w:rFonts w:ascii="宋体" w:eastAsia="宋体" w:hAnsi="宋体"/>
                <w:sz w:val="24"/>
                <w:szCs w:val="24"/>
              </w:rPr>
              <w:t>AR</w:t>
            </w:r>
          </w:p>
        </w:tc>
        <w:tc>
          <w:tcPr>
            <w:tcW w:w="4159" w:type="dxa"/>
          </w:tcPr>
          <w:p w14:paraId="7E9A7995" w14:textId="47A022D9" w:rsidR="00AA0582" w:rsidRPr="00AA0582" w:rsidRDefault="00AA0582" w:rsidP="00AA0582">
            <w:pPr>
              <w:spacing w:line="360" w:lineRule="auto"/>
              <w:rPr>
                <w:rFonts w:ascii="宋体" w:eastAsia="宋体" w:hAnsi="宋体" w:hint="eastAsia"/>
                <w:sz w:val="24"/>
                <w:szCs w:val="24"/>
              </w:rPr>
            </w:pPr>
            <w:r w:rsidRPr="00AA0582">
              <w:rPr>
                <w:rFonts w:ascii="宋体" w:eastAsia="宋体" w:hAnsi="宋体"/>
                <w:sz w:val="24"/>
                <w:szCs w:val="24"/>
              </w:rPr>
              <w:t>Private school admission rate</w:t>
            </w:r>
          </w:p>
        </w:tc>
      </w:tr>
      <w:tr w:rsidR="00AA0582" w:rsidRPr="00AA0582" w14:paraId="633A41FA" w14:textId="77777777" w:rsidTr="00AA0582">
        <w:trPr>
          <w:trHeight w:val="433"/>
        </w:trPr>
        <w:tc>
          <w:tcPr>
            <w:tcW w:w="4159" w:type="dxa"/>
          </w:tcPr>
          <w:p w14:paraId="6F559001" w14:textId="77777777" w:rsidR="00AA0582" w:rsidRPr="00AA0582" w:rsidRDefault="00AA0582" w:rsidP="00AA0582">
            <w:pPr>
              <w:spacing w:line="360" w:lineRule="auto"/>
              <w:rPr>
                <w:rFonts w:ascii="宋体" w:eastAsia="宋体" w:hAnsi="宋体" w:hint="eastAsia"/>
                <w:sz w:val="24"/>
                <w:szCs w:val="24"/>
              </w:rPr>
            </w:pPr>
          </w:p>
        </w:tc>
        <w:tc>
          <w:tcPr>
            <w:tcW w:w="4159" w:type="dxa"/>
          </w:tcPr>
          <w:p w14:paraId="4082566C" w14:textId="77777777" w:rsidR="00AA0582" w:rsidRPr="00AA0582" w:rsidRDefault="00AA0582" w:rsidP="00AA0582">
            <w:pPr>
              <w:spacing w:line="360" w:lineRule="auto"/>
              <w:rPr>
                <w:rFonts w:ascii="宋体" w:eastAsia="宋体" w:hAnsi="宋体" w:hint="eastAsia"/>
                <w:sz w:val="24"/>
                <w:szCs w:val="24"/>
              </w:rPr>
            </w:pPr>
          </w:p>
        </w:tc>
      </w:tr>
      <w:tr w:rsidR="00AA0582" w:rsidRPr="00AA0582" w14:paraId="663B292E" w14:textId="77777777" w:rsidTr="00AA0582">
        <w:trPr>
          <w:trHeight w:val="422"/>
        </w:trPr>
        <w:tc>
          <w:tcPr>
            <w:tcW w:w="4159" w:type="dxa"/>
          </w:tcPr>
          <w:p w14:paraId="4D01FE5E" w14:textId="77777777" w:rsidR="00AA0582" w:rsidRPr="00AA0582" w:rsidRDefault="00AA0582" w:rsidP="00AA0582">
            <w:pPr>
              <w:spacing w:line="360" w:lineRule="auto"/>
              <w:rPr>
                <w:rFonts w:ascii="宋体" w:eastAsia="宋体" w:hAnsi="宋体" w:hint="eastAsia"/>
                <w:sz w:val="24"/>
                <w:szCs w:val="24"/>
              </w:rPr>
            </w:pPr>
          </w:p>
        </w:tc>
        <w:tc>
          <w:tcPr>
            <w:tcW w:w="4159" w:type="dxa"/>
          </w:tcPr>
          <w:p w14:paraId="6088413A" w14:textId="77777777" w:rsidR="00AA0582" w:rsidRPr="00AA0582" w:rsidRDefault="00AA0582" w:rsidP="00AA0582">
            <w:pPr>
              <w:spacing w:line="360" w:lineRule="auto"/>
              <w:rPr>
                <w:rFonts w:ascii="宋体" w:eastAsia="宋体" w:hAnsi="宋体" w:hint="eastAsia"/>
                <w:sz w:val="24"/>
                <w:szCs w:val="24"/>
              </w:rPr>
            </w:pPr>
          </w:p>
        </w:tc>
      </w:tr>
    </w:tbl>
    <w:p w14:paraId="63BF2DAF" w14:textId="6EAE142D" w:rsidR="00AA0582" w:rsidRPr="00AA0582" w:rsidRDefault="00AA0582" w:rsidP="00AA0582">
      <w:pPr>
        <w:spacing w:line="360" w:lineRule="auto"/>
        <w:rPr>
          <w:rFonts w:ascii="宋体" w:eastAsia="宋体" w:hAnsi="宋体"/>
          <w:sz w:val="24"/>
          <w:szCs w:val="24"/>
        </w:rPr>
      </w:pPr>
    </w:p>
    <w:p w14:paraId="2748E268" w14:textId="741C5E33" w:rsidR="00AA0582" w:rsidRPr="00271B17" w:rsidRDefault="00271B17" w:rsidP="00AA0582">
      <w:pPr>
        <w:spacing w:line="360" w:lineRule="auto"/>
        <w:rPr>
          <w:rFonts w:ascii="宋体" w:eastAsia="宋体" w:hAnsi="宋体"/>
          <w:b/>
          <w:bCs/>
          <w:sz w:val="30"/>
          <w:szCs w:val="30"/>
        </w:rPr>
      </w:pPr>
      <w:r w:rsidRPr="00271B17">
        <w:rPr>
          <w:rFonts w:ascii="宋体" w:eastAsia="宋体" w:hAnsi="宋体" w:hint="eastAsia"/>
          <w:b/>
          <w:bCs/>
          <w:sz w:val="30"/>
          <w:szCs w:val="30"/>
        </w:rPr>
        <w:t>2、问题阐述</w:t>
      </w:r>
    </w:p>
    <w:p w14:paraId="6F126F27" w14:textId="77777777" w:rsidR="00271B17" w:rsidRDefault="00271B17" w:rsidP="00271B17">
      <w:pPr>
        <w:spacing w:line="360" w:lineRule="auto"/>
        <w:ind w:firstLineChars="200" w:firstLine="480"/>
        <w:rPr>
          <w:rFonts w:ascii="宋体" w:eastAsia="宋体" w:hAnsi="宋体"/>
          <w:sz w:val="24"/>
          <w:szCs w:val="24"/>
        </w:rPr>
      </w:pPr>
      <w:r>
        <w:rPr>
          <w:rFonts w:ascii="宋体" w:eastAsia="宋体" w:hAnsi="宋体" w:hint="eastAsia"/>
          <w:sz w:val="24"/>
          <w:szCs w:val="24"/>
        </w:rPr>
        <w:t>该问题旨在开发并验证一个或一套模型，使利用该模型的人可以较为方便准确的评估任何国家的高等教育的健康状况，并将该模型应用到几个国家上去评估这些国家的高等教育体系。</w:t>
      </w:r>
    </w:p>
    <w:p w14:paraId="6BFD3949" w14:textId="502602AB" w:rsidR="00271B17" w:rsidRDefault="00271B17" w:rsidP="00271B17">
      <w:pPr>
        <w:spacing w:line="360" w:lineRule="auto"/>
        <w:ind w:firstLineChars="200" w:firstLine="480"/>
        <w:rPr>
          <w:rFonts w:ascii="宋体" w:eastAsia="宋体" w:hAnsi="宋体"/>
          <w:sz w:val="24"/>
          <w:szCs w:val="24"/>
        </w:rPr>
      </w:pPr>
      <w:r>
        <w:rPr>
          <w:rFonts w:ascii="宋体" w:eastAsia="宋体" w:hAnsi="宋体" w:hint="eastAsia"/>
          <w:sz w:val="24"/>
          <w:szCs w:val="24"/>
        </w:rPr>
        <w:t>首先我们注意到，我们建立的系统的主要评价目标是该国教育系统是否健康和可持续，而非它此时拥有多么辉煌的研究成果和良好的教育资源，丰硕的研究成果和良好的教育资源固然重要，但并不是一个教育系统足以健康和可持续发展的充要条件。我们认为一个高等教育系统能够健康和可持续性发展是多方面作用的结果，其显然是灰色的，所以在对其作出评价时，我们应该尽量选择相对有代表性的评价指标。而该模型被要求适用于任何国家和地区，则选取的标准应尽量排除地区性因素的干扰，从一个更为宏观的角度去把握问题。</w:t>
      </w:r>
    </w:p>
    <w:p w14:paraId="5D412892" w14:textId="1D907DD9" w:rsidR="00271B17" w:rsidRPr="00AA0582" w:rsidRDefault="00271B17" w:rsidP="00271B17">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就现在社会而言，我们并没有一个相对统一的标准去刻画一个绝对健康和可</w:t>
      </w:r>
      <w:r>
        <w:rPr>
          <w:rFonts w:ascii="宋体" w:eastAsia="宋体" w:hAnsi="宋体" w:hint="eastAsia"/>
          <w:sz w:val="24"/>
          <w:szCs w:val="24"/>
        </w:rPr>
        <w:lastRenderedPageBreak/>
        <w:t>持续的教育系统，只能在已有的数据下，以现实为标准去寻找相对更好的高等教育系统，这就</w:t>
      </w:r>
      <w:r w:rsidR="005B745C">
        <w:rPr>
          <w:rFonts w:ascii="宋体" w:eastAsia="宋体" w:hAnsi="宋体" w:hint="eastAsia"/>
          <w:sz w:val="24"/>
          <w:szCs w:val="24"/>
        </w:rPr>
        <w:t>导致</w:t>
      </w:r>
      <w:r>
        <w:rPr>
          <w:rFonts w:ascii="宋体" w:eastAsia="宋体" w:hAnsi="宋体" w:hint="eastAsia"/>
          <w:sz w:val="24"/>
          <w:szCs w:val="24"/>
        </w:rPr>
        <w:t>我们评判时标准是以参与评判的国家</w:t>
      </w:r>
      <w:r w:rsidR="005B745C">
        <w:rPr>
          <w:rFonts w:ascii="宋体" w:eastAsia="宋体" w:hAnsi="宋体" w:hint="eastAsia"/>
          <w:sz w:val="24"/>
          <w:szCs w:val="24"/>
        </w:rPr>
        <w:t>之间相互比较得出的。而且在未经验证之前，我们很难得知哪一个国家是有着健康的、可持续的高等教育系统，所以我们放弃采用深度学习或者机器学习的方法。因为我们缺少切实可靠的数据样本对模型进行训练。在综合以上问题特征后，我们决定采用T</w:t>
      </w:r>
      <w:r w:rsidR="005B745C">
        <w:rPr>
          <w:rFonts w:ascii="宋体" w:eastAsia="宋体" w:hAnsi="宋体"/>
          <w:sz w:val="24"/>
          <w:szCs w:val="24"/>
        </w:rPr>
        <w:t>OPSIS</w:t>
      </w:r>
      <w:r w:rsidR="005B745C">
        <w:rPr>
          <w:rFonts w:ascii="宋体" w:eastAsia="宋体" w:hAnsi="宋体" w:hint="eastAsia"/>
          <w:sz w:val="24"/>
          <w:szCs w:val="24"/>
        </w:rPr>
        <w:t>打分模型对问题进行建模。</w:t>
      </w:r>
    </w:p>
    <w:p w14:paraId="4B98CC4A" w14:textId="2F287AFC" w:rsidR="00AA0582" w:rsidRPr="00AA0582" w:rsidRDefault="00271B17" w:rsidP="00AA0582">
      <w:pPr>
        <w:spacing w:line="360" w:lineRule="auto"/>
        <w:rPr>
          <w:rFonts w:ascii="宋体" w:eastAsia="宋体" w:hAnsi="宋体" w:hint="eastAsia"/>
          <w:b/>
          <w:bCs/>
          <w:sz w:val="30"/>
          <w:szCs w:val="30"/>
        </w:rPr>
      </w:pPr>
      <w:r>
        <w:rPr>
          <w:rFonts w:ascii="宋体" w:eastAsia="宋体" w:hAnsi="宋体"/>
          <w:b/>
          <w:bCs/>
          <w:sz w:val="30"/>
          <w:szCs w:val="30"/>
        </w:rPr>
        <w:t>3</w:t>
      </w:r>
      <w:r w:rsidR="00AA0582" w:rsidRPr="00AA0582">
        <w:rPr>
          <w:rFonts w:ascii="宋体" w:eastAsia="宋体" w:hAnsi="宋体" w:hint="eastAsia"/>
          <w:b/>
          <w:bCs/>
          <w:sz w:val="30"/>
          <w:szCs w:val="30"/>
        </w:rPr>
        <w:t>、Paramete</w:t>
      </w:r>
      <w:r w:rsidR="00AA0582" w:rsidRPr="00AA0582">
        <w:rPr>
          <w:rFonts w:ascii="宋体" w:eastAsia="宋体" w:hAnsi="宋体"/>
          <w:b/>
          <w:bCs/>
          <w:sz w:val="30"/>
          <w:szCs w:val="30"/>
        </w:rPr>
        <w:t xml:space="preserve"> selecting</w:t>
      </w:r>
    </w:p>
    <w:p w14:paraId="60D20710" w14:textId="716DCFC0" w:rsidR="00AA0582" w:rsidRDefault="00AA0582" w:rsidP="00AA0582">
      <w:pPr>
        <w:spacing w:line="360" w:lineRule="auto"/>
        <w:rPr>
          <w:rFonts w:ascii="宋体" w:eastAsia="宋体" w:hAnsi="宋体"/>
          <w:sz w:val="24"/>
          <w:szCs w:val="24"/>
        </w:rPr>
      </w:pPr>
      <w:r w:rsidRPr="00AA0582">
        <w:rPr>
          <w:rFonts w:ascii="宋体" w:eastAsia="宋体" w:hAnsi="宋体" w:hint="eastAsia"/>
          <w:sz w:val="24"/>
          <w:szCs w:val="24"/>
        </w:rPr>
        <w:t>① P</w:t>
      </w:r>
      <w:r w:rsidRPr="00AA0582">
        <w:rPr>
          <w:rFonts w:ascii="宋体" w:eastAsia="宋体" w:hAnsi="宋体"/>
          <w:sz w:val="24"/>
          <w:szCs w:val="24"/>
        </w:rPr>
        <w:t>EG</w:t>
      </w:r>
      <w:r w:rsidRPr="00AA0582">
        <w:rPr>
          <w:rFonts w:ascii="宋体" w:eastAsia="宋体" w:hAnsi="宋体" w:hint="eastAsia"/>
          <w:sz w:val="24"/>
          <w:szCs w:val="24"/>
        </w:rPr>
        <w:t>：通过“高校教育总经费占国内生产总值的比例”这一指标，我们可以看出当地政府对于高等教育的投入规模与投入力度，但同时我们也注意到，对于一个国家而言，该指标并不是越大</w:t>
      </w:r>
      <w:r>
        <w:rPr>
          <w:rFonts w:ascii="宋体" w:eastAsia="宋体" w:hAnsi="宋体" w:hint="eastAsia"/>
          <w:sz w:val="24"/>
          <w:szCs w:val="24"/>
        </w:rPr>
        <w:t>越好，恰恰相反，在教育经费充足的情况下，该指标越低，则越能够说明私立教育的繁荣，根据联合国教科文组织的解释，</w:t>
      </w:r>
      <w:r w:rsidRPr="00AA0582">
        <w:rPr>
          <w:rFonts w:ascii="宋体" w:eastAsia="宋体" w:hAnsi="宋体"/>
          <w:sz w:val="24"/>
          <w:szCs w:val="24"/>
        </w:rPr>
        <w:t>’</w:t>
      </w:r>
      <w:r w:rsidRPr="00AA0582">
        <w:rPr>
          <w:rFonts w:ascii="宋体" w:eastAsia="宋体" w:hAnsi="宋体"/>
          <w:sz w:val="24"/>
          <w:szCs w:val="24"/>
        </w:rPr>
        <w:t>This indicator should not be considered a unit cost, since it only includes what the government spends, and not total spending per student (including household contributions). Since it is a simple division of total government expenditure by the number of students at a given level, whether they attend public or private institutions, in countries where private provision and/or funding of education is higher the average amount per student will appear lower</w:t>
      </w:r>
      <w:r>
        <w:rPr>
          <w:rFonts w:ascii="宋体" w:eastAsia="宋体" w:hAnsi="宋体"/>
          <w:sz w:val="24"/>
          <w:szCs w:val="24"/>
        </w:rPr>
        <w:t>’</w:t>
      </w:r>
      <w:r w:rsidRPr="00AA0582">
        <w:rPr>
          <w:rFonts w:ascii="宋体" w:eastAsia="宋体" w:hAnsi="宋体"/>
          <w:sz w:val="24"/>
          <w:szCs w:val="24"/>
        </w:rPr>
        <w:t>.</w:t>
      </w:r>
    </w:p>
    <w:p w14:paraId="1CC7EFF7" w14:textId="4F9075DA" w:rsidR="00AA0582" w:rsidRDefault="00AA0582" w:rsidP="00AA0582">
      <w:pPr>
        <w:spacing w:before="240" w:line="360" w:lineRule="auto"/>
        <w:rPr>
          <w:rFonts w:ascii="宋体" w:eastAsia="宋体" w:hAnsi="宋体"/>
          <w:sz w:val="24"/>
          <w:szCs w:val="24"/>
        </w:rPr>
      </w:pPr>
      <w:r>
        <w:rPr>
          <w:rFonts w:ascii="宋体" w:eastAsia="宋体" w:hAnsi="宋体" w:hint="eastAsia"/>
          <w:sz w:val="24"/>
          <w:szCs w:val="24"/>
        </w:rPr>
        <w:t xml:space="preserve">② </w:t>
      </w:r>
      <w:r>
        <w:rPr>
          <w:rFonts w:ascii="宋体" w:eastAsia="宋体" w:hAnsi="宋体"/>
          <w:sz w:val="24"/>
          <w:szCs w:val="24"/>
        </w:rPr>
        <w:t>RTS</w:t>
      </w:r>
      <w:r>
        <w:rPr>
          <w:rFonts w:ascii="宋体" w:eastAsia="宋体" w:hAnsi="宋体" w:hint="eastAsia"/>
          <w:sz w:val="24"/>
          <w:szCs w:val="24"/>
        </w:rPr>
        <w:t>：该参数代表着男女性在高等教育体系中的是否享有均等的机会和权力。在更早的年代里，男性受教育的机会往往要高于女性，而这一方面是对女性受教育权利的侵犯，另一方面这种现象同样浪费了相当一部分社会资源，受教育人口不足甚至使得人类社会进程相对缓慢。而在男女都能够充分享受教育并且从事高等教育和科研工作的前提下，该国家高等教育的可持续性和健康性都能得到良好的保障。</w:t>
      </w:r>
    </w:p>
    <w:p w14:paraId="740602E2" w14:textId="133715CE" w:rsidR="00AA0582" w:rsidRDefault="00AA0582" w:rsidP="00AA0582">
      <w:pPr>
        <w:spacing w:before="240" w:line="360" w:lineRule="auto"/>
        <w:rPr>
          <w:rFonts w:ascii="宋体" w:eastAsia="宋体" w:hAnsi="宋体"/>
          <w:sz w:val="24"/>
          <w:szCs w:val="24"/>
        </w:rPr>
      </w:pPr>
      <w:r>
        <w:rPr>
          <w:rFonts w:ascii="宋体" w:eastAsia="宋体" w:hAnsi="宋体" w:hint="eastAsia"/>
          <w:sz w:val="24"/>
          <w:szCs w:val="24"/>
        </w:rPr>
        <w:t xml:space="preserve">③ </w:t>
      </w:r>
      <w:r>
        <w:rPr>
          <w:rFonts w:ascii="宋体" w:eastAsia="宋体" w:hAnsi="宋体"/>
          <w:sz w:val="24"/>
          <w:szCs w:val="24"/>
        </w:rPr>
        <w:t>PIE</w:t>
      </w:r>
      <w:r>
        <w:rPr>
          <w:rFonts w:ascii="宋体" w:eastAsia="宋体" w:hAnsi="宋体" w:hint="eastAsia"/>
          <w:sz w:val="24"/>
          <w:szCs w:val="24"/>
        </w:rPr>
        <w:t>：高等院校中海外留学生的比例可以充分反映该国家高等教育的强劲实力，只有相对优质的教育资源才能够吸引到更多留学生来到离家乡很远的地方求学。而海外留学生数量在另一方面可以表明该国家的高等教育在世界范围内合作</w:t>
      </w:r>
      <w:r>
        <w:rPr>
          <w:rFonts w:ascii="宋体" w:eastAsia="宋体" w:hAnsi="宋体" w:hint="eastAsia"/>
          <w:sz w:val="24"/>
          <w:szCs w:val="24"/>
        </w:rPr>
        <w:lastRenderedPageBreak/>
        <w:t>和联系的紧密性。我们可以预见到，高等教育领域在世界范围内都有着相当影响力的国家，显而易见的拥有更好的教育资源和世界格局，在培养海外学生的同时也可以吸纳新鲜的血液来充实自身，该参数同样可以代表该国高等教育的可持续与健康性。</w:t>
      </w:r>
    </w:p>
    <w:p w14:paraId="434C2DC4" w14:textId="6B70B823" w:rsidR="00AA0582" w:rsidRDefault="00AA0582" w:rsidP="00AA0582">
      <w:pPr>
        <w:spacing w:before="240" w:line="360" w:lineRule="auto"/>
        <w:rPr>
          <w:rFonts w:ascii="宋体" w:eastAsia="宋体" w:hAnsi="宋体"/>
          <w:sz w:val="24"/>
          <w:szCs w:val="24"/>
        </w:rPr>
      </w:pPr>
      <w:r>
        <w:rPr>
          <w:rFonts w:ascii="宋体" w:eastAsia="宋体" w:hAnsi="宋体" w:hint="eastAsia"/>
          <w:sz w:val="24"/>
          <w:szCs w:val="24"/>
        </w:rPr>
        <w:t xml:space="preserve">④ </w:t>
      </w:r>
      <w:r>
        <w:rPr>
          <w:rFonts w:ascii="宋体" w:eastAsia="宋体" w:hAnsi="宋体"/>
          <w:sz w:val="24"/>
          <w:szCs w:val="24"/>
        </w:rPr>
        <w:t>PP</w:t>
      </w:r>
      <w:r>
        <w:rPr>
          <w:rFonts w:ascii="宋体" w:eastAsia="宋体" w:hAnsi="宋体" w:hint="eastAsia"/>
          <w:sz w:val="24"/>
          <w:szCs w:val="24"/>
        </w:rPr>
        <w:t>：受过高等教育的的人口比例这一参数同样也可以成为该模型的一个重要指标。对于国家而言，拥有大量的受过高等教育的人口，不仅可以体现出该国拥有扎实的基础教育，同样也可以表明该国拥有较多的高等院校和师资力量，同样也可以侧面反映出该国的高等教育投资力度，是对于一个国家高等教育综合实力一个良好的体现。</w:t>
      </w:r>
    </w:p>
    <w:p w14:paraId="5E5513B2" w14:textId="13115476" w:rsidR="00AA0582" w:rsidRDefault="00AA0582" w:rsidP="00AA0582">
      <w:pPr>
        <w:spacing w:before="240" w:line="360" w:lineRule="auto"/>
        <w:rPr>
          <w:rFonts w:ascii="宋体" w:eastAsia="宋体" w:hAnsi="宋体"/>
          <w:sz w:val="24"/>
          <w:szCs w:val="24"/>
        </w:rPr>
      </w:pPr>
      <w:r>
        <w:rPr>
          <w:rFonts w:ascii="宋体" w:eastAsia="宋体" w:hAnsi="宋体" w:hint="eastAsia"/>
          <w:sz w:val="24"/>
          <w:szCs w:val="24"/>
        </w:rPr>
        <w:t>⑤ P</w:t>
      </w:r>
      <w:r>
        <w:rPr>
          <w:rFonts w:ascii="宋体" w:eastAsia="宋体" w:hAnsi="宋体"/>
          <w:sz w:val="24"/>
          <w:szCs w:val="24"/>
        </w:rPr>
        <w:t>AR</w:t>
      </w:r>
      <w:r>
        <w:rPr>
          <w:rFonts w:ascii="宋体" w:eastAsia="宋体" w:hAnsi="宋体" w:hint="eastAsia"/>
          <w:sz w:val="24"/>
          <w:szCs w:val="24"/>
        </w:rPr>
        <w:t>：私立学校入学率能够在一定程度上反映该国私立教育的发达程度。私立教育意味着定位更加精准的，更加市场化，更加有竞争性的精英教育。大力发展私立教育是目前许多发展中国家正在努力践行的政策，同P</w:t>
      </w:r>
      <w:r>
        <w:rPr>
          <w:rFonts w:ascii="宋体" w:eastAsia="宋体" w:hAnsi="宋体"/>
          <w:sz w:val="24"/>
          <w:szCs w:val="24"/>
        </w:rPr>
        <w:t>EG</w:t>
      </w:r>
      <w:r>
        <w:rPr>
          <w:rFonts w:ascii="宋体" w:eastAsia="宋体" w:hAnsi="宋体" w:hint="eastAsia"/>
          <w:sz w:val="24"/>
          <w:szCs w:val="24"/>
        </w:rPr>
        <w:t>相反的是，P</w:t>
      </w:r>
      <w:r>
        <w:rPr>
          <w:rFonts w:ascii="宋体" w:eastAsia="宋体" w:hAnsi="宋体"/>
          <w:sz w:val="24"/>
          <w:szCs w:val="24"/>
        </w:rPr>
        <w:t>AR</w:t>
      </w:r>
      <w:r>
        <w:rPr>
          <w:rFonts w:ascii="宋体" w:eastAsia="宋体" w:hAnsi="宋体" w:hint="eastAsia"/>
          <w:sz w:val="24"/>
          <w:szCs w:val="24"/>
        </w:rPr>
        <w:t>代表了高校教育中的私人投资，在教育较为发达的地区，其一直拥有着较高的比例。</w:t>
      </w:r>
    </w:p>
    <w:p w14:paraId="151AAA6E" w14:textId="3B5C6B58" w:rsidR="00271B17" w:rsidRPr="00271B17" w:rsidRDefault="00271B17" w:rsidP="00AA0582">
      <w:pPr>
        <w:spacing w:before="240" w:line="360" w:lineRule="auto"/>
        <w:rPr>
          <w:rFonts w:ascii="宋体" w:eastAsia="宋体" w:hAnsi="宋体" w:hint="eastAsia"/>
          <w:b/>
          <w:bCs/>
          <w:sz w:val="30"/>
          <w:szCs w:val="30"/>
        </w:rPr>
      </w:pPr>
      <w:r>
        <w:rPr>
          <w:rFonts w:ascii="宋体" w:eastAsia="宋体" w:hAnsi="宋体"/>
          <w:b/>
          <w:bCs/>
          <w:sz w:val="30"/>
          <w:szCs w:val="30"/>
        </w:rPr>
        <w:t>4</w:t>
      </w:r>
      <w:r w:rsidR="00AA0582" w:rsidRPr="00271B17">
        <w:rPr>
          <w:rFonts w:ascii="宋体" w:eastAsia="宋体" w:hAnsi="宋体" w:hint="eastAsia"/>
          <w:b/>
          <w:bCs/>
          <w:sz w:val="30"/>
          <w:szCs w:val="30"/>
        </w:rPr>
        <w:t>、模型建立</w:t>
      </w:r>
    </w:p>
    <w:p w14:paraId="6D5EE5A5" w14:textId="781CDE5F" w:rsidR="005C60CE" w:rsidRDefault="005C60CE" w:rsidP="005C60CE">
      <w:pPr>
        <w:spacing w:before="240" w:line="360" w:lineRule="auto"/>
        <w:ind w:firstLineChars="200" w:firstLine="480"/>
        <w:rPr>
          <w:rFonts w:ascii="宋体" w:eastAsia="宋体" w:hAnsi="宋体" w:hint="eastAsia"/>
          <w:sz w:val="24"/>
          <w:szCs w:val="24"/>
        </w:rPr>
      </w:pPr>
      <w:r>
        <w:rPr>
          <w:rFonts w:ascii="宋体" w:eastAsia="宋体" w:hAnsi="宋体" w:hint="eastAsia"/>
          <w:sz w:val="24"/>
          <w:szCs w:val="24"/>
        </w:rPr>
        <w:t>在考察我们我们所拥有的数据后，我们决定采用T</w:t>
      </w:r>
      <w:r>
        <w:rPr>
          <w:rFonts w:ascii="宋体" w:eastAsia="宋体" w:hAnsi="宋体"/>
          <w:sz w:val="24"/>
          <w:szCs w:val="24"/>
        </w:rPr>
        <w:t>OPSIS</w:t>
      </w:r>
      <w:r>
        <w:rPr>
          <w:rFonts w:ascii="宋体" w:eastAsia="宋体" w:hAnsi="宋体" w:hint="eastAsia"/>
          <w:sz w:val="24"/>
          <w:szCs w:val="24"/>
        </w:rPr>
        <w:t>模型对各项指标进行打分，最后得到一个统一的分数。</w:t>
      </w:r>
    </w:p>
    <w:p w14:paraId="005564D5" w14:textId="2AD7C22A" w:rsidR="00AA0582" w:rsidRDefault="00271B17" w:rsidP="00AA0582">
      <w:pPr>
        <w:spacing w:before="240" w:line="360" w:lineRule="auto"/>
        <w:rPr>
          <w:rFonts w:ascii="宋体" w:eastAsia="宋体" w:hAnsi="宋体"/>
          <w:sz w:val="24"/>
          <w:szCs w:val="24"/>
        </w:rPr>
      </w:pPr>
      <w:r>
        <w:rPr>
          <w:rFonts w:ascii="宋体" w:eastAsia="宋体" w:hAnsi="宋体" w:hint="eastAsia"/>
          <w:sz w:val="24"/>
          <w:szCs w:val="24"/>
        </w:rPr>
        <w:t>②</w:t>
      </w:r>
      <w:r w:rsidR="00AA0582">
        <w:rPr>
          <w:rFonts w:ascii="宋体" w:eastAsia="宋体" w:hAnsi="宋体" w:hint="eastAsia"/>
          <w:sz w:val="24"/>
          <w:szCs w:val="24"/>
        </w:rPr>
        <w:t xml:space="preserve"> 参</w:t>
      </w:r>
      <w:r w:rsidR="005C60CE">
        <w:rPr>
          <w:rFonts w:ascii="宋体" w:eastAsia="宋体" w:hAnsi="宋体" w:hint="eastAsia"/>
          <w:sz w:val="24"/>
          <w:szCs w:val="24"/>
        </w:rPr>
        <w:t>数</w:t>
      </w:r>
      <w:r w:rsidR="00AA0582">
        <w:rPr>
          <w:rFonts w:ascii="宋体" w:eastAsia="宋体" w:hAnsi="宋体" w:hint="eastAsia"/>
          <w:sz w:val="24"/>
          <w:szCs w:val="24"/>
        </w:rPr>
        <w:t>分类。</w:t>
      </w:r>
    </w:p>
    <w:p w14:paraId="66F3F6AD" w14:textId="0BF2275D" w:rsidR="005C60CE" w:rsidRDefault="005C60CE" w:rsidP="005C60CE">
      <w:pPr>
        <w:spacing w:before="240" w:line="360" w:lineRule="auto"/>
        <w:ind w:firstLineChars="200" w:firstLine="480"/>
        <w:rPr>
          <w:rFonts w:ascii="宋体" w:eastAsia="宋体" w:hAnsi="宋体"/>
          <w:sz w:val="24"/>
          <w:szCs w:val="24"/>
        </w:rPr>
      </w:pPr>
      <w:r>
        <w:rPr>
          <w:rFonts w:ascii="宋体" w:eastAsia="宋体" w:hAnsi="宋体" w:hint="eastAsia"/>
          <w:sz w:val="24"/>
          <w:szCs w:val="24"/>
        </w:rPr>
        <w:t>由以上分析可知，</w:t>
      </w:r>
      <w:r w:rsidR="00AA0582">
        <w:rPr>
          <w:rFonts w:ascii="宋体" w:eastAsia="宋体" w:hAnsi="宋体" w:hint="eastAsia"/>
          <w:sz w:val="24"/>
          <w:szCs w:val="24"/>
        </w:rPr>
        <w:t>对于P</w:t>
      </w:r>
      <w:r w:rsidR="00AA0582">
        <w:rPr>
          <w:rFonts w:ascii="宋体" w:eastAsia="宋体" w:hAnsi="宋体"/>
          <w:sz w:val="24"/>
          <w:szCs w:val="24"/>
        </w:rPr>
        <w:t>EG</w:t>
      </w:r>
      <w:r w:rsidR="00AA0582">
        <w:rPr>
          <w:rFonts w:ascii="宋体" w:eastAsia="宋体" w:hAnsi="宋体" w:hint="eastAsia"/>
          <w:sz w:val="24"/>
          <w:szCs w:val="24"/>
        </w:rPr>
        <w:t>而言，其值越</w:t>
      </w:r>
      <w:r>
        <w:rPr>
          <w:rFonts w:ascii="宋体" w:eastAsia="宋体" w:hAnsi="宋体" w:hint="eastAsia"/>
          <w:sz w:val="24"/>
          <w:szCs w:val="24"/>
        </w:rPr>
        <w:t>小</w:t>
      </w:r>
      <w:r w:rsidR="00AA0582">
        <w:rPr>
          <w:rFonts w:ascii="宋体" w:eastAsia="宋体" w:hAnsi="宋体" w:hint="eastAsia"/>
          <w:sz w:val="24"/>
          <w:szCs w:val="24"/>
        </w:rPr>
        <w:t>，则意味着该国高等教育发展的越好，则称其为一个极小型</w:t>
      </w:r>
      <w:r>
        <w:rPr>
          <w:rFonts w:ascii="宋体" w:eastAsia="宋体" w:hAnsi="宋体" w:hint="eastAsia"/>
          <w:sz w:val="24"/>
          <w:szCs w:val="24"/>
        </w:rPr>
        <w:t>指标，其最优解为数据中的最小值。</w:t>
      </w:r>
      <w:r w:rsidR="00AA0582">
        <w:rPr>
          <w:rFonts w:ascii="宋体" w:eastAsia="宋体" w:hAnsi="宋体" w:hint="eastAsia"/>
          <w:sz w:val="24"/>
          <w:szCs w:val="24"/>
        </w:rPr>
        <w:t>而R</w:t>
      </w:r>
      <w:r w:rsidR="00AA0582">
        <w:rPr>
          <w:rFonts w:ascii="宋体" w:eastAsia="宋体" w:hAnsi="宋体"/>
          <w:sz w:val="24"/>
          <w:szCs w:val="24"/>
        </w:rPr>
        <w:t>TS</w:t>
      </w:r>
      <w:r w:rsidR="00AA0582">
        <w:rPr>
          <w:rFonts w:ascii="宋体" w:eastAsia="宋体" w:hAnsi="宋体" w:hint="eastAsia"/>
          <w:sz w:val="24"/>
          <w:szCs w:val="24"/>
        </w:rPr>
        <w:t>与P</w:t>
      </w:r>
      <w:r w:rsidR="00AA0582">
        <w:rPr>
          <w:rFonts w:ascii="宋体" w:eastAsia="宋体" w:hAnsi="宋体"/>
          <w:sz w:val="24"/>
          <w:szCs w:val="24"/>
        </w:rPr>
        <w:t>IE</w:t>
      </w:r>
      <w:r>
        <w:rPr>
          <w:rFonts w:ascii="宋体" w:eastAsia="宋体" w:hAnsi="宋体" w:hint="eastAsia"/>
          <w:sz w:val="24"/>
          <w:szCs w:val="24"/>
        </w:rPr>
        <w:t>则需要稳定在一定的范围内，故称其为区间型指标。对于P</w:t>
      </w:r>
      <w:r>
        <w:rPr>
          <w:rFonts w:ascii="宋体" w:eastAsia="宋体" w:hAnsi="宋体"/>
          <w:sz w:val="24"/>
          <w:szCs w:val="24"/>
        </w:rPr>
        <w:t>P</w:t>
      </w:r>
      <w:r>
        <w:rPr>
          <w:rFonts w:ascii="宋体" w:eastAsia="宋体" w:hAnsi="宋体" w:hint="eastAsia"/>
          <w:sz w:val="24"/>
          <w:szCs w:val="24"/>
        </w:rPr>
        <w:t>而P</w:t>
      </w:r>
      <w:r>
        <w:rPr>
          <w:rFonts w:ascii="宋体" w:eastAsia="宋体" w:hAnsi="宋体"/>
          <w:sz w:val="24"/>
          <w:szCs w:val="24"/>
        </w:rPr>
        <w:t>AR</w:t>
      </w:r>
      <w:r>
        <w:rPr>
          <w:rFonts w:ascii="宋体" w:eastAsia="宋体" w:hAnsi="宋体" w:hint="eastAsia"/>
          <w:sz w:val="24"/>
          <w:szCs w:val="24"/>
        </w:rPr>
        <w:t>而言，其值越大，则代表该地区高等教育发展更好，则称其为一个极大型指标。</w:t>
      </w:r>
    </w:p>
    <w:tbl>
      <w:tblPr>
        <w:tblStyle w:val="a3"/>
        <w:tblW w:w="0" w:type="auto"/>
        <w:tblLook w:val="04A0" w:firstRow="1" w:lastRow="0" w:firstColumn="1" w:lastColumn="0" w:noHBand="0" w:noVBand="1"/>
      </w:tblPr>
      <w:tblGrid>
        <w:gridCol w:w="4148"/>
        <w:gridCol w:w="4148"/>
      </w:tblGrid>
      <w:tr w:rsidR="005C60CE" w14:paraId="04D590C4" w14:textId="77777777" w:rsidTr="005C60CE">
        <w:tc>
          <w:tcPr>
            <w:tcW w:w="4148" w:type="dxa"/>
          </w:tcPr>
          <w:p w14:paraId="2BD6F887" w14:textId="20D1F77B"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P</w:t>
            </w:r>
            <w:r>
              <w:rPr>
                <w:rFonts w:ascii="宋体" w:eastAsia="宋体" w:hAnsi="宋体"/>
                <w:sz w:val="24"/>
                <w:szCs w:val="24"/>
              </w:rPr>
              <w:t>EG</w:t>
            </w:r>
          </w:p>
        </w:tc>
        <w:tc>
          <w:tcPr>
            <w:tcW w:w="4148" w:type="dxa"/>
          </w:tcPr>
          <w:p w14:paraId="71091773" w14:textId="6A244EFC"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极小型指标</w:t>
            </w:r>
          </w:p>
        </w:tc>
      </w:tr>
      <w:tr w:rsidR="005C60CE" w14:paraId="6F7045AC" w14:textId="77777777" w:rsidTr="005C60CE">
        <w:tc>
          <w:tcPr>
            <w:tcW w:w="4148" w:type="dxa"/>
          </w:tcPr>
          <w:p w14:paraId="101F5798" w14:textId="429BBA8A"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R</w:t>
            </w:r>
            <w:r>
              <w:rPr>
                <w:rFonts w:ascii="宋体" w:eastAsia="宋体" w:hAnsi="宋体"/>
                <w:sz w:val="24"/>
                <w:szCs w:val="24"/>
              </w:rPr>
              <w:t>TS</w:t>
            </w:r>
          </w:p>
        </w:tc>
        <w:tc>
          <w:tcPr>
            <w:tcW w:w="4148" w:type="dxa"/>
          </w:tcPr>
          <w:p w14:paraId="1D701207" w14:textId="4D6B0B87"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区间型指标</w:t>
            </w:r>
          </w:p>
        </w:tc>
      </w:tr>
      <w:tr w:rsidR="005C60CE" w14:paraId="3C0769F0" w14:textId="77777777" w:rsidTr="005C60CE">
        <w:tc>
          <w:tcPr>
            <w:tcW w:w="4148" w:type="dxa"/>
          </w:tcPr>
          <w:p w14:paraId="412DBAFD" w14:textId="267C32BE"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P</w:t>
            </w:r>
            <w:r>
              <w:rPr>
                <w:rFonts w:ascii="宋体" w:eastAsia="宋体" w:hAnsi="宋体"/>
                <w:sz w:val="24"/>
                <w:szCs w:val="24"/>
              </w:rPr>
              <w:t>IE</w:t>
            </w:r>
          </w:p>
        </w:tc>
        <w:tc>
          <w:tcPr>
            <w:tcW w:w="4148" w:type="dxa"/>
          </w:tcPr>
          <w:p w14:paraId="126B5E25" w14:textId="44780C80"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区间型指标</w:t>
            </w:r>
          </w:p>
        </w:tc>
      </w:tr>
      <w:tr w:rsidR="005C60CE" w14:paraId="57D3C9C6" w14:textId="77777777" w:rsidTr="005C60CE">
        <w:tc>
          <w:tcPr>
            <w:tcW w:w="4148" w:type="dxa"/>
          </w:tcPr>
          <w:p w14:paraId="0377F462" w14:textId="4D0CF288"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lastRenderedPageBreak/>
              <w:t>P</w:t>
            </w:r>
            <w:r>
              <w:rPr>
                <w:rFonts w:ascii="宋体" w:eastAsia="宋体" w:hAnsi="宋体"/>
                <w:sz w:val="24"/>
                <w:szCs w:val="24"/>
              </w:rPr>
              <w:t>P</w:t>
            </w:r>
          </w:p>
        </w:tc>
        <w:tc>
          <w:tcPr>
            <w:tcW w:w="4148" w:type="dxa"/>
          </w:tcPr>
          <w:p w14:paraId="2BE6FF10" w14:textId="4BB39C17"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极大型指标</w:t>
            </w:r>
          </w:p>
        </w:tc>
      </w:tr>
      <w:tr w:rsidR="005C60CE" w14:paraId="73101D9E" w14:textId="77777777" w:rsidTr="005C60CE">
        <w:tc>
          <w:tcPr>
            <w:tcW w:w="4148" w:type="dxa"/>
          </w:tcPr>
          <w:p w14:paraId="72F09D46" w14:textId="54172468"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P</w:t>
            </w:r>
            <w:r>
              <w:rPr>
                <w:rFonts w:ascii="宋体" w:eastAsia="宋体" w:hAnsi="宋体"/>
                <w:sz w:val="24"/>
                <w:szCs w:val="24"/>
              </w:rPr>
              <w:t>AR</w:t>
            </w:r>
          </w:p>
        </w:tc>
        <w:tc>
          <w:tcPr>
            <w:tcW w:w="4148" w:type="dxa"/>
          </w:tcPr>
          <w:p w14:paraId="13CE794C" w14:textId="58A14F14" w:rsidR="005C60CE" w:rsidRDefault="005C60CE" w:rsidP="005C60CE">
            <w:pPr>
              <w:spacing w:before="240" w:line="360" w:lineRule="auto"/>
              <w:rPr>
                <w:rFonts w:ascii="宋体" w:eastAsia="宋体" w:hAnsi="宋体" w:hint="eastAsia"/>
                <w:sz w:val="24"/>
                <w:szCs w:val="24"/>
              </w:rPr>
            </w:pPr>
            <w:r>
              <w:rPr>
                <w:rFonts w:ascii="宋体" w:eastAsia="宋体" w:hAnsi="宋体" w:hint="eastAsia"/>
                <w:sz w:val="24"/>
                <w:szCs w:val="24"/>
              </w:rPr>
              <w:t>极大型指标</w:t>
            </w:r>
          </w:p>
        </w:tc>
      </w:tr>
    </w:tbl>
    <w:p w14:paraId="63DCD321" w14:textId="77777777" w:rsidR="005C60CE" w:rsidRDefault="005C60CE" w:rsidP="005C60CE">
      <w:pPr>
        <w:spacing w:before="240" w:line="360" w:lineRule="auto"/>
        <w:ind w:firstLineChars="200" w:firstLine="480"/>
        <w:rPr>
          <w:rFonts w:ascii="宋体" w:eastAsia="宋体" w:hAnsi="宋体" w:hint="eastAsia"/>
          <w:sz w:val="24"/>
          <w:szCs w:val="24"/>
        </w:rPr>
      </w:pPr>
    </w:p>
    <w:p w14:paraId="03BE9D97" w14:textId="6F504B5D" w:rsidR="005C60CE" w:rsidRDefault="00271B17" w:rsidP="005C60CE">
      <w:pPr>
        <w:spacing w:before="240" w:line="360" w:lineRule="auto"/>
        <w:rPr>
          <w:rFonts w:ascii="宋体" w:eastAsia="宋体" w:hAnsi="宋体"/>
          <w:sz w:val="24"/>
          <w:szCs w:val="24"/>
        </w:rPr>
      </w:pPr>
      <w:r>
        <w:rPr>
          <w:rFonts w:ascii="宋体" w:eastAsia="宋体" w:hAnsi="宋体" w:hint="eastAsia"/>
          <w:sz w:val="24"/>
          <w:szCs w:val="24"/>
        </w:rPr>
        <w:t>③</w:t>
      </w:r>
      <w:r w:rsidR="005C60CE">
        <w:rPr>
          <w:rFonts w:ascii="宋体" w:eastAsia="宋体" w:hAnsi="宋体" w:hint="eastAsia"/>
          <w:sz w:val="24"/>
          <w:szCs w:val="24"/>
        </w:rPr>
        <w:t xml:space="preserve"> 正向化</w:t>
      </w:r>
    </w:p>
    <w:p w14:paraId="1FE6E75E" w14:textId="77777777" w:rsidR="005C60CE" w:rsidRDefault="005C60CE" w:rsidP="005C60CE">
      <w:pPr>
        <w:spacing w:line="360" w:lineRule="auto"/>
        <w:ind w:firstLineChars="300" w:firstLine="720"/>
        <w:rPr>
          <w:rFonts w:ascii="宋体" w:eastAsia="宋体" w:hAnsi="宋体"/>
          <w:sz w:val="24"/>
          <w:szCs w:val="24"/>
        </w:rPr>
      </w:pPr>
      <w:r>
        <w:rPr>
          <w:rFonts w:ascii="宋体" w:eastAsia="宋体" w:hAnsi="宋体" w:hint="eastAsia"/>
          <w:sz w:val="24"/>
          <w:szCs w:val="24"/>
        </w:rPr>
        <w:t>我们需要将上述指标进行处理，将其全部都转化为极大型指标方便我们计算得分。</w:t>
      </w:r>
    </w:p>
    <w:p w14:paraId="6C4692DE" w14:textId="123F4280" w:rsidR="005C60CE" w:rsidRDefault="005C60CE" w:rsidP="005C60CE">
      <w:pPr>
        <w:spacing w:line="360" w:lineRule="auto"/>
        <w:ind w:firstLineChars="300" w:firstLine="720"/>
        <w:rPr>
          <w:rFonts w:ascii="宋体" w:eastAsia="宋体" w:hAnsi="宋体"/>
          <w:sz w:val="24"/>
          <w:szCs w:val="24"/>
        </w:rPr>
      </w:pPr>
      <w:r>
        <w:rPr>
          <w:rFonts w:ascii="宋体" w:eastAsia="宋体" w:hAnsi="宋体" w:hint="eastAsia"/>
          <w:sz w:val="24"/>
          <w:szCs w:val="24"/>
        </w:rPr>
        <w:t>对于极小型指标，我们有：</w:t>
      </w:r>
    </w:p>
    <w:p w14:paraId="1D2E740F" w14:textId="1F2E3F20" w:rsidR="005C60CE" w:rsidRDefault="005C60CE" w:rsidP="005C60CE">
      <w:pPr>
        <w:spacing w:line="360" w:lineRule="auto"/>
        <w:ind w:firstLineChars="300" w:firstLine="720"/>
      </w:pPr>
      <w:r>
        <w:rPr>
          <w:rFonts w:ascii="宋体" w:eastAsia="宋体" w:hAnsi="宋体" w:hint="eastAsia"/>
          <w:sz w:val="24"/>
          <w:szCs w:val="24"/>
        </w:rPr>
        <w:t xml:space="preserve"> </w:t>
      </w:r>
      <w:r>
        <w:rPr>
          <w:rFonts w:ascii="宋体" w:eastAsia="宋体" w:hAnsi="宋体"/>
          <w:sz w:val="24"/>
          <w:szCs w:val="24"/>
        </w:rPr>
        <w:t xml:space="preserve">                       </w:t>
      </w:r>
      <w:r w:rsidR="00885EF0">
        <w:rPr>
          <w:rFonts w:ascii="宋体" w:eastAsia="宋体" w:hAnsi="宋体"/>
          <w:sz w:val="24"/>
          <w:szCs w:val="24"/>
        </w:rPr>
        <w:t xml:space="preserve">  </w:t>
      </w:r>
      <w:r w:rsidRPr="00717810">
        <w:rPr>
          <w:position w:val="-12"/>
        </w:rPr>
        <w:object w:dxaOrig="1280" w:dyaOrig="360" w14:anchorId="2B6D9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18pt" o:ole="">
            <v:imagedata r:id="rId5" o:title=""/>
          </v:shape>
          <o:OLEObject Type="Embed" ProgID="Equation.DSMT4" ShapeID="_x0000_i1025" DrawAspect="Content" ObjectID="_1674156307" r:id="rId6"/>
        </w:object>
      </w:r>
    </w:p>
    <w:p w14:paraId="6501D46D" w14:textId="61E6B081" w:rsidR="005C60CE" w:rsidRDefault="005C60CE" w:rsidP="005C60CE">
      <w:pPr>
        <w:spacing w:line="360" w:lineRule="auto"/>
        <w:ind w:firstLineChars="300" w:firstLine="720"/>
        <w:rPr>
          <w:rFonts w:ascii="宋体" w:eastAsia="宋体" w:hAnsi="宋体"/>
          <w:sz w:val="24"/>
          <w:szCs w:val="24"/>
        </w:rPr>
      </w:pPr>
      <w:r>
        <w:rPr>
          <w:rFonts w:ascii="宋体" w:eastAsia="宋体" w:hAnsi="宋体" w:hint="eastAsia"/>
          <w:sz w:val="24"/>
          <w:szCs w:val="24"/>
        </w:rPr>
        <w:t>对于区间型指标，设最佳区间为[</w:t>
      </w:r>
      <w:r>
        <w:rPr>
          <w:rFonts w:ascii="宋体" w:eastAsia="宋体" w:hAnsi="宋体"/>
          <w:sz w:val="24"/>
          <w:szCs w:val="24"/>
        </w:rPr>
        <w:t>a,b]</w:t>
      </w:r>
      <w:r>
        <w:rPr>
          <w:rFonts w:ascii="宋体" w:eastAsia="宋体" w:hAnsi="宋体" w:hint="eastAsia"/>
          <w:sz w:val="24"/>
          <w:szCs w:val="24"/>
        </w:rPr>
        <w:t>，我们取</w:t>
      </w:r>
    </w:p>
    <w:p w14:paraId="6A0E273E" w14:textId="4F199B48" w:rsidR="005C60CE" w:rsidRDefault="005C60CE" w:rsidP="005C60CE">
      <w:pPr>
        <w:spacing w:line="360" w:lineRule="auto"/>
        <w:ind w:firstLineChars="300" w:firstLine="720"/>
      </w:pPr>
      <w:r>
        <w:rPr>
          <w:rFonts w:ascii="宋体" w:eastAsia="宋体" w:hAnsi="宋体" w:hint="eastAsia"/>
          <w:sz w:val="24"/>
          <w:szCs w:val="24"/>
        </w:rPr>
        <w:t xml:space="preserve"> </w:t>
      </w:r>
      <w:r>
        <w:rPr>
          <w:rFonts w:ascii="宋体" w:eastAsia="宋体" w:hAnsi="宋体"/>
          <w:sz w:val="24"/>
          <w:szCs w:val="24"/>
        </w:rPr>
        <w:t xml:space="preserve">               </w:t>
      </w:r>
      <w:r w:rsidR="00885EF0">
        <w:rPr>
          <w:rFonts w:ascii="宋体" w:eastAsia="宋体" w:hAnsi="宋体"/>
          <w:sz w:val="24"/>
          <w:szCs w:val="24"/>
        </w:rPr>
        <w:t xml:space="preserve">  </w:t>
      </w:r>
      <w:r w:rsidRPr="00717810">
        <w:rPr>
          <w:position w:val="-12"/>
        </w:rPr>
        <w:object w:dxaOrig="3460" w:dyaOrig="360" w14:anchorId="568E04DF">
          <v:shape id="_x0000_i1027" type="#_x0000_t75" style="width:172.8pt;height:18pt" o:ole="">
            <v:imagedata r:id="rId7" o:title=""/>
          </v:shape>
          <o:OLEObject Type="Embed" ProgID="Equation.DSMT4" ShapeID="_x0000_i1027" DrawAspect="Content" ObjectID="_1674156308" r:id="rId8"/>
        </w:object>
      </w:r>
    </w:p>
    <w:p w14:paraId="57F32A5A" w14:textId="77777777" w:rsidR="00885EF0" w:rsidRDefault="005C60CE" w:rsidP="00885EF0">
      <w:pPr>
        <w:spacing w:line="360" w:lineRule="auto"/>
        <w:ind w:firstLineChars="300" w:firstLine="630"/>
      </w:pPr>
      <w:r>
        <w:rPr>
          <w:rFonts w:hint="eastAsia"/>
        </w:rPr>
        <w:t>并且按照</w:t>
      </w:r>
    </w:p>
    <w:p w14:paraId="5BA6425C" w14:textId="26ACAECA" w:rsidR="005C60CE" w:rsidRDefault="00885EF0" w:rsidP="00885EF0">
      <w:pPr>
        <w:spacing w:line="360" w:lineRule="auto"/>
        <w:ind w:firstLineChars="1500" w:firstLine="3150"/>
      </w:pPr>
      <w:r w:rsidRPr="00717810">
        <w:rPr>
          <w:position w:val="-12"/>
        </w:rPr>
        <w:object w:dxaOrig="440" w:dyaOrig="360" w14:anchorId="567F530D">
          <v:shape id="_x0000_i1030" type="#_x0000_t75" style="width:22.2pt;height:18pt" o:ole="">
            <v:imagedata r:id="rId9" o:title=""/>
          </v:shape>
          <o:OLEObject Type="Embed" ProgID="Equation.DSMT4" ShapeID="_x0000_i1030" DrawAspect="Content" ObjectID="_1674156309" r:id="rId10"/>
        </w:object>
      </w:r>
      <w:r w:rsidR="005C60CE" w:rsidRPr="00717810">
        <w:rPr>
          <w:position w:val="-78"/>
        </w:rPr>
        <w:object w:dxaOrig="1820" w:dyaOrig="1680" w14:anchorId="1AFFC98E">
          <v:shape id="_x0000_i1029" type="#_x0000_t75" style="width:91.2pt;height:84pt" o:ole="">
            <v:imagedata r:id="rId11" o:title=""/>
          </v:shape>
          <o:OLEObject Type="Embed" ProgID="Equation.DSMT4" ShapeID="_x0000_i1029" DrawAspect="Content" ObjectID="_1674156310" r:id="rId12"/>
        </w:object>
      </w:r>
    </w:p>
    <w:p w14:paraId="2BEFBBE9" w14:textId="7C3D02F3" w:rsidR="00885EF0" w:rsidRDefault="00885EF0" w:rsidP="006E6FBC">
      <w:pPr>
        <w:spacing w:line="360" w:lineRule="auto"/>
      </w:pPr>
      <w:r>
        <w:rPr>
          <w:rFonts w:hint="eastAsia"/>
        </w:rPr>
        <w:t>对指标进行转化。</w:t>
      </w:r>
    </w:p>
    <w:p w14:paraId="6E6D3F7B" w14:textId="77777777" w:rsidR="006E6FBC" w:rsidRDefault="006E6FBC" w:rsidP="006E6FBC">
      <w:pPr>
        <w:spacing w:line="360" w:lineRule="auto"/>
        <w:rPr>
          <w:rFonts w:hint="eastAsia"/>
        </w:rPr>
      </w:pPr>
    </w:p>
    <w:p w14:paraId="103CD75D" w14:textId="112827FA" w:rsidR="00885EF0" w:rsidRDefault="00271B17" w:rsidP="00885EF0">
      <w:pPr>
        <w:spacing w:line="360" w:lineRule="auto"/>
      </w:pPr>
      <w:r>
        <w:rPr>
          <w:rFonts w:hint="eastAsia"/>
        </w:rPr>
        <w:t>④</w:t>
      </w:r>
      <w:r w:rsidR="00885EF0">
        <w:rPr>
          <w:rFonts w:hint="eastAsia"/>
        </w:rPr>
        <w:t xml:space="preserve"> 标准化</w:t>
      </w:r>
    </w:p>
    <w:p w14:paraId="4CD67D91" w14:textId="51D8618E" w:rsidR="00885EF0" w:rsidRDefault="00885EF0" w:rsidP="00885EF0">
      <w:pPr>
        <w:spacing w:line="360" w:lineRule="auto"/>
        <w:ind w:firstLineChars="200" w:firstLine="420"/>
      </w:pPr>
      <w:r>
        <w:rPr>
          <w:rFonts w:hint="eastAsia"/>
        </w:rPr>
        <w:t>将上述指标进行一次标准化，进一步消除异常数据的干扰，增加数据的稳定性与可靠性</w:t>
      </w:r>
    </w:p>
    <w:p w14:paraId="75235701" w14:textId="0CC6A9DF" w:rsidR="00885EF0" w:rsidRDefault="00885EF0" w:rsidP="00885EF0">
      <w:pPr>
        <w:spacing w:line="360" w:lineRule="auto"/>
      </w:pPr>
      <w:r>
        <w:rPr>
          <w:rFonts w:hint="eastAsia"/>
        </w:rPr>
        <w:t>记标准化后的矩阵为Z，则有</w:t>
      </w:r>
    </w:p>
    <w:p w14:paraId="3C6F7913" w14:textId="057D45BA" w:rsidR="00885EF0" w:rsidRDefault="00885EF0" w:rsidP="00885EF0">
      <w:pPr>
        <w:spacing w:line="360" w:lineRule="auto"/>
        <w:ind w:firstLineChars="1700" w:firstLine="3570"/>
      </w:pPr>
      <w:r w:rsidRPr="00717810">
        <w:rPr>
          <w:position w:val="-44"/>
        </w:rPr>
        <w:object w:dxaOrig="1460" w:dyaOrig="859" w14:anchorId="515B5357">
          <v:shape id="_x0000_i1037" type="#_x0000_t75" style="width:73.2pt;height:43.2pt" o:ole="">
            <v:imagedata r:id="rId13" o:title=""/>
          </v:shape>
          <o:OLEObject Type="Embed" ProgID="Equation.DSMT4" ShapeID="_x0000_i1037" DrawAspect="Content" ObjectID="_1674156311" r:id="rId14"/>
        </w:object>
      </w:r>
    </w:p>
    <w:p w14:paraId="31E8AB8A" w14:textId="26888325" w:rsidR="00885EF0" w:rsidRDefault="00271B17" w:rsidP="00912049">
      <w:pPr>
        <w:spacing w:before="240" w:line="360" w:lineRule="auto"/>
      </w:pPr>
      <w:r>
        <w:rPr>
          <w:rFonts w:hint="eastAsia"/>
        </w:rPr>
        <w:t>⑤</w:t>
      </w:r>
      <w:r w:rsidR="00885EF0">
        <w:rPr>
          <w:rFonts w:hint="eastAsia"/>
        </w:rPr>
        <w:t xml:space="preserve"> 打分</w:t>
      </w:r>
    </w:p>
    <w:p w14:paraId="3E4EC6C2" w14:textId="5F329582" w:rsidR="00885EF0" w:rsidRDefault="00885EF0" w:rsidP="00885EF0">
      <w:pPr>
        <w:spacing w:line="360" w:lineRule="auto"/>
        <w:ind w:firstLineChars="200" w:firstLine="420"/>
      </w:pPr>
      <w:r>
        <w:rPr>
          <w:rFonts w:hint="eastAsia"/>
        </w:rPr>
        <w:t>经过标准化后的矩阵中全是极大型指标，故，只需取出其中每个指标的最大值即可构成最优解向量</w:t>
      </w:r>
      <w:r w:rsidRPr="00717810">
        <w:rPr>
          <w:position w:val="-12"/>
        </w:rPr>
        <w:object w:dxaOrig="440" w:dyaOrig="360" w14:anchorId="50C08011">
          <v:shape id="_x0000_i1039" type="#_x0000_t75" style="width:22.2pt;height:18pt" o:ole="">
            <v:imagedata r:id="rId15" o:title=""/>
          </v:shape>
          <o:OLEObject Type="Embed" ProgID="Equation.DSMT4" ShapeID="_x0000_i1039" DrawAspect="Content" ObjectID="_1674156312" r:id="rId16"/>
        </w:object>
      </w:r>
      <w:r>
        <w:rPr>
          <w:rFonts w:hint="eastAsia"/>
        </w:rPr>
        <w:t>，而其最小值构成的向量即为最劣解向量</w:t>
      </w:r>
      <w:r w:rsidRPr="00717810">
        <w:rPr>
          <w:position w:val="-12"/>
        </w:rPr>
        <w:object w:dxaOrig="400" w:dyaOrig="360" w14:anchorId="2FAB719E">
          <v:shape id="_x0000_i1040" type="#_x0000_t75" style="width:19.8pt;height:18pt" o:ole="">
            <v:imagedata r:id="rId17" o:title=""/>
          </v:shape>
          <o:OLEObject Type="Embed" ProgID="Equation.DSMT4" ShapeID="_x0000_i1040" DrawAspect="Content" ObjectID="_1674156313" r:id="rId18"/>
        </w:object>
      </w:r>
      <w:r>
        <w:rPr>
          <w:rFonts w:hint="eastAsia"/>
        </w:rPr>
        <w:t>。</w:t>
      </w:r>
    </w:p>
    <w:p w14:paraId="191499AA" w14:textId="77777777" w:rsidR="006E6FBC" w:rsidRDefault="00885EF0" w:rsidP="006E6FBC">
      <w:pPr>
        <w:spacing w:line="360" w:lineRule="auto"/>
        <w:ind w:firstLineChars="200" w:firstLine="420"/>
      </w:pPr>
      <w:r>
        <w:rPr>
          <w:rFonts w:hint="eastAsia"/>
        </w:rPr>
        <w:t>之后通过公式</w:t>
      </w:r>
    </w:p>
    <w:p w14:paraId="616110F8" w14:textId="05A5F144" w:rsidR="00885EF0" w:rsidRDefault="00885EF0" w:rsidP="006E6FBC">
      <w:pPr>
        <w:spacing w:line="360" w:lineRule="auto"/>
        <w:ind w:firstLineChars="1700" w:firstLine="3570"/>
      </w:pPr>
      <w:r w:rsidRPr="00717810">
        <w:rPr>
          <w:position w:val="-30"/>
        </w:rPr>
        <w:object w:dxaOrig="2160" w:dyaOrig="680" w14:anchorId="0FAE03E7">
          <v:shape id="_x0000_i1041" type="#_x0000_t75" style="width:108pt;height:34.2pt" o:ole="">
            <v:imagedata r:id="rId19" o:title=""/>
          </v:shape>
          <o:OLEObject Type="Embed" ProgID="Equation.DSMT4" ShapeID="_x0000_i1041" DrawAspect="Content" ObjectID="_1674156314" r:id="rId20"/>
        </w:object>
      </w:r>
    </w:p>
    <w:p w14:paraId="4A2580B0" w14:textId="0002A470" w:rsidR="006E6FBC" w:rsidRDefault="006E6FBC" w:rsidP="006E6FBC">
      <w:pPr>
        <w:spacing w:line="360" w:lineRule="auto"/>
        <w:ind w:firstLineChars="1700" w:firstLine="3570"/>
      </w:pPr>
      <w:r w:rsidRPr="00717810">
        <w:rPr>
          <w:position w:val="-72"/>
        </w:rPr>
        <w:object w:dxaOrig="2040" w:dyaOrig="1560" w14:anchorId="445C39AC">
          <v:shape id="_x0000_i1045" type="#_x0000_t75" style="width:102pt;height:78pt" o:ole="">
            <v:imagedata r:id="rId21" o:title=""/>
          </v:shape>
          <o:OLEObject Type="Embed" ProgID="Equation.DSMT4" ShapeID="_x0000_i1045" DrawAspect="Content" ObjectID="_1674156315" r:id="rId22"/>
        </w:object>
      </w:r>
    </w:p>
    <w:p w14:paraId="006B065A" w14:textId="39E04D49" w:rsidR="006E6FBC" w:rsidRDefault="006E6FBC" w:rsidP="006E6FBC">
      <w:pPr>
        <w:spacing w:line="360" w:lineRule="auto"/>
      </w:pPr>
      <w:r>
        <w:rPr>
          <w:rFonts w:hint="eastAsia"/>
        </w:rPr>
        <w:t>计算每个指标向量到最优解及最劣解的距离</w:t>
      </w:r>
      <w:r w:rsidRPr="00717810">
        <w:rPr>
          <w:position w:val="-12"/>
        </w:rPr>
        <w:object w:dxaOrig="320" w:dyaOrig="380" w14:anchorId="43BE792C">
          <v:shape id="_x0000_i1047" type="#_x0000_t75" style="width:16.2pt;height:19.2pt" o:ole="">
            <v:imagedata r:id="rId23" o:title=""/>
          </v:shape>
          <o:OLEObject Type="Embed" ProgID="Equation.DSMT4" ShapeID="_x0000_i1047" DrawAspect="Content" ObjectID="_1674156316" r:id="rId24"/>
        </w:object>
      </w:r>
      <w:r>
        <w:rPr>
          <w:rFonts w:hint="eastAsia"/>
        </w:rPr>
        <w:t>与</w:t>
      </w:r>
      <w:r w:rsidRPr="00717810">
        <w:rPr>
          <w:position w:val="-12"/>
        </w:rPr>
        <w:object w:dxaOrig="300" w:dyaOrig="380" w14:anchorId="1A849E24">
          <v:shape id="_x0000_i1048" type="#_x0000_t75" style="width:15pt;height:19.2pt" o:ole="">
            <v:imagedata r:id="rId25" o:title=""/>
          </v:shape>
          <o:OLEObject Type="Embed" ProgID="Equation.DSMT4" ShapeID="_x0000_i1048" DrawAspect="Content" ObjectID="_1674156317" r:id="rId26"/>
        </w:object>
      </w:r>
      <w:r>
        <w:rPr>
          <w:rFonts w:hint="eastAsia"/>
        </w:rPr>
        <w:t>，并通过以下公式计算出最终得分：</w:t>
      </w:r>
    </w:p>
    <w:p w14:paraId="169604D0" w14:textId="6D01C9A6" w:rsidR="006E6FBC" w:rsidRDefault="006E6FBC" w:rsidP="006E6FBC">
      <w:pPr>
        <w:spacing w:line="360" w:lineRule="auto"/>
      </w:pPr>
      <w:r>
        <w:rPr>
          <w:rFonts w:hint="eastAsia"/>
        </w:rPr>
        <w:t xml:space="preserve"> </w:t>
      </w:r>
      <w:r>
        <w:t xml:space="preserve">                                  </w:t>
      </w:r>
      <w:r w:rsidRPr="00717810">
        <w:rPr>
          <w:position w:val="-30"/>
        </w:rPr>
        <w:object w:dxaOrig="1200" w:dyaOrig="720" w14:anchorId="78C8223B">
          <v:shape id="_x0000_i1051" type="#_x0000_t75" style="width:60pt;height:36pt" o:ole="">
            <v:imagedata r:id="rId27" o:title=""/>
          </v:shape>
          <o:OLEObject Type="Embed" ProgID="Equation.DSMT4" ShapeID="_x0000_i1051" DrawAspect="Content" ObjectID="_1674156318" r:id="rId28"/>
        </w:object>
      </w:r>
    </w:p>
    <w:p w14:paraId="601F57D3" w14:textId="77777777" w:rsidR="0044487A" w:rsidRDefault="0044487A" w:rsidP="006E6FBC">
      <w:pPr>
        <w:spacing w:line="360" w:lineRule="auto"/>
        <w:rPr>
          <w:rFonts w:ascii="宋体" w:eastAsia="宋体" w:hAnsi="宋体"/>
          <w:b/>
          <w:bCs/>
          <w:sz w:val="30"/>
          <w:szCs w:val="30"/>
        </w:rPr>
      </w:pPr>
    </w:p>
    <w:p w14:paraId="78A1E73A" w14:textId="5C1C9C52" w:rsidR="006E6FBC" w:rsidRDefault="006E6FBC" w:rsidP="006E6FBC">
      <w:pPr>
        <w:spacing w:line="360" w:lineRule="auto"/>
        <w:rPr>
          <w:rFonts w:ascii="宋体" w:eastAsia="宋体" w:hAnsi="宋体"/>
          <w:b/>
          <w:bCs/>
          <w:sz w:val="30"/>
          <w:szCs w:val="30"/>
        </w:rPr>
      </w:pPr>
      <w:r w:rsidRPr="006E6FBC">
        <w:rPr>
          <w:rFonts w:ascii="宋体" w:eastAsia="宋体" w:hAnsi="宋体" w:hint="eastAsia"/>
          <w:b/>
          <w:bCs/>
          <w:sz w:val="30"/>
          <w:szCs w:val="30"/>
        </w:rPr>
        <w:t>二、模型求解</w:t>
      </w:r>
    </w:p>
    <w:p w14:paraId="284739C1" w14:textId="043B4419" w:rsidR="0044487A" w:rsidRPr="006E6FBC" w:rsidRDefault="0044487A" w:rsidP="00912049">
      <w:pPr>
        <w:spacing w:line="360" w:lineRule="auto"/>
        <w:ind w:firstLineChars="200" w:firstLine="480"/>
        <w:rPr>
          <w:rFonts w:ascii="宋体" w:eastAsia="宋体" w:hAnsi="宋体" w:hint="eastAsia"/>
          <w:sz w:val="24"/>
          <w:szCs w:val="24"/>
        </w:rPr>
      </w:pPr>
    </w:p>
    <w:sectPr w:rsidR="0044487A" w:rsidRPr="006E6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F6"/>
    <w:rsid w:val="00271B17"/>
    <w:rsid w:val="00282FAF"/>
    <w:rsid w:val="0044487A"/>
    <w:rsid w:val="005B745C"/>
    <w:rsid w:val="005C60CE"/>
    <w:rsid w:val="006E6FBC"/>
    <w:rsid w:val="00885EF0"/>
    <w:rsid w:val="008D255B"/>
    <w:rsid w:val="00912049"/>
    <w:rsid w:val="00AA0582"/>
    <w:rsid w:val="00B1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2ED9"/>
  <w15:chartTrackingRefBased/>
  <w15:docId w15:val="{CF7F7B96-C882-4CAD-B21B-55EB705F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0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08AB-AC86-45D2-9061-F75E1E0F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浩南</dc:creator>
  <cp:keywords/>
  <dc:description/>
  <cp:lastModifiedBy>浩南</cp:lastModifiedBy>
  <cp:revision>10</cp:revision>
  <dcterms:created xsi:type="dcterms:W3CDTF">2021-02-06T12:05:00Z</dcterms:created>
  <dcterms:modified xsi:type="dcterms:W3CDTF">2021-02-06T14:38:00Z</dcterms:modified>
</cp:coreProperties>
</file>