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Probing ferroelectricity by x-ray absorption spectroscopy in molecular crystals</w:t>
      </w:r>
    </w:p>
    <w:p>
      <w:r>
        <w:rPr>
          <w:i/>
        </w:rPr>
        <w:t>Fujie Tang et al. (2020)</w:t>
        <w:br/>
      </w:r>
      <w:r>
        <w:t>DOI: 10.1103/PhysRevMaterials.4.034401</w:t>
        <w:br/>
      </w:r>
      <w:r>
        <w:t>Category: pure_phase | Element: O | Edge: K</w:t>
        <w:br/>
      </w:r>
      <w:r>
        <w:t>1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croconic acid (C5H2O5)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ferroelectric ground state (Pca21) of croconic acid breaks inversion symmetry, creating inequivalent hydrogen-bonding environments for the oxygen atoms. This structural asymmetry splits the pi* bound exciton states, resulting in the distinct pre-edge satellite peak at 532.6 eV. The main edge is dominated by broader sigma* resonances.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croconic acid (C5H2O5)</w:t>
      </w:r>
    </w:p>
    <w:p>
      <w:pPr>
        <w:spacing w:after="20" w:before="0"/>
      </w:pPr>
      <w:r>
        <w:rPr>
          <w:color w:val="505050"/>
          <w:sz w:val="16"/>
        </w:rPr>
        <w:t>- **Crystal structure**: Pca21 (ferroelectric ground state)</w:t>
      </w:r>
    </w:p>
    <w:p>
      <w:pPr>
        <w:spacing w:after="20" w:before="0"/>
      </w:pPr>
      <w:r>
        <w:rPr>
          <w:color w:val="505050"/>
          <w:sz w:val="16"/>
        </w:rPr>
        <w:t>- **Oxidation state**: not reported</w:t>
      </w:r>
    </w:p>
    <w:p>
      <w:pPr>
        <w:spacing w:after="20" w:before="0"/>
      </w:pPr>
      <w:r>
        <w:rPr>
          <w:color w:val="505050"/>
          <w:sz w:val="16"/>
        </w:rPr>
        <w:t>- **Coordination**: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thin film</w:t>
      </w:r>
    </w:p>
    <w:p>
      <w:pPr>
        <w:spacing w:after="20" w:before="0"/>
      </w:pPr>
      <w:r>
        <w:rPr>
          <w:color w:val="505050"/>
          <w:sz w:val="16"/>
        </w:rPr>
        <w:t>- **Purity**: not reported</w:t>
      </w:r>
    </w:p>
    <w:p>
      <w:pPr>
        <w:spacing w:after="20" w:before="0"/>
      </w:pPr>
      <w:r>
        <w:rPr>
          <w:color w:val="505050"/>
          <w:sz w:val="16"/>
        </w:rPr>
        <w:t>- **Measurement mode**: total electron yield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O K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O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