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Identification of dopant site and its effect on electrochemical activity in Mn-doped lithium titanate</w:t>
      </w:r>
    </w:p>
    <w:p>
      <w:r>
        <w:rPr>
          <w:i/>
        </w:rPr>
        <w:t>Harishchandra Singh et al. (2018)</w:t>
        <w:br/>
      </w:r>
      <w:r>
        <w:t>DOI: 10.1103/PhysRevMaterials.2.125403</w:t>
        <w:br/>
      </w:r>
      <w:r>
        <w:t>Category: synthesis | Element: Mn | Edge: K</w:t>
        <w:br/>
      </w:r>
      <w:r>
        <w:t>1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1 at. % Mn doped lithium titanate (Mn-doped Li4/3Ti5/3O4)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synthesis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manganese_oxide_II: 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At a low doping concentration of 1 at. %, Mn is expected to incorporate into the Li4/3Ti5/3O4 (LTO) spinel lattice rather than forming secondary impurity phases. In the LTO spinel structure, dopants can occupy tetrahedral (8a) or octahedral (16c/16d) sites. Energetically, Mn2+ substitution at the tetrahedral Li-8a site is the most favorable configuration. Therefore, the Mn K-edge XANES spectrum will be entirely dominated by a single Mn2+ environment with tetrahedral coordination, which can be modeled using a Mn2+ reference standard.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1 at. % Mn doped lithium titanate (Mn-doped Li4/3Ti5/3O4)</w:t>
      </w:r>
    </w:p>
    <w:p>
      <w:pPr>
        <w:spacing w:after="20" w:before="0"/>
      </w:pPr>
      <w:r>
        <w:rPr>
          <w:color w:val="505050"/>
          <w:sz w:val="16"/>
        </w:rPr>
        <w:t>- **Application/Context**: Electrochemical applications (battery electrode)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Synthesis / Preparation</w:t>
      </w:r>
    </w:p>
    <w:p>
      <w:pPr>
        <w:spacing w:after="20" w:before="0"/>
      </w:pPr>
      <w:r>
        <w:rPr>
          <w:color w:val="505050"/>
          <w:sz w:val="16"/>
        </w:rPr>
        <w:t>- **Method**: solid-state</w:t>
      </w:r>
    </w:p>
    <w:p>
      <w:pPr>
        <w:spacing w:after="20" w:before="0"/>
      </w:pPr>
      <w:r>
        <w:rPr>
          <w:color w:val="505050"/>
          <w:sz w:val="16"/>
        </w:rPr>
        <w:t>- **Precursors**: not reported</w:t>
      </w:r>
    </w:p>
    <w:p>
      <w:pPr>
        <w:spacing w:after="20" w:before="0"/>
      </w:pPr>
      <w:r>
        <w:rPr>
          <w:color w:val="505050"/>
          <w:sz w:val="16"/>
        </w:rPr>
        <w:t>- **Temperature**: not reported</w:t>
      </w:r>
    </w:p>
    <w:p>
      <w:pPr>
        <w:spacing w:after="20" w:before="0"/>
      </w:pPr>
      <w:r>
        <w:rPr>
          <w:color w:val="505050"/>
          <w:sz w:val="16"/>
        </w:rPr>
        <w:t>- **Duration**: not reported</w:t>
      </w:r>
    </w:p>
    <w:p>
      <w:pPr>
        <w:spacing w:after="20" w:before="0"/>
      </w:pPr>
      <w:r>
        <w:rPr>
          <w:color w:val="505050"/>
          <w:sz w:val="16"/>
        </w:rPr>
        <w:t>- **Heating rate**: not reported</w:t>
      </w:r>
    </w:p>
    <w:p>
      <w:pPr>
        <w:spacing w:after="20" w:before="0"/>
      </w:pPr>
      <w:r>
        <w:rPr>
          <w:color w:val="505050"/>
          <w:sz w:val="16"/>
        </w:rPr>
        <w:t>- **Atmosphere**: not reported</w:t>
      </w:r>
    </w:p>
    <w:p>
      <w:pPr>
        <w:spacing w:after="20" w:before="0"/>
      </w:pPr>
      <w:r>
        <w:rPr>
          <w:color w:val="505050"/>
          <w:sz w:val="16"/>
        </w:rPr>
        <w:t>- **Cooling**: not reported</w:t>
      </w:r>
    </w:p>
    <w:p>
      <w:pPr>
        <w:spacing w:after="20" w:before="0"/>
      </w:pPr>
      <w:r>
        <w:rPr>
          <w:color w:val="505050"/>
          <w:sz w:val="16"/>
        </w:rPr>
        <w:t>- **Post-treatment**: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Mn doping concentration: 1 at. %</w:t>
      </w:r>
    </w:p>
    <w:p>
      <w:pPr>
        <w:spacing w:after="20" w:before="0"/>
      </w:pPr>
      <w:r>
        <w:rPr>
          <w:color w:val="505050"/>
          <w:sz w:val="16"/>
        </w:rPr>
        <w:t>- Prepared by solid state reactions as described previously [31]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Mn K XANES spectrum of this sample.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synthesis and preparation information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Mn) could possibly exist in this sample?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preparation conditions to your predicted phases and fractions?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