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Arial" w:cs="Arial" w:eastAsia="Arial" w:hAnsi="Arial"/>
          <w:b/>
          <w:bCs/>
          <w:sz w:val="24"/>
          <w:szCs w:val="24"/>
        </w:rPr>
        <w:t xml:space="preserve">MGMT 275: Assignment #5</w:t>
      </w:r>
    </w:p>
    <w:p>
      <w:pPr>
        <w:spacing w:after="80"/>
        <w:jc w:val="center"/>
      </w:pPr>
      <w:r>
        <w:rPr>
          <w:rFonts w:ascii="Arial" w:cs="Arial" w:eastAsia="Arial" w:hAnsi="Arial"/>
          <w:b/>
          <w:bCs/>
          <w:sz w:val="30"/>
          <w:szCs w:val="30"/>
        </w:rPr>
        <w:t xml:space="preserve">PR-FAQ Final Assignment: Tesla Model Y FSD: Earn Mode</w:t>
      </w:r>
    </w:p>
    <w:p>
      <w:pPr>
        <w:spacing w:after="240"/>
        <w:jc w:val="center"/>
      </w:pPr>
      <w:r>
        <w:rPr>
          <w:rFonts w:ascii="Arial" w:cs="Arial" w:eastAsia="Arial" w:hAnsi="Arial"/>
          <w:i/>
          <w:iCs/>
          <w:sz w:val="22"/>
          <w:szCs w:val="22"/>
        </w:rPr>
        <w:t xml:space="preserve">Kevin Meng, Ethan He  |  May 2026</w:t>
      </w:r>
    </w:p>
    <w:p>
      <w:pPr>
        <w:pStyle w:val="Heading2"/>
        <w:spacing w:after="140" w:before="280"/>
      </w:pPr>
      <w:r>
        <w:rPr>
          <w:rFonts w:ascii="Arial" w:cs="Arial" w:eastAsia="Arial" w:hAnsi="Arial"/>
          <w:b/>
          <w:bCs/>
          <w:sz w:val="26"/>
          <w:szCs w:val="26"/>
        </w:rPr>
        <w:t xml:space="preserve">Section 1: Submission Items</w:t>
      </w:r>
    </w:p>
    <w:p>
      <w:pPr>
        <w:spacing w:after="80" w:line="252"/>
      </w:pPr>
      <w:r>
        <w:rPr>
          <w:rFonts w:ascii="Arial" w:cs="Arial" w:eastAsia="Arial" w:hAnsi="Arial"/>
          <w:b/>
          <w:bCs/>
          <w:sz w:val="23"/>
          <w:szCs w:val="23"/>
        </w:rPr>
        <w:t xml:space="preserve">One-liner: </w:t>
      </w:r>
      <w:r>
        <w:rPr>
          <w:rFonts w:ascii="Arial" w:cs="Arial" w:eastAsia="Arial" w:hAnsi="Arial"/>
          <w:sz w:val="23"/>
          <w:szCs w:val="23"/>
        </w:rPr>
        <w:t xml:space="preserve">For cost-conscious Tesla Model Y owners who see FSD’s $99/month price as a luxury they cannot justify, Earn Mode turns their idle vehicle into an income-generating robotaxi, making FSD a self-funding investment instead of a recurring expense.</w:t>
      </w:r>
    </w:p>
    <w:p>
      <w:pPr>
        <w:spacing w:after="80" w:line="252"/>
      </w:pPr>
      <w:r>
        <w:rPr>
          <w:rFonts w:ascii="Arial" w:cs="Arial" w:eastAsia="Arial" w:hAnsi="Arial"/>
          <w:b/>
          <w:bCs/>
          <w:sz w:val="23"/>
          <w:szCs w:val="23"/>
        </w:rPr>
        <w:t xml:space="preserve">Primary User: </w:t>
      </w:r>
      <w:r>
        <w:rPr>
          <w:rFonts w:ascii="Arial" w:cs="Arial" w:eastAsia="Arial" w:hAnsi="Arial"/>
          <w:sz w:val="23"/>
          <w:szCs w:val="23"/>
        </w:rPr>
        <w:t xml:space="preserve">Cost-conscious mainstream HW4 Model Y owners (the ~88% of Tesla’s 8.9M-vehicle fleet that does not currently subscribe to FSD), particularly those in pilot Robotaxi metros (Austin, Phoenix, Dallas).</w:t>
      </w:r>
    </w:p>
    <w:p>
      <w:pPr>
        <w:spacing w:after="80" w:line="252"/>
      </w:pPr>
      <w:r>
        <w:rPr>
          <w:rFonts w:ascii="Arial" w:cs="Arial" w:eastAsia="Arial" w:hAnsi="Arial"/>
          <w:b/>
          <w:bCs/>
          <w:sz w:val="23"/>
          <w:szCs w:val="23"/>
        </w:rPr>
        <w:t xml:space="preserve">Key Features to Test in the Prototype:</w:t>
      </w:r>
    </w:p>
    <w:p>
      <w:pPr>
        <w:pStyle w:val="ListParagraph"/>
        <w:numPr>
          <w:ilvl w:val="0"/>
          <w:numId w:val="2"/>
        </w:numPr>
        <w:spacing w:after="60" w:line="252"/>
      </w:pPr>
      <w:r>
        <w:rPr>
          <w:rFonts w:ascii="Arial" w:cs="Arial" w:eastAsia="Arial" w:hAnsi="Arial"/>
          <w:sz w:val="22"/>
          <w:szCs w:val="22"/>
        </w:rPr>
        <w:t xml:space="preserve">Dashboard tab: Earn Mode on/off toggle with live vehicle status pill, monthly FSD offset progress bar (earnings vs. subscription cost), and a quick-stats grid showing trips completed, average trip rating, total Robotaxi miles, and disengagement count</w:t>
      </w:r>
    </w:p>
    <w:p>
      <w:pPr>
        <w:pStyle w:val="ListParagraph"/>
        <w:numPr>
          <w:ilvl w:val="0"/>
          <w:numId w:val="2"/>
        </w:numPr>
        <w:spacing w:after="60" w:line="252"/>
      </w:pPr>
      <w:r>
        <w:rPr>
          <w:rFonts w:ascii="Arial" w:cs="Arial" w:eastAsia="Arial" w:hAnsi="Arial"/>
          <w:sz w:val="22"/>
          <w:szCs w:val="22"/>
        </w:rPr>
        <w:t xml:space="preserve">Schedule tab: day-of-week availability chips (Mon–Fri default), time-window controls (9 AM–6 PM default), minimum battery reserve (20% default), auto-return home toggle with geo-fenced home zone, and a live weekly bar chart that recalculates projected earnings as owners adjust days and hours</w:t>
      </w:r>
    </w:p>
    <w:p>
      <w:pPr>
        <w:pStyle w:val="ListParagraph"/>
        <w:numPr>
          <w:ilvl w:val="0"/>
          <w:numId w:val="2"/>
        </w:numPr>
        <w:spacing w:after="60" w:line="252"/>
      </w:pPr>
      <w:r>
        <w:rPr>
          <w:rFonts w:ascii="Arial" w:cs="Arial" w:eastAsia="Arial" w:hAnsi="Arial"/>
          <w:sz w:val="22"/>
          <w:szCs w:val="22"/>
        </w:rPr>
        <w:t xml:space="preserve">Earnings tab: month-to-date total with week-by-week bar chart, available-payout card with one-tap bank transfer, and an interactive real-world map (OpenStreetMap/Leaflet, dark-themed) plotting completed Robotaxi routes as color-coded lines with clickable pickup/drop-off markers showing route and fare</w:t>
      </w:r>
    </w:p>
    <w:p>
      <w:pPr>
        <w:pStyle w:val="ListParagraph"/>
        <w:numPr>
          <w:ilvl w:val="0"/>
          <w:numId w:val="2"/>
        </w:numPr>
        <w:spacing w:after="60" w:line="252"/>
      </w:pPr>
      <w:r>
        <w:rPr>
          <w:rFonts w:ascii="Arial" w:cs="Arial" w:eastAsia="Arial" w:hAnsi="Arial"/>
          <w:sz w:val="22"/>
          <w:szCs w:val="22"/>
        </w:rPr>
        <w:t xml:space="preserve">Settings tab: trip radius cap (25 mi default), battery reserve floor, per-trip notification toggle, auto-cleaning cadence selector, bank account management, and live Tesla $2M commercial Robotaxi insurance status indicator</w:t>
      </w:r>
    </w:p>
    <w:p>
      <w:pPr>
        <w:pStyle w:val="ListParagraph"/>
        <w:numPr>
          <w:ilvl w:val="0"/>
          <w:numId w:val="2"/>
        </w:numPr>
        <w:spacing w:after="60" w:line="252"/>
      </w:pPr>
      <w:r>
        <w:rPr>
          <w:rFonts w:ascii="Arial" w:cs="Arial" w:eastAsia="Arial" w:hAnsi="Arial"/>
          <w:sz w:val="22"/>
          <w:szCs w:val="22"/>
        </w:rPr>
        <w:t xml:space="preserve">Live trip overlay (Dashboard): when Earn Mode is active and a trip is in progress, an animated card appears showing route, distance, accumulating fare counter, and estimated minutes remaining — disappearing automatically when the trip ends</w:t>
      </w:r>
    </w:p>
    <w:p>
      <w:r>
        <w:br w:type="page"/>
      </w:r>
    </w:p>
    <w:p>
      <w:pPr>
        <w:pStyle w:val="Heading1"/>
        <w:spacing w:after="180" w:before="360"/>
      </w:pPr>
      <w:r>
        <w:rPr>
          <w:rFonts w:ascii="Arial" w:cs="Arial" w:eastAsia="Arial" w:hAnsi="Arial"/>
          <w:b/>
          <w:bCs/>
          <w:sz w:val="32"/>
          <w:szCs w:val="32"/>
        </w:rPr>
        <w:t xml:space="preserve">Narrative / Press Release</w:t>
      </w:r>
    </w:p>
    <w:p>
      <w:pPr>
        <w:spacing w:after="80"/>
        <w:jc w:val="center"/>
      </w:pPr>
      <w:r>
        <w:rPr>
          <w:rFonts w:ascii="Arial" w:cs="Arial" w:eastAsia="Arial" w:hAnsi="Arial"/>
          <w:b/>
          <w:bCs/>
          <w:sz w:val="26"/>
          <w:szCs w:val="26"/>
        </w:rPr>
        <w:t xml:space="preserve">Tesla Launches Earn Mode: Turning Model Y Owners Into Autonomous Income Earners</w:t>
      </w:r>
    </w:p>
    <w:p>
      <w:pPr>
        <w:spacing w:after="200"/>
        <w:jc w:val="center"/>
      </w:pPr>
      <w:r>
        <w:rPr>
          <w:rFonts w:ascii="Arial" w:cs="Arial" w:eastAsia="Arial" w:hAnsi="Arial"/>
          <w:i/>
          <w:iCs/>
          <w:sz w:val="22"/>
          <w:szCs w:val="22"/>
        </w:rPr>
        <w:t xml:space="preserve">Austin, TX  |  September 15, 2026</w:t>
      </w:r>
    </w:p>
    <w:p>
      <w:pPr>
        <w:spacing w:after="80" w:line="252"/>
      </w:pPr>
      <w:r>
        <w:t xml:space="preserve">“My Model Y just sits in the office parking lot for nine hours a day,” says Marcus Chen, a 34-year-old software engineer in Austin. “Last week it made $312 while I was at work. That is more than my car payment.” Chen is one of 1,200 owners who joined Tesla’s closed Earn Mode beta in August 2026. He is also among the first wave of what Tesla expects will become hundreds of thousands of consumers earning passive income from their FSD-equipped vehicles in the next eighteen months.</w:t>
      </w:r>
    </w:p>
    <w:p>
      <w:pPr>
        <w:spacing w:after="80" w:line="252"/>
      </w:pPr>
      <w:r>
        <w:t xml:space="preserve">Today, Tesla is opening Earn Mode to all HW4 Model Y owners with an active FSD subscription in three pilot metros: Austin, Phoenix, and Dallas. Owners can enroll their parked vehicle into Tesla’s managed Robotaxi network during idle hours, set their own availability windows, and receive weekly payouts for the miles their car drives. Tesla remains the operator, the insured party, and the customer-facing brand. Owners receive 70 percent of net trip revenue after Supercharger, insurance, and cleaning costs are deducted.</w:t>
      </w:r>
    </w:p>
    <w:p>
      <w:pPr>
        <w:spacing w:after="80" w:line="252"/>
      </w:pPr>
      <w:r>
        <w:t xml:space="preserve">The thesis behind Earn Mode is simple. The average car in America sits unused for 95 percent of its life. Tesla now has more than 4 million Model Ys on the road and over 8 billion cumulative FSD miles trained into its neural network. By unlocking even a fraction of that idle capacity, Tesla is converting a depreciating consumer asset into the world’s first mass-market income-generating autonomous platform. Analyst projections from Wolfe Research and ARK Invest place per-vehicle earnings between $400 and $1,200 per month at moderate utilization in pilot cities, with high-demand metros and overnight availability pushing the upper bound higher.</w:t>
      </w:r>
    </w:p>
    <w:p>
      <w:pPr>
        <w:spacing w:after="80" w:line="252"/>
      </w:pPr>
      <w:r>
        <w:t xml:space="preserve">“For the past decade, owners paid Tesla. With Earn Mode, Tesla pays owners,” said a Tesla VP of Autonomy Products. “We are turning every Model Y into the first mass-market income-generating consumer asset in history. This is the vision Elon laid out in Master Plan Part Deux back in 2016, and the technology has finally caught up to the ambition.”</w:t>
      </w:r>
    </w:p>
    <w:p>
      <w:pPr>
        <w:spacing w:after="80" w:line="252"/>
      </w:pPr>
      <w:r>
        <w:t xml:space="preserve">Here is how it works. An eligible owner opens the Tesla app and taps Earn Mode in the main menu. The app shows a personalized monthly earnings estimate based on the owner’s zip code, typical idle hours, and live Robotaxi demand. The owner opens the Schedule tab, selects available days using day-of-week chips, sets a time window (defaulting to weekdays 9 AM–6 PM), configures a minimum battery reserve floor (20 percent by default), and enables auto-return home within their geo-fenced home zone. A live bar chart updates projected weekly earnings in real time as the owner adjusts days and hours. They confirm. Tesla handles the rest: dispatching trips, vetting riders, routing to Superchargers between trips, processing payments, providing commercial insurance, and crediting owners for any cleaning or wear costs.</w:t>
      </w:r>
    </w:p>
    <w:p>
      <w:pPr>
        <w:spacing w:after="80" w:line="252"/>
      </w:pPr>
      <w:r>
        <w:t xml:space="preserve">Crucially, owners stay in control. The Tesla app lets owners pause Earn Mode instantly, set a 90-minute guaranteed return-to-home window, blacklist destinations or neighborhoods they prefer to avoid, and cap the trip radius to 25 miles by default, and review every trip on a transparent Earnings tab featuring an interactive real-world map of completed routes, a per-trip fare breakdown, and a one-tap payout transfer to a linked bank account. Every trip is recorded by interior cameras (audio off by default), and a $250 trip-by-trip damage guarantee covers any rider-caused wear.</w:t>
      </w:r>
    </w:p>
    <w:p>
      <w:pPr>
        <w:spacing w:after="80" w:line="252"/>
      </w:pPr>
      <w:r>
        <w:t xml:space="preserve">“Earn Mode is the missing piece that makes FSD economically self-justifying,” said a Tesla product lead. “Owners have told us for two years that $99 a month felt steep for a system they still had to supervise. Now the math is different. If your car earns $400 a month and FSD costs $99, you are net positive $300. The subscription stops being an expense and becomes an investment in an asset that pays you back.”</w:t>
      </w:r>
    </w:p>
    <w:p>
      <w:pPr>
        <w:spacing w:after="80" w:line="252"/>
      </w:pPr>
      <w:r>
        <w:t xml:space="preserve">Earn Mode is available today in Austin, Phoenix, and Dallas. Tesla plans to expand to Houston, Miami, Orlando, Tampa, and Las Vegas by the end of 2026, contingent on local regulatory approval for unsupervised FSD operation. Interested owners can join the waitlist immediately through the Tesla app. To learn more, visit tesla.com/earn.</w:t>
      </w:r>
    </w:p>
    <w:p>
      <w:pPr>
        <w:pStyle w:val="Heading1"/>
        <w:spacing w:after="180" w:before="360"/>
      </w:pPr>
      <w:r>
        <w:rPr>
          <w:rFonts w:ascii="Arial" w:cs="Arial" w:eastAsia="Arial" w:hAnsi="Arial"/>
          <w:b/>
          <w:bCs/>
          <w:sz w:val="32"/>
          <w:szCs w:val="32"/>
        </w:rPr>
        <w:t xml:space="preserve">External FAQs</w:t>
      </w:r>
    </w:p>
    <w:p>
      <w:pPr>
        <w:spacing w:after="80" w:line="252"/>
      </w:pPr>
      <w:r>
        <w:rPr>
          <w:rFonts w:ascii="Arial" w:cs="Arial" w:eastAsia="Arial" w:hAnsi="Arial"/>
          <w:i/>
          <w:iCs/>
          <w:sz w:val="22"/>
          <w:szCs w:val="22"/>
        </w:rPr>
        <w:t xml:space="preserve">Questions a Tesla owner or prospective owner is likely to ask.</w:t>
      </w:r>
    </w:p>
    <w:p>
      <w:pPr>
        <w:keepNext/>
        <w:spacing w:after="40" w:before="120"/>
      </w:pPr>
      <w:r>
        <w:rPr>
          <w:rFonts w:ascii="Arial" w:cs="Arial" w:eastAsia="Arial" w:hAnsi="Arial"/>
          <w:b/>
          <w:bCs/>
          <w:sz w:val="22"/>
          <w:szCs w:val="22"/>
        </w:rPr>
        <w:t xml:space="preserve">1. How do I enroll my Model Y in Earn Mode?</w:t>
      </w:r>
    </w:p>
    <w:p>
      <w:pPr>
        <w:spacing w:after="80" w:line="252"/>
      </w:pPr>
      <w:r>
        <w:t xml:space="preserve">Open the Tesla app, tap Earn Mode in the main menu, and follow the onboarding flow. You must have an HW4-equipped Model Y, an active FSD subscription, and live in a city where Earn Mode is available (currently Austin, Phoenix, and Dallas). Enrollment takes about three minutes. You set your availability windows, confirm a brief interior inspection via the in-car camera, and you are ready to earn. Tesla activates your enrollment within 24 hours after a final vehicle health check.</w:t>
      </w:r>
    </w:p>
    <w:p>
      <w:pPr>
        <w:keepNext/>
        <w:spacing w:after="40" w:before="120"/>
      </w:pPr>
      <w:r>
        <w:rPr>
          <w:rFonts w:ascii="Arial" w:cs="Arial" w:eastAsia="Arial" w:hAnsi="Arial"/>
          <w:b/>
          <w:bCs/>
          <w:sz w:val="22"/>
          <w:szCs w:val="22"/>
        </w:rPr>
        <w:t xml:space="preserve">2. How much can I expect to earn?</w:t>
      </w:r>
    </w:p>
    <w:p>
      <w:pPr>
        <w:spacing w:after="80" w:line="252"/>
      </w:pPr>
      <w:r>
        <w:t xml:space="preserve">Earnings depend on your city, your availability hours, and local Robotaxi demand. In our beta, the median owner earned about $480 per month with 30 weekly hours of availability, and the top quartile earned over $900 per month. The Tesla app shows you a personalized monthly estimate based on your zip code before you enroll, and the estimate updates daily as you build a history. We deliberately quote conservative ranges; we would rather underpromise than overpromise.</w:t>
      </w:r>
    </w:p>
    <w:p>
      <w:pPr>
        <w:keepNext/>
        <w:spacing w:after="40" w:before="120"/>
      </w:pPr>
      <w:r>
        <w:rPr>
          <w:rFonts w:ascii="Arial" w:cs="Arial" w:eastAsia="Arial" w:hAnsi="Arial"/>
          <w:b/>
          <w:bCs/>
          <w:sz w:val="22"/>
          <w:szCs w:val="22"/>
        </w:rPr>
        <w:t xml:space="preserve">3. What if my car is damaged or dirty after a trip?</w:t>
      </w:r>
    </w:p>
    <w:p>
      <w:pPr>
        <w:spacing w:after="80" w:line="252"/>
      </w:pPr>
      <w:r>
        <w:t xml:space="preserve">Every Earn Mode trip is covered by Tesla’s $250 trip-by-trip damage guarantee for minor cleaning and wear. Major damage is covered by Tesla’s $2M commercial Robotaxi insurance policy, which fully replaces the personal auto policy while your vehicle is on an Earn Mode trip. If your car needs cleaning, Tesla dispatches a partner to clean it before its next trip and credits the cost. You will see all of this on the trip detail screen in the Tesla app.</w:t>
      </w:r>
    </w:p>
    <w:p>
      <w:pPr>
        <w:keepNext/>
        <w:spacing w:after="40" w:before="120"/>
      </w:pPr>
      <w:r>
        <w:rPr>
          <w:rFonts w:ascii="Arial" w:cs="Arial" w:eastAsia="Arial" w:hAnsi="Arial"/>
          <w:b/>
          <w:bCs/>
          <w:sz w:val="22"/>
          <w:szCs w:val="22"/>
        </w:rPr>
        <w:t xml:space="preserve">4. What if I need my car unexpectedly?</w:t>
      </w:r>
    </w:p>
    <w:p>
      <w:pPr>
        <w:spacing w:after="80" w:line="252"/>
      </w:pPr>
      <w:r>
        <w:t xml:space="preserve">Tap “Call My Car Home” in the Tesla app. Earn Mode guarantees your vehicle is back at your designated home location within 90 minutes, regardless of whether it is mid-trip. If your car is currently carrying a rider, it will complete that trip and then return; if it is empty, it returns immediately. We track the on-time rate per owner and refund a small inconvenience credit if we ever miss the 90-minute window.</w:t>
      </w:r>
    </w:p>
    <w:p>
      <w:pPr>
        <w:keepNext/>
        <w:spacing w:after="40" w:before="120"/>
      </w:pPr>
      <w:r>
        <w:rPr>
          <w:rFonts w:ascii="Arial" w:cs="Arial" w:eastAsia="Arial" w:hAnsi="Arial"/>
          <w:b/>
          <w:bCs/>
          <w:sz w:val="22"/>
          <w:szCs w:val="22"/>
        </w:rPr>
        <w:t xml:space="preserve">5. Does Earn Mode cost anything extra beyond my FSD subscription?</w:t>
      </w:r>
    </w:p>
    <w:p>
      <w:pPr>
        <w:spacing w:after="80" w:line="252"/>
      </w:pPr>
      <w:r>
        <w:t xml:space="preserve">No. There is no enrollment fee, no monthly fee, and no equipment to install. You keep your $99/month FSD subscription as-is. Tesla deducts a platform fee from each trip’s revenue (clearly itemized in your trip dashboard), and your 70 percent payout is after Supercharger energy, insurance, and any cleaning costs. Earn Mode is a revenue-share, not a subscription upsell.</w:t>
      </w:r>
    </w:p>
    <w:p>
      <w:pPr>
        <w:keepNext/>
        <w:spacing w:after="40" w:before="120"/>
      </w:pPr>
      <w:r>
        <w:rPr>
          <w:rFonts w:ascii="Arial" w:cs="Arial" w:eastAsia="Arial" w:hAnsi="Arial"/>
          <w:b/>
          <w:bCs/>
          <w:sz w:val="22"/>
          <w:szCs w:val="22"/>
        </w:rPr>
        <w:t xml:space="preserve">6. What does the rider see? Will they know whose car they are in?</w:t>
      </w:r>
    </w:p>
    <w:p>
      <w:pPr>
        <w:spacing w:after="80" w:line="252"/>
      </w:pPr>
      <w:r>
        <w:t xml:space="preserve">Riders see a generic Tesla Robotaxi vehicle in the customer app, not the owner’s name or photo. From the rider’s perspective, every Earn Mode trip feels identical to a Tesla-owned Cybercab trip: they request a ride, the nearest available vehicle is dispatched, and the car arrives autonomously. Owners are anonymized end-to-end. We do not share owner identity, address, or any personal data with riders.</w:t>
      </w:r>
    </w:p>
    <w:p>
      <w:pPr>
        <w:keepNext/>
        <w:spacing w:after="40" w:before="120"/>
      </w:pPr>
      <w:r>
        <w:rPr>
          <w:rFonts w:ascii="Arial" w:cs="Arial" w:eastAsia="Arial" w:hAnsi="Arial"/>
          <w:b/>
          <w:bCs/>
          <w:sz w:val="22"/>
          <w:szCs w:val="22"/>
        </w:rPr>
        <w:t xml:space="preserve">7. Who is liable if there is an accident while my car is on an Earn Mode trip?</w:t>
      </w:r>
    </w:p>
    <w:p>
      <w:pPr>
        <w:spacing w:after="80" w:line="252"/>
      </w:pPr>
      <w:r>
        <w:t xml:space="preserve">Tesla is. The moment your vehicle starts an Earn Mode trip, your personal auto policy steps aside and Tesla’s commercial Robotaxi policy takes over. This is true even if you are inside the car (you cannot be, since trips are unsupervised, but conceptually). Tesla, not the owner, is the named insured and the operator under state TNC regulations. This is the legal architecture that distinguishes Earn Mode from a peer-to-peer ride-share model.</w:t>
      </w:r>
    </w:p>
    <w:p>
      <w:pPr>
        <w:keepNext/>
        <w:spacing w:after="40" w:before="120"/>
      </w:pPr>
      <w:r>
        <w:rPr>
          <w:rFonts w:ascii="Arial" w:cs="Arial" w:eastAsia="Arial" w:hAnsi="Arial"/>
          <w:b/>
          <w:bCs/>
          <w:sz w:val="22"/>
          <w:szCs w:val="22"/>
        </w:rPr>
        <w:t xml:space="preserve">8. Is Earn Mode available in my city?</w:t>
      </w:r>
    </w:p>
    <w:p>
      <w:pPr>
        <w:spacing w:after="80" w:line="252"/>
      </w:pPr>
      <w:r>
        <w:t xml:space="preserve">Today, Earn Mode operates in Austin, Phoenix, and Dallas. Tesla is rolling out to Houston, Miami, Orlando, Tampa, and Las Vegas by Q4 2026, pending state-level approval for unsupervised FSD operation. You can join the Earn Mode waitlist for your city in the Tesla app today. We will notify you the moment Earn Mode goes live in your metro and prioritize early waitlist members in the initial enrollment wave.</w:t>
      </w:r>
    </w:p>
    <w:p>
      <w:pPr>
        <w:keepNext/>
        <w:spacing w:after="40" w:before="120"/>
      </w:pPr>
      <w:r>
        <w:rPr>
          <w:rFonts w:ascii="Arial" w:cs="Arial" w:eastAsia="Arial" w:hAnsi="Arial"/>
          <w:b/>
          <w:bCs/>
          <w:sz w:val="22"/>
          <w:szCs w:val="22"/>
        </w:rPr>
        <w:t xml:space="preserve">9. Can I restrict where my car goes or what kinds of trips it accepts?</w:t>
      </w:r>
    </w:p>
    <w:p>
      <w:pPr>
        <w:spacing w:after="80" w:line="252"/>
      </w:pPr>
      <w:r>
        <w:t xml:space="preserve">Yes. You can blacklist specific destinations, neighborhoods, or zip codes. You can cap maximum trip distance (the app defaults to 25 miles in the Settings tab, which you can raise or lower). You can opt out of overnight hours, airport runs, or event-driven surges. The default settings are designed to maximize earnings, but every restriction is one tap away in the app. Restrictions reduce earnings, and the app shows you the projected earnings impact of each setting in real time.</w:t>
      </w:r>
    </w:p>
    <w:p>
      <w:pPr>
        <w:keepNext/>
        <w:spacing w:after="40" w:before="120"/>
      </w:pPr>
      <w:r>
        <w:rPr>
          <w:rFonts w:ascii="Arial" w:cs="Arial" w:eastAsia="Arial" w:hAnsi="Arial"/>
          <w:b/>
          <w:bCs/>
          <w:sz w:val="22"/>
          <w:szCs w:val="22"/>
        </w:rPr>
        <w:t xml:space="preserve">10. How does Earn Mode affect my battery life and Supercharger costs?</w:t>
      </w:r>
    </w:p>
    <w:p>
      <w:pPr>
        <w:spacing w:after="80" w:line="252"/>
      </w:pPr>
      <w:r>
        <w:t xml:space="preserve">Tesla manages all charging during Earn Mode trips. Your vehicle will Supercharge automatically between trips to maintain at least your configured battery reserve floor (defaulting to 20 percent in the Settings tab, adjustable up to 50 percent), stopping new trip dispatch below that threshold. All Supercharger costs are paid by Tesla and deducted before your 70 percent payout. We monitor your battery health via the same telemetry that powers the existing Tesla warranty system, and Earn Mode usage does not affect your battery warranty. If your battery degrades faster than the warranty curve due to Earn Mode usage, Tesla covers the gap.</w:t>
      </w:r>
    </w:p>
    <w:p>
      <w:pPr>
        <w:pStyle w:val="Heading1"/>
        <w:spacing w:after="180" w:before="360"/>
      </w:pPr>
      <w:r>
        <w:rPr>
          <w:rFonts w:ascii="Arial" w:cs="Arial" w:eastAsia="Arial" w:hAnsi="Arial"/>
          <w:b/>
          <w:bCs/>
          <w:sz w:val="32"/>
          <w:szCs w:val="32"/>
        </w:rPr>
        <w:t xml:space="preserve">Internal FAQs</w:t>
      </w:r>
    </w:p>
    <w:p>
      <w:pPr>
        <w:spacing w:after="80" w:line="252"/>
      </w:pPr>
      <w:r>
        <w:rPr>
          <w:rFonts w:ascii="Arial" w:cs="Arial" w:eastAsia="Arial" w:hAnsi="Arial"/>
          <w:i/>
          <w:iCs/>
          <w:sz w:val="22"/>
          <w:szCs w:val="22"/>
        </w:rPr>
        <w:t xml:space="preserve">Questions internal executives, partner teams, engineering, design, legal, and finance are likely to ask.</w:t>
      </w:r>
    </w:p>
    <w:p>
      <w:pPr>
        <w:keepNext/>
        <w:spacing w:after="40" w:before="120"/>
      </w:pPr>
      <w:r>
        <w:rPr>
          <w:rFonts w:ascii="Arial" w:cs="Arial" w:eastAsia="Arial" w:hAnsi="Arial"/>
          <w:b/>
          <w:bCs/>
          <w:sz w:val="22"/>
          <w:szCs w:val="22"/>
        </w:rPr>
        <w:t xml:space="preserve">1. Why now? Why not wait for full unsupervised FSD approval everywhere?</w:t>
      </w:r>
    </w:p>
    <w:p>
      <w:pPr>
        <w:spacing w:after="80" w:line="252"/>
      </w:pPr>
      <w:r>
        <w:t xml:space="preserve">Three reasons. First, we already have unsupervised FSD operating commercially in Austin (10 Model Ys, $4.20 flat fare, no safety driver, since April 2026), so the regulatory pattern is established for at least one metro. Second, Wolfe Research projects our fleet scaling to ~7,200 robotaxis by end of 2026, but our Cybercab production alone cannot meet projected demand in seven expansion metros. Earn Mode lets us scale to suburbs and second-tier neighborhoods faster than Cybercab production allows. Third, Waymo just announced the 50,000-unit Hyundai IONIQ 5 deal targeting 2028. If we wait, Waymo scales a cheaper, purpose-built L4 fleet faster than we scale our consumer-contributed fleet, and our structural capital-efficiency advantage erodes. We need to defend the moat now.</w:t>
      </w:r>
    </w:p>
    <w:p>
      <w:pPr>
        <w:keepNext/>
        <w:spacing w:after="40" w:before="120"/>
      </w:pPr>
      <w:r>
        <w:rPr>
          <w:rFonts w:ascii="Arial" w:cs="Arial" w:eastAsia="Arial" w:hAnsi="Arial"/>
          <w:b/>
          <w:bCs/>
          <w:sz w:val="22"/>
          <w:szCs w:val="22"/>
        </w:rPr>
        <w:t xml:space="preserve">2. What is our pricing/revenue-split rationale?</w:t>
      </w:r>
    </w:p>
    <w:p>
      <w:pPr>
        <w:spacing w:after="80" w:line="252"/>
      </w:pPr>
      <w:r>
        <w:t xml:space="preserve">Owners receive 70 percent of net trip revenue after Supercharger energy, insurance, and cleaning costs are deducted. We modeled this against three anchors: Uber/Lyft driver take-rates (~75 percent of gross), Airbnb host take-rates (~85 percent), and Turo car-share take-rates (~70 to 80 percent). We chose 70 percent of net (rather than gross) because we, not the owner, bear all operating costs (insurance, charging, cleaning, dispatch infrastructure). This structure gives owners a meaningful but sustainable share while protecting Tesla’s unit economics. At our $4.20 base fare and current Austin utilization, a typical owner earns about $480/month net; Tesla retains about $200/month per enrolled vehicle in platform contribution margin.</w:t>
      </w:r>
    </w:p>
    <w:p>
      <w:pPr>
        <w:keepNext/>
        <w:spacing w:after="40" w:before="120"/>
      </w:pPr>
      <w:r>
        <w:rPr>
          <w:rFonts w:ascii="Arial" w:cs="Arial" w:eastAsia="Arial" w:hAnsi="Arial"/>
          <w:b/>
          <w:bCs/>
          <w:sz w:val="22"/>
          <w:szCs w:val="22"/>
        </w:rPr>
        <w:t xml:space="preserve">3. How do we handle insurance and liability when a personal vehicle is in commercial use?</w:t>
      </w:r>
    </w:p>
    <w:p>
      <w:pPr>
        <w:spacing w:after="80" w:line="252"/>
      </w:pPr>
      <w:r>
        <w:t xml:space="preserve">Tesla Insurance writes a separate commercial Robotaxi policy that activates the instant a vehicle starts an Earn Mode trip and deactivates when the trip ends. During Earn Mode trips, Tesla is the named insured and the operator of record. The owner’s personal auto policy is held harmless. This is the same legal structure Tesla already uses for the Austin pilot fleet, so we are extending an existing framework rather than inventing one. We have written sign-off from Tesla Insurance’s actuarial team and we have outside counsel opinion letters in three pilot states. The TNC classification risk is real (FAQ 6) but the insurance and liability framework is solid.</w:t>
      </w:r>
    </w:p>
    <w:p>
      <w:pPr>
        <w:keepNext/>
        <w:spacing w:after="40" w:before="120"/>
      </w:pPr>
      <w:r>
        <w:rPr>
          <w:rFonts w:ascii="Arial" w:cs="Arial" w:eastAsia="Arial" w:hAnsi="Arial"/>
          <w:b/>
          <w:bCs/>
          <w:sz w:val="22"/>
          <w:szCs w:val="22"/>
        </w:rPr>
        <w:t xml:space="preserve">4. What is our SMART success metric and how does it ladder to the North Star?</w:t>
      </w:r>
    </w:p>
    <w:p>
      <w:pPr>
        <w:spacing w:after="80" w:line="252"/>
      </w:pPr>
      <w:r>
        <w:t xml:space="preserve">Specific: 20 percent of HW4 Model Y owners in pilot metros enrolled in Earn Mode within 12 months of launch. Measurable: tracked weekly via the Earn Mode enrollment dashboard. Achievable: benchmarked against analog product adoption curves (Airbnb host activation, Uber driver onboarding, and residential solar enrollment), 20 percent target-segment activation in 12 months is in the upper half of the realistic range; we have set the target deliberately at the conservative end. Relevant: Earn Mode enrollment is the leading indicator for our North Star metric, which is FSD subscription take-rate (target: 25 percent of the global fleet within 18 months, up from 12.4 percent today). Time-bound: 12 months from public launch. Secondary metrics: $400 median monthly owner earnings, 99.5 percent on-time return-to-home, less than 0.5 percent trip-level incident rate.</w:t>
      </w:r>
    </w:p>
    <w:p>
      <w:pPr>
        <w:keepNext/>
        <w:spacing w:after="40" w:before="120"/>
      </w:pPr>
      <w:r>
        <w:rPr>
          <w:rFonts w:ascii="Arial" w:cs="Arial" w:eastAsia="Arial" w:hAnsi="Arial"/>
          <w:b/>
          <w:bCs/>
          <w:sz w:val="22"/>
          <w:szCs w:val="22"/>
        </w:rPr>
        <w:t xml:space="preserve">5. Why launch in Austin, Phoenix, and Dallas first?</w:t>
      </w:r>
    </w:p>
    <w:p>
      <w:pPr>
        <w:spacing w:after="80" w:line="252"/>
      </w:pPr>
      <w:r>
        <w:t xml:space="preserve">Three criteria: regulatory readiness, infrastructure density, and weather. Austin already hosts our commercial Robotaxi pilot and has the most permissive unsupervised AV regulatory environment in the US. Phoenix has clear weather year-round (critical for vision-only FSD), Waymo presence (we can compete head-to-head and benchmark), and a state government that has actively courted AV deployment since 2017. Dallas combines suburban density (high commuter idle time, the core target user profile) with a recent state-level TNC clarification that explicitly permits Tesla’s operator-of-record structure. We deliberately excluded California from the first wave because of the active Tesla Insurance enforcement action and CPUC ambiguity about unsupervised consumer-vehicle dispatch.</w:t>
      </w:r>
    </w:p>
    <w:p>
      <w:pPr>
        <w:keepNext/>
        <w:spacing w:after="40" w:before="120"/>
      </w:pPr>
      <w:r>
        <w:rPr>
          <w:rFonts w:ascii="Arial" w:cs="Arial" w:eastAsia="Arial" w:hAnsi="Arial"/>
          <w:b/>
          <w:bCs/>
          <w:sz w:val="22"/>
          <w:szCs w:val="22"/>
        </w:rPr>
        <w:t xml:space="preserve">6. What is the regulatory risk, especially around TNC classification?</w:t>
      </w:r>
    </w:p>
    <w:p>
      <w:pPr>
        <w:spacing w:after="80" w:line="252"/>
      </w:pPr>
      <w:r>
        <w:t xml:space="preserve">The largest open question is whether state regulators classify Earn Mode as a Transportation Network Company (TNC) operation, which would impose commercial licensing requirements on individual owners. Our defense is that Tesla, not the owner, is the operator, the insured party, and the customer-facing entity; the owner is a passive asset contributor analogous to an Airbnb host who does not personally serve guests. We have aligned with state AV regulators in Texas, Arizona, and Florida; California remains an open question. Mitigation: in any state that rules Earn Mode is a TNC operation requiring per-owner licensing, we absorb the licensing cost on behalf of the owner up to $250/year so the burden does not suppress enrollment.</w:t>
      </w:r>
    </w:p>
    <w:p>
      <w:pPr>
        <w:keepNext/>
        <w:spacing w:after="40" w:before="120"/>
      </w:pPr>
      <w:r>
        <w:rPr>
          <w:rFonts w:ascii="Arial" w:cs="Arial" w:eastAsia="Arial" w:hAnsi="Arial"/>
          <w:b/>
          <w:bCs/>
          <w:sz w:val="22"/>
          <w:szCs w:val="22"/>
        </w:rPr>
        <w:t xml:space="preserve">7. How does Earn Mode complement (rather than cannibalize) the Tesla-owned Cybercab fleet?</w:t>
      </w:r>
    </w:p>
    <w:p>
      <w:pPr>
        <w:spacing w:after="80" w:line="252"/>
      </w:pPr>
      <w:r>
        <w:t xml:space="preserve">Cybercab production is concentrated in core urban zones where the per-trip economics are tightest and the fleet utilization is highest. Earn Mode extends Robotaxi coverage to suburban and second-tier neighborhoods where Cybercab fleet density would be capital-inefficient. The two fleets are complementary on geography (Cybercab dense urban, Earn Mode suburban), time (Cybercab 24/7, Earn Mode owner-availability-window-bounded), and trip type (Cybercab high-utilization shuttles, Earn Mode lower-utilization but capital-light). Our dispatch system already routes the optimal vehicle from a heterogeneous fleet; we are simply adding more nodes to the network.</w:t>
      </w:r>
    </w:p>
    <w:p>
      <w:pPr>
        <w:keepNext/>
        <w:spacing w:after="40" w:before="120"/>
      </w:pPr>
      <w:r>
        <w:rPr>
          <w:rFonts w:ascii="Arial" w:cs="Arial" w:eastAsia="Arial" w:hAnsi="Arial"/>
          <w:b/>
          <w:bCs/>
          <w:sz w:val="22"/>
          <w:szCs w:val="22"/>
        </w:rPr>
        <w:t xml:space="preserve">8. What is the unit economics model and how do we get to profitability?</w:t>
      </w:r>
    </w:p>
    <w:p>
      <w:pPr>
        <w:spacing w:after="80" w:line="252"/>
      </w:pPr>
      <w:r>
        <w:t xml:space="preserve">Per active Earn Mode vehicle per month at moderate utilization (35 hours/week availability, 60 percent fill rate): Gross revenue ~$870. Supercharger energy ~$130. Insurance ~$95. Cleaning ~$60. Net revenue ~$585. Owner payout (70 percent of net) ~$410. Tesla platform contribution ~$175. At 200,000 enrolled vehicles by end of 2027, this is $35M monthly contribution margin from Earn Mode alone, separate from the FSD take-rate lift it drives. The much larger value is the implied FSD subscription growth: if Earn Mode lifts FSD take-rate from 12.4 percent to 20 percent across the 8.9M-vehicle fleet, that is an incremental ~670,000 FSD subscribers at $99/month, or ~$800M of incremental annual recurring revenue.</w:t>
      </w:r>
    </w:p>
    <w:p>
      <w:pPr>
        <w:keepNext/>
        <w:spacing w:after="40" w:before="120"/>
      </w:pPr>
      <w:r>
        <w:rPr>
          <w:rFonts w:ascii="Arial" w:cs="Arial" w:eastAsia="Arial" w:hAnsi="Arial"/>
          <w:b/>
          <w:bCs/>
          <w:sz w:val="22"/>
          <w:szCs w:val="22"/>
        </w:rPr>
        <w:t xml:space="preserve">9. What experiments have we run, what is in flight, and what do we project?</w:t>
      </w:r>
    </w:p>
    <w:p>
      <w:pPr>
        <w:spacing w:after="80" w:line="252"/>
      </w:pPr>
      <w:r>
        <w:t xml:space="preserve">Three layers. Layer one (designed, not yet executed): a 28-day pre-launch A/B test of the Earnings Estimator on the FSD subscription page (Control, T1 estimator card, T2 estimator + waitlist CTA), full pre-experiment write-up complete. Projected outcome based on analogs in residential solar earnings calculators and Airbnb host onboarding: T2 delivers a 15 to 25 percent relative lift in FSD conversion without violating retention or support-ticket guardrails. Layer two (in flight on the prototype): a small directional validation of hero-copy framing on our live prototype, posted to Tesla owner communities for the duration of the assignment window; sample target 100+ visitors per arm; results directional only. Layer three (proposed for production): a 60-day closed beta in Austin (target 1,200 owners) with surveys, NPS, on-time SLA tracking, and incident telemetry before broader pilot rollout. Detailed designs in Appendix A.5 and A.6.</w:t>
      </w:r>
    </w:p>
    <w:p>
      <w:pPr>
        <w:keepNext/>
        <w:spacing w:after="40" w:before="120"/>
      </w:pPr>
      <w:r>
        <w:rPr>
          <w:rFonts w:ascii="Arial" w:cs="Arial" w:eastAsia="Arial" w:hAnsi="Arial"/>
          <w:b/>
          <w:bCs/>
          <w:sz w:val="22"/>
          <w:szCs w:val="22"/>
        </w:rPr>
        <w:t xml:space="preserve">10. How does Earn Mode affect FSD take-rate, and how confident are we in the lift?</w:t>
      </w:r>
    </w:p>
    <w:p>
      <w:pPr>
        <w:spacing w:after="80" w:line="252"/>
      </w:pPr>
      <w:r>
        <w:t xml:space="preserve">Our base case is +10 percentage points to FSD take-rate within 18 months in pilot metros (from 12.4 percent to ~22 percent). Confidence is moderate (~65 to 70 percent). Evidence base: (1) Earnings Estimator A/B test projected 15 to 25 percent relative conversion lift in the subscription flow, calibrated to published analogs in residential solar and Airbnb host onboarding (see A.5); (2) qualitative research across Tesla owner communities and informal conversations shows “I would subscribe because the car pays for it” is the single most cited reason for net-new subscription interest among current non-subscribers; (3) cost-conscious mainstream segment represents 88 percent of the addressable Model Y fleet, the largest pool of upside. Downside risk: if Earn Mode launches but Robotaxi demand in pilot cities is weaker than projected, owners enroll but earn less than the estimator promised, churn spikes, and the take-rate lift reverses.</w:t>
      </w:r>
    </w:p>
    <w:p>
      <w:pPr>
        <w:keepNext/>
        <w:spacing w:after="40" w:before="120"/>
      </w:pPr>
      <w:r>
        <w:rPr>
          <w:rFonts w:ascii="Arial" w:cs="Arial" w:eastAsia="Arial" w:hAnsi="Arial"/>
          <w:b/>
          <w:bCs/>
          <w:sz w:val="22"/>
          <w:szCs w:val="22"/>
        </w:rPr>
        <w:t xml:space="preserve">11. What are the failure modes if owners are dissatisfied with Earn Mode payouts or experience?</w:t>
      </w:r>
    </w:p>
    <w:p>
      <w:pPr>
        <w:spacing w:after="80" w:line="252"/>
      </w:pPr>
      <w:r>
        <w:t xml:space="preserve">Four failure modes ranked by likelihood and impact. (a) Earnings under-delivery: owners enroll expecting $500/month, actually earn $200, churn, and post negatively on Reddit/X. Mitigation: conservative estimator (we display 10th-to-50th percentile range, not the mean), guaranteed minimum $100/month payout for the first 90 days. (b) Cleanliness or damage incidents: a single viral case of a trashed Model Y interior could spike opt-outs. Mitigation: $250 trip-by-trip guarantee, interior camera evidence, partner cleaning network. (c) Return-to-home failure: a missed 90-minute SLA at a critical moment. Mitigation: SLA-protected dispatch logic, $50 inconvenience credit per miss. (d) Battery degradation concerns: owners worry their battery will wear out faster. Mitigation: battery-warranty backstop and a transparent battery health dashboard.</w:t>
      </w:r>
    </w:p>
    <w:p>
      <w:pPr>
        <w:keepNext/>
        <w:spacing w:after="40" w:before="120"/>
      </w:pPr>
      <w:r>
        <w:rPr>
          <w:rFonts w:ascii="Arial" w:cs="Arial" w:eastAsia="Arial" w:hAnsi="Arial"/>
          <w:b/>
          <w:bCs/>
          <w:sz w:val="22"/>
          <w:szCs w:val="22"/>
        </w:rPr>
        <w:t xml:space="preserve">12. What is the engineering and tech stack, and how does it integrate with existing Robotaxi infrastructure?</w:t>
      </w:r>
    </w:p>
    <w:p>
      <w:pPr>
        <w:spacing w:after="80" w:line="252"/>
      </w:pPr>
      <w:r>
        <w:t xml:space="preserve">Earn Mode is a thin orchestration layer on top of three existing systems: the Tesla mobile app (owner-facing UI), the Tesla Robotaxi dispatch system (already running in Austin), and Tesla Insurance (commercial policy issuance and claims). New components: (a) earnings estimator microservice that pulls zip-code-level Robotaxi demand from the dispatch system and projects per-vehicle earnings; (b) availability window scheduler that integrates with vehicle telemetry to gate which cars are dispatchable at any given moment; (c) owner payout engine that handles weekly ACH disbursements via Stripe Treasury; (d) the LLM-powered dispatch optimizer (see appendix) that handles multi-constraint trade-offs across the heterogeneous Cybercab + Earn Mode fleet. Stack: Python/Go services on the existing Tesla AWS stack, React Native in the Tesla app, PyTorch for the dispatch and earnings ML models.</w:t>
      </w:r>
    </w:p>
    <w:p>
      <w:pPr>
        <w:keepNext/>
        <w:spacing w:after="40" w:before="120"/>
      </w:pPr>
      <w:r>
        <w:rPr>
          <w:rFonts w:ascii="Arial" w:cs="Arial" w:eastAsia="Arial" w:hAnsi="Arial"/>
          <w:b/>
          <w:bCs/>
          <w:sz w:val="22"/>
          <w:szCs w:val="22"/>
        </w:rPr>
        <w:t xml:space="preserve">13. What growth-hacking levers do we have to drive owner enrollment?</w:t>
      </w:r>
    </w:p>
    <w:p>
      <w:pPr>
        <w:spacing w:after="80" w:line="252"/>
      </w:pPr>
      <w:r>
        <w:t xml:space="preserve">Five levers, ordered by expected ROI. (a) The Earnings Estimator card on the FSD subscription page (see proposed A/B test in A.5). (b) In-vehicle prompts: when a parked Model Y has been idle for more than 4 hours in a pilot metro, show a one-tap “Your car could be earning right now” nudge on the dashboard. (c) Referral program: $200 for the referring owner and $200 for the new enrollee after the new enrollee’s first 100 paid miles. (d) Earnings transparency on the Tesla website (city-level dashboards showing real anonymized earnings). (e) Co-marketing with local employers (suburban office parks where employee Teslas sit idle for 9 hours/day are a perfect lead source).</w:t>
      </w:r>
    </w:p>
    <w:p>
      <w:pPr>
        <w:keepNext/>
        <w:spacing w:after="40" w:before="120"/>
      </w:pPr>
      <w:r>
        <w:rPr>
          <w:rFonts w:ascii="Arial" w:cs="Arial" w:eastAsia="Arial" w:hAnsi="Arial"/>
          <w:b/>
          <w:bCs/>
          <w:sz w:val="22"/>
          <w:szCs w:val="22"/>
        </w:rPr>
        <w:t xml:space="preserve">14. What happens if Waymo, Uber, or Lyft respond with their own owner-network model?</w:t>
      </w:r>
    </w:p>
    <w:p>
      <w:pPr>
        <w:spacing w:after="80" w:line="252"/>
      </w:pPr>
      <w:r>
        <w:t xml:space="preserve">Waymo cannot replicate Earn Mode because they do not have a consumer vehicle fleet; their entire business model is built on owned-fleet capex. Uber and Lyft could in theory contract with FSD-equipped Tesla owners to run autonomous rides, but they do not control the dispatch software, the vehicle, the insurance, or the regulatory operator-of-record status. Our moat is end-to-end vertical integration: chip (HW4), training (Dojo), neural net (FSD v14), vehicle, dispatch, payments, insurance, and customer relationship. A competitor would need to replicate all seven layers. The most realistic competitive response is Waymo expanding its consumer leasing program, which would still leave them at ~50 percent higher per-mile cost (per ARK Invest).</w:t>
      </w:r>
    </w:p>
    <w:p>
      <w:pPr>
        <w:keepNext/>
        <w:spacing w:after="40" w:before="120"/>
      </w:pPr>
      <w:r>
        <w:rPr>
          <w:rFonts w:ascii="Arial" w:cs="Arial" w:eastAsia="Arial" w:hAnsi="Arial"/>
          <w:b/>
          <w:bCs/>
          <w:sz w:val="22"/>
          <w:szCs w:val="22"/>
        </w:rPr>
        <w:t xml:space="preserve">15. How do we handle vehicle wear, depreciation, and the long-term math for owners?</w:t>
      </w:r>
    </w:p>
    <w:p>
      <w:pPr>
        <w:spacing w:after="80" w:line="252"/>
      </w:pPr>
      <w:r>
        <w:t xml:space="preserve">Honest answer: at high utilization (50+ hours/week), Earn Mode accelerates vehicle wear by an estimated 1.4x to 1.8x relative to private use, primarily affecting tires, brakes, interior surfaces, and (less so) battery. Our financial model accounts for this in three ways: (a) the $250 trip-by-trip damage guarantee covers all rider-caused wear; (b) Tesla credits owners for accelerated tire and brake wear at the standard service interval; (c) the 70/30 net split is calibrated so that even after wear and depreciation, owners net a positive return on their FSD subscription cost. We will publish a quarterly “Earn Mode wear study” to maintain transparency.</w:t>
      </w:r>
    </w:p>
    <w:p>
      <w:pPr>
        <w:keepNext/>
        <w:spacing w:after="40" w:before="120"/>
      </w:pPr>
      <w:r>
        <w:rPr>
          <w:rFonts w:ascii="Arial" w:cs="Arial" w:eastAsia="Arial" w:hAnsi="Arial"/>
          <w:b/>
          <w:bCs/>
          <w:sz w:val="22"/>
          <w:szCs w:val="22"/>
        </w:rPr>
        <w:t xml:space="preserve">16. What is the v1 vs v2 roadmap? What are we explicitly NOT building first?</w:t>
      </w:r>
    </w:p>
    <w:p>
      <w:pPr>
        <w:spacing w:after="80" w:line="252"/>
      </w:pPr>
      <w:r>
        <w:t xml:space="preserve">v1 (today): HW4 Model Y only, three pilot cities, owner-set availability windows, fixed 70/30 net split, English-only app, ACH weekly payouts, US-only. Explicitly NOT in v1: Cybertruck or Model 3 support (different HW3 sensor coverage), peer-to-peer leasing (insurance/liability blockers), dynamic per-trip owner approval (latency would degrade dispatch quality), tiered earnings (premium vs standard interior class), international markets (regulatory complexity), in-app social features. v2 candidates (12 to 18 months out): Model 3 HW4 support, owner-customizable interior presets shown to riders, real-time route-level opt-in, expansion to 10 more US metros, multi-city availability for owners who travel.</w:t>
      </w:r>
    </w:p>
    <w:p>
      <w:pPr>
        <w:keepNext/>
        <w:spacing w:after="40" w:before="120"/>
      </w:pPr>
      <w:r>
        <w:rPr>
          <w:rFonts w:ascii="Arial" w:cs="Arial" w:eastAsia="Arial" w:hAnsi="Arial"/>
          <w:b/>
          <w:bCs/>
          <w:sz w:val="22"/>
          <w:szCs w:val="22"/>
        </w:rPr>
        <w:t xml:space="preserve">17. What are the privacy concerns and how are we addressing them?</w:t>
      </w:r>
    </w:p>
    <w:p>
      <w:pPr>
        <w:spacing w:after="80" w:line="252"/>
      </w:pPr>
      <w:r>
        <w:t xml:space="preserve">Three privacy vectors. (a) Owner identity to riders: we anonymize fully; riders never see owner data. (b) Interior camera data: audio is off by default, video is retained for 24 hours and only accessed in response to a trip flag (cleaning, damage, safety incident); we never train ML models on owner-vehicle interior footage. (c) Owner location data: Earn Mode requires precise vehicle location for dispatch, but owner home address is anonymized via geofencing (“within one mile of”) when shared with the dispatch system. All three policies are documented in a single Earn Mode privacy notice that owners must affirmatively accept before enrolling. We do not sell, share, or monetize any owner data with third parties.</w:t>
      </w:r>
    </w:p>
    <w:p>
      <w:pPr>
        <w:keepNext/>
        <w:spacing w:after="40" w:before="120"/>
      </w:pPr>
      <w:r>
        <w:rPr>
          <w:rFonts w:ascii="Arial" w:cs="Arial" w:eastAsia="Arial" w:hAnsi="Arial"/>
          <w:b/>
          <w:bCs/>
          <w:sz w:val="22"/>
          <w:szCs w:val="22"/>
        </w:rPr>
        <w:t xml:space="preserve">18. How do we prevent fraud (gaming the system, fake trips, bot enrollment)?</w:t>
      </w:r>
    </w:p>
    <w:p>
      <w:pPr>
        <w:spacing w:after="80" w:line="252"/>
      </w:pPr>
      <w:r>
        <w:t xml:space="preserve">Three layers. (a) Hardware binding: enrollment requires a VIN with an active FSD subscription paid from a verified payment method, which screens out bot enrollment. (b) Trip authenticity: every trip is initiated by a rider in the Tesla customer app, completed against GPS telemetry, and verified by interior camera; owners cannot self-generate trips. (c) Payout reconciliation: a fraud-detection model flags anomalous patterns (e.g., suspiciously high earnings concentrated in low-demand zip codes, repeated short trips to the same destination). Suspicious accounts are held and reviewed manually before payout. Owner-facing transparency is the best long-term defense: if owners can see exactly how their earnings are calculated, gaming attempts become economically irrational.</w:t>
      </w:r>
    </w:p>
    <w:p>
      <w:r>
        <w:br w:type="page"/>
      </w:r>
    </w:p>
    <w:p>
      <w:pPr>
        <w:pStyle w:val="Heading1"/>
        <w:spacing w:after="180" w:before="360"/>
      </w:pPr>
      <w:r>
        <w:rPr>
          <w:rFonts w:ascii="Arial" w:cs="Arial" w:eastAsia="Arial" w:hAnsi="Arial"/>
          <w:b/>
          <w:bCs/>
          <w:sz w:val="32"/>
          <w:szCs w:val="32"/>
        </w:rPr>
        <w:t xml:space="preserve">Appendix</w:t>
      </w:r>
    </w:p>
    <w:p>
      <w:pPr>
        <w:pStyle w:val="Heading2"/>
        <w:spacing w:after="140" w:before="280"/>
      </w:pPr>
      <w:r>
        <w:rPr>
          <w:rFonts w:ascii="Arial" w:cs="Arial" w:eastAsia="Arial" w:hAnsi="Arial"/>
          <w:b/>
          <w:bCs/>
          <w:sz w:val="26"/>
          <w:szCs w:val="26"/>
        </w:rPr>
        <w:t xml:space="preserve">A.1 Problem Selection via RICE</w:t>
      </w:r>
    </w:p>
    <w:p>
      <w:pPr>
        <w:spacing w:after="80" w:line="252"/>
      </w:pPr>
      <w:r>
        <w:t xml:space="preserve">Before converging on Earn Mode, we evaluated five candidate problems in the Tesla FSD product space. The table below scores each problem using the RICE framework. Reach is the number of users affected. Impact is a 0.5 to 3 scale of how meaningfully a successful solution would move our North Star metric (FSD take-rate). Confidence is the probability of successful execution. Effort is engineering person-months for a v1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1500"/>
        <w:gridCol w:w="1100"/>
        <w:gridCol w:w="1300"/>
        <w:gridCol w:w="1100"/>
        <w:gridCol w:w="1500"/>
      </w:tblGrid>
      <w:tr>
        <w:tc>
          <w:tcPr>
            <w:tcW w:type="dxa" w:w="28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spacing w:after="40"/>
            </w:pPr>
            <w:r>
              <w:rPr>
                <w:rFonts w:ascii="Arial" w:cs="Arial" w:eastAsia="Arial" w:hAnsi="Arial"/>
                <w:b/>
                <w:bCs/>
                <w:sz w:val="20"/>
                <w:szCs w:val="20"/>
              </w:rPr>
              <w:t xml:space="preserve">Problem</w:t>
            </w:r>
          </w:p>
        </w:tc>
        <w:tc>
          <w:tcPr>
            <w:tcW w:type="dxa" w:w="15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spacing w:after="40"/>
            </w:pPr>
            <w:r>
              <w:rPr>
                <w:rFonts w:ascii="Arial" w:cs="Arial" w:eastAsia="Arial" w:hAnsi="Arial"/>
                <w:b/>
                <w:bCs/>
                <w:sz w:val="20"/>
                <w:szCs w:val="20"/>
              </w:rPr>
              <w:t xml:space="preserve">Reach</w:t>
            </w:r>
          </w:p>
        </w:tc>
        <w:tc>
          <w:tcPr>
            <w:tcW w:type="dxa" w:w="11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spacing w:after="40"/>
            </w:pPr>
            <w:r>
              <w:rPr>
                <w:rFonts w:ascii="Arial" w:cs="Arial" w:eastAsia="Arial" w:hAnsi="Arial"/>
                <w:b/>
                <w:bCs/>
                <w:sz w:val="20"/>
                <w:szCs w:val="20"/>
              </w:rPr>
              <w:t xml:space="preserve">Impact</w:t>
            </w:r>
          </w:p>
        </w:tc>
        <w:tc>
          <w:tcPr>
            <w:tcW w:type="dxa" w:w="13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spacing w:after="40"/>
            </w:pPr>
            <w:r>
              <w:rPr>
                <w:rFonts w:ascii="Arial" w:cs="Arial" w:eastAsia="Arial" w:hAnsi="Arial"/>
                <w:b/>
                <w:bCs/>
                <w:sz w:val="20"/>
                <w:szCs w:val="20"/>
              </w:rPr>
              <w:t xml:space="preserve">Confidence</w:t>
            </w:r>
          </w:p>
        </w:tc>
        <w:tc>
          <w:tcPr>
            <w:tcW w:type="dxa" w:w="11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spacing w:after="40"/>
            </w:pPr>
            <w:r>
              <w:rPr>
                <w:rFonts w:ascii="Arial" w:cs="Arial" w:eastAsia="Arial" w:hAnsi="Arial"/>
                <w:b/>
                <w:bCs/>
                <w:sz w:val="20"/>
                <w:szCs w:val="20"/>
              </w:rPr>
              <w:t xml:space="preserve">Effort</w:t>
            </w:r>
          </w:p>
        </w:tc>
        <w:tc>
          <w:tcPr>
            <w:tcW w:type="dxa" w:w="15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spacing w:after="40"/>
            </w:pPr>
            <w:r>
              <w:rPr>
                <w:rFonts w:ascii="Arial" w:cs="Arial" w:eastAsia="Arial" w:hAnsi="Arial"/>
                <w:b/>
                <w:bCs/>
                <w:sz w:val="20"/>
                <w:szCs w:val="20"/>
              </w:rPr>
              <w:t xml:space="preserve">RICE Score</w:t>
            </w:r>
          </w:p>
        </w:tc>
      </w:tr>
      <w:tr>
        <w:tc>
          <w:tcPr>
            <w:tcW w:type="dxa" w:w="2860"/>
            <w:tcBorders>
              <w:top w:val="single" w:color="BFBFBF" w:sz="4"/>
              <w:left w:val="single" w:color="BFBFBF" w:sz="4"/>
              <w:bottom w:val="single" w:color="BFBFBF" w:sz="4"/>
              <w:right w:val="single" w:color="BFBFBF" w:sz="4"/>
            </w:tcBorders>
            <w:shd w:fill="E8F5E9" w:val="clear"/>
            <w:tcMar>
              <w:top w:type="dxa" w:w="100"/>
              <w:left w:type="dxa" w:w="140"/>
              <w:bottom w:type="dxa" w:w="100"/>
              <w:right w:type="dxa" w:w="140"/>
            </w:tcMar>
          </w:tcPr>
          <w:p>
            <w:pPr>
              <w:spacing w:after="40"/>
            </w:pPr>
            <w:r>
              <w:rPr>
                <w:rFonts w:ascii="Arial" w:cs="Arial" w:eastAsia="Arial" w:hAnsi="Arial"/>
                <w:b/>
                <w:bCs/>
                <w:sz w:val="20"/>
                <w:szCs w:val="20"/>
              </w:rPr>
              <w:t xml:space="preserve">Low FSD take-rate via Earn Mode income (selected)</w:t>
            </w:r>
          </w:p>
        </w:tc>
        <w:tc>
          <w:tcPr>
            <w:tcW w:type="dxa" w:w="1500"/>
            <w:tcBorders>
              <w:top w:val="single" w:color="BFBFBF" w:sz="4"/>
              <w:left w:val="single" w:color="BFBFBF" w:sz="4"/>
              <w:bottom w:val="single" w:color="BFBFBF" w:sz="4"/>
              <w:right w:val="single" w:color="BFBFBF" w:sz="4"/>
            </w:tcBorders>
            <w:shd w:fill="E8F5E9" w:val="clear"/>
            <w:tcMar>
              <w:top w:type="dxa" w:w="100"/>
              <w:left w:type="dxa" w:w="140"/>
              <w:bottom w:type="dxa" w:w="100"/>
              <w:right w:type="dxa" w:w="140"/>
            </w:tcMar>
          </w:tcPr>
          <w:p>
            <w:pPr>
              <w:spacing w:after="40"/>
            </w:pPr>
            <w:r>
              <w:rPr>
                <w:rFonts w:ascii="Arial" w:cs="Arial" w:eastAsia="Arial" w:hAnsi="Arial"/>
                <w:b w:val="false"/>
                <w:bCs w:val="false"/>
                <w:sz w:val="20"/>
                <w:szCs w:val="20"/>
              </w:rPr>
              <w:t xml:space="preserve">7.8M non-subscribers</w:t>
            </w:r>
          </w:p>
        </w:tc>
        <w:tc>
          <w:tcPr>
            <w:tcW w:type="dxa" w:w="1100"/>
            <w:tcBorders>
              <w:top w:val="single" w:color="BFBFBF" w:sz="4"/>
              <w:left w:val="single" w:color="BFBFBF" w:sz="4"/>
              <w:bottom w:val="single" w:color="BFBFBF" w:sz="4"/>
              <w:right w:val="single" w:color="BFBFBF" w:sz="4"/>
            </w:tcBorders>
            <w:shd w:fill="E8F5E9" w:val="clear"/>
            <w:tcMar>
              <w:top w:type="dxa" w:w="100"/>
              <w:left w:type="dxa" w:w="140"/>
              <w:bottom w:type="dxa" w:w="100"/>
              <w:right w:type="dxa" w:w="140"/>
            </w:tcMar>
          </w:tcPr>
          <w:p>
            <w:pPr>
              <w:spacing w:after="40"/>
            </w:pPr>
            <w:r>
              <w:rPr>
                <w:rFonts w:ascii="Arial" w:cs="Arial" w:eastAsia="Arial" w:hAnsi="Arial"/>
                <w:b w:val="false"/>
                <w:bCs w:val="false"/>
                <w:sz w:val="20"/>
                <w:szCs w:val="20"/>
              </w:rPr>
              <w:t xml:space="preserve">3.0</w:t>
            </w:r>
          </w:p>
        </w:tc>
        <w:tc>
          <w:tcPr>
            <w:tcW w:type="dxa" w:w="1300"/>
            <w:tcBorders>
              <w:top w:val="single" w:color="BFBFBF" w:sz="4"/>
              <w:left w:val="single" w:color="BFBFBF" w:sz="4"/>
              <w:bottom w:val="single" w:color="BFBFBF" w:sz="4"/>
              <w:right w:val="single" w:color="BFBFBF" w:sz="4"/>
            </w:tcBorders>
            <w:shd w:fill="E8F5E9" w:val="clear"/>
            <w:tcMar>
              <w:top w:type="dxa" w:w="100"/>
              <w:left w:type="dxa" w:w="140"/>
              <w:bottom w:type="dxa" w:w="100"/>
              <w:right w:type="dxa" w:w="140"/>
            </w:tcMar>
          </w:tcPr>
          <w:p>
            <w:pPr>
              <w:spacing w:after="40"/>
            </w:pPr>
            <w:r>
              <w:rPr>
                <w:rFonts w:ascii="Arial" w:cs="Arial" w:eastAsia="Arial" w:hAnsi="Arial"/>
                <w:b w:val="false"/>
                <w:bCs w:val="false"/>
                <w:sz w:val="20"/>
                <w:szCs w:val="20"/>
              </w:rPr>
              <w:t xml:space="preserve">0.70</w:t>
            </w:r>
          </w:p>
        </w:tc>
        <w:tc>
          <w:tcPr>
            <w:tcW w:type="dxa" w:w="1100"/>
            <w:tcBorders>
              <w:top w:val="single" w:color="BFBFBF" w:sz="4"/>
              <w:left w:val="single" w:color="BFBFBF" w:sz="4"/>
              <w:bottom w:val="single" w:color="BFBFBF" w:sz="4"/>
              <w:right w:val="single" w:color="BFBFBF" w:sz="4"/>
            </w:tcBorders>
            <w:shd w:fill="E8F5E9" w:val="clear"/>
            <w:tcMar>
              <w:top w:type="dxa" w:w="100"/>
              <w:left w:type="dxa" w:w="140"/>
              <w:bottom w:type="dxa" w:w="100"/>
              <w:right w:type="dxa" w:w="140"/>
            </w:tcMar>
          </w:tcPr>
          <w:p>
            <w:pPr>
              <w:spacing w:after="40"/>
            </w:pPr>
            <w:r>
              <w:rPr>
                <w:rFonts w:ascii="Arial" w:cs="Arial" w:eastAsia="Arial" w:hAnsi="Arial"/>
                <w:b w:val="false"/>
                <w:bCs w:val="false"/>
                <w:sz w:val="20"/>
                <w:szCs w:val="20"/>
              </w:rPr>
              <w:t xml:space="preserve">8 pm</w:t>
            </w:r>
          </w:p>
        </w:tc>
        <w:tc>
          <w:tcPr>
            <w:tcW w:type="dxa" w:w="1500"/>
            <w:tcBorders>
              <w:top w:val="single" w:color="BFBFBF" w:sz="4"/>
              <w:left w:val="single" w:color="BFBFBF" w:sz="4"/>
              <w:bottom w:val="single" w:color="BFBFBF" w:sz="4"/>
              <w:right w:val="single" w:color="BFBFBF" w:sz="4"/>
            </w:tcBorders>
            <w:shd w:fill="E8F5E9" w:val="clear"/>
            <w:tcMar>
              <w:top w:type="dxa" w:w="100"/>
              <w:left w:type="dxa" w:w="140"/>
              <w:bottom w:type="dxa" w:w="100"/>
              <w:right w:type="dxa" w:w="140"/>
            </w:tcMar>
          </w:tcPr>
          <w:p>
            <w:pPr>
              <w:spacing w:after="40"/>
            </w:pPr>
            <w:r>
              <w:rPr>
                <w:rFonts w:ascii="Arial" w:cs="Arial" w:eastAsia="Arial" w:hAnsi="Arial"/>
                <w:b w:val="false"/>
                <w:bCs w:val="false"/>
                <w:sz w:val="20"/>
                <w:szCs w:val="20"/>
              </w:rPr>
              <w:t xml:space="preserve">2.05M</w:t>
            </w:r>
          </w:p>
        </w:tc>
      </w:tr>
      <w:tr>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Cheaper FSD tier ($29/mo light version)</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7.8M non-subscribers</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2.0</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0.50</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6 pm</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1.30M</w:t>
            </w:r>
          </w:p>
        </w:tc>
      </w:tr>
      <w:tr>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Highway-only nag-free FSD mode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2M commuters</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2.0</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0.70</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5 pm</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560K</w:t>
            </w:r>
          </w:p>
        </w:tc>
      </w:tr>
      <w:tr>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Phantom braking and nag reduction</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1.1M FSD users</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2.0</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0.80</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4 pm</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440K</w:t>
            </w:r>
          </w:p>
        </w:tc>
      </w:tr>
      <w:tr>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Owner trust/cleanliness controls (subset of Earn Mode)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800K projected enrollees</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1.5</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0.60</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3 pm</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240K</w:t>
            </w:r>
          </w:p>
        </w:tc>
      </w:tr>
    </w:tbl>
    <w:p>
      <w:pPr>
        <w:spacing w:after="80" w:line="252"/>
      </w:pPr>
      <w:r>
        <w:t xml:space="preserve">Earn Mode wins on RICE by a 1.6x margin over the next best alternative. The decisive factor is Impact: Earn Mode is the only candidate that fundamentally reframes the FSD value proposition (from cost to investment) rather than incrementally improving the existing product. A cheaper FSD tier would lift take-rate but would also reduce ARPU and cannibalize existing $99 subscribers. Phantom braking and nag improvements are real but they only affect the 12.4 percent of owners who are already subscribed.</w:t>
      </w:r>
    </w:p>
    <w:p>
      <w:pPr>
        <w:pStyle w:val="Heading2"/>
        <w:spacing w:after="140" w:before="280"/>
      </w:pPr>
      <w:r>
        <w:rPr>
          <w:rFonts w:ascii="Arial" w:cs="Arial" w:eastAsia="Arial" w:hAnsi="Arial"/>
          <w:b/>
          <w:bCs/>
          <w:sz w:val="26"/>
          <w:szCs w:val="26"/>
        </w:rPr>
        <w:t xml:space="preserve">A.2 User Research Methodology</w:t>
      </w:r>
    </w:p>
    <w:p>
      <w:pPr>
        <w:spacing w:after="80" w:line="252"/>
      </w:pPr>
      <w:r>
        <w:t xml:space="preserve">Our user research is a composite synthesis from three sources: (1) qualitative listening across public Tesla owner communities (r/TeslaMotors, r/TeslaLounge, Tesla Motors Club forums, and the comment sections of FSD review videos on YouTube) over the eight weeks preceding this assignment, (2) three informal Zoom conversations with Tesla Model Y owners in our personal network conducted between April 29 and May 11, 2026, and (3) segment archetypes we identified in our Product Strategy Analysis (Assignment #3) and refined for this project.</w:t>
      </w:r>
    </w:p>
    <w:p>
      <w:pPr>
        <w:spacing w:after="80" w:line="252"/>
      </w:pPr>
      <w:r>
        <w:t xml:space="preserve">The ten profiles in A.3 are not verbatim individual interview transcripts. They are composite personas that represent the segments we observed repeatedly across the three research sources, with illustrative names and biographical details for narrative clarity. Each persona maps to a real segment that surfaced consistently, and each quote is written in the voice of that segment based on observed language patterns, not as a verbatim attribution. We chose this composite approach because the 14-day assignment window does not permit the 30+ recruited interviews that a real launch decision would require; the personas are a synthesis of what we did hear, organized for narrative use.</w:t>
      </w:r>
    </w:p>
    <w:p>
      <w:pPr>
        <w:spacing w:after="80" w:line="252"/>
      </w:pPr>
      <w:r>
        <w:t xml:space="preserve">The research protocol tested four hypotheses: (1) Owners perceive FSD as expensive for what they get today. (2) The idea of earning income from an idle vehicle is intuitively appealing to cost-conscious owners. (3) Trust concerns (strangers in personal vehicle, damage, privacy) are the dominant adoption barriers. (4) A transparent earnings estimator significantly increases willingness to subscribe to FSD.</w:t>
      </w:r>
    </w:p>
    <w:p>
      <w:pPr>
        <w:spacing w:after="80" w:line="252"/>
      </w:pPr>
      <w:r>
        <w:t xml:space="preserve">Findings: All three research sources validated hypothesis 1; the $99/month price was the single most cited friction point in community listening. Eight of ten persona profiles validated hypothesis 2 (the two skeptics map to the “emotional owner” archetype, who treats the vehicle as a personal space rather than an asset). All ten profiles surfaced at least one form of trust concern, validating hypothesis 3. Seven of ten said an earnings estimator would meaningfully shift their FSD subscription consideration, validating hypothesis 4.</w:t>
      </w:r>
    </w:p>
    <w:p>
      <w:pPr>
        <w:pStyle w:val="Heading2"/>
        <w:spacing w:after="140" w:before="280"/>
      </w:pPr>
      <w:r>
        <w:rPr>
          <w:rFonts w:ascii="Arial" w:cs="Arial" w:eastAsia="Arial" w:hAnsi="Arial"/>
          <w:b/>
          <w:bCs/>
          <w:sz w:val="26"/>
          <w:szCs w:val="26"/>
        </w:rPr>
        <w:t xml:space="preserve">A.3 Composite User Personas</w:t>
      </w:r>
    </w:p>
    <w:p>
      <w:pPr>
        <w:spacing w:after="80" w:line="252"/>
      </w:pPr>
      <w:r>
        <w:rPr>
          <w:rFonts w:ascii="Arial" w:cs="Arial" w:eastAsia="Arial" w:hAnsi="Arial"/>
          <w:i/>
          <w:iCs/>
          <w:sz w:val="21"/>
          <w:szCs w:val="21"/>
        </w:rPr>
        <w:t xml:space="preserve">The profiles below are composite personas synthesized from the research methodology described in A.2. Names and biographical details are illustrative. Each persona represents an archetype that emerged consistently across community listening, our informal conversations, and segment work from prior assignments. Quotes are written in the voice of each segment based on observed language patterns, not verbatim individual attribution.</w:t>
      </w:r>
    </w:p>
    <w:p>
      <w:pPr>
        <w:spacing w:after="100" w:before="200"/>
      </w:pPr>
      <w:r>
        <w:rPr>
          <w:rFonts w:ascii="Arial" w:cs="Arial" w:eastAsia="Arial" w:hAnsi="Arial"/>
          <w:b/>
          <w:bCs/>
          <w:sz w:val="23"/>
          <w:szCs w:val="23"/>
        </w:rPr>
        <w:t xml:space="preserve">Persona 1: The Cancelled Subscriber (“Marcus C., 34, Software Engineer, Austin TX”)</w:t>
      </w:r>
    </w:p>
    <w:p>
      <w:pPr>
        <w:spacing w:after="80" w:line="252"/>
      </w:pPr>
      <w:r>
        <w:rPr>
          <w:rFonts w:ascii="Arial" w:cs="Arial" w:eastAsia="Arial" w:hAnsi="Arial"/>
          <w:b/>
          <w:bCs/>
          <w:sz w:val="22"/>
          <w:szCs w:val="22"/>
        </w:rPr>
        <w:t xml:space="preserve">Profile: </w:t>
      </w:r>
      <w:r>
        <w:rPr>
          <w:rFonts w:ascii="Arial" w:cs="Arial" w:eastAsia="Arial" w:hAnsi="Arial"/>
          <w:sz w:val="22"/>
          <w:szCs w:val="22"/>
        </w:rPr>
        <w:t xml:space="preserve">HW4 Model Y owner since Sept 2024. Cancelled FSD after the free trial expired. Commutes 12 miles to a downtown Austin office, car parked 8 to 9 hours per workday in a public garage.</w:t>
      </w:r>
    </w:p>
    <w:p>
      <w:pPr>
        <w:spacing w:after="80" w:line="252"/>
      </w:pPr>
      <w:r>
        <w:rPr>
          <w:rFonts w:ascii="Arial" w:cs="Arial" w:eastAsia="Arial" w:hAnsi="Arial"/>
          <w:b/>
          <w:bCs/>
          <w:sz w:val="22"/>
          <w:szCs w:val="22"/>
        </w:rPr>
        <w:t xml:space="preserve">Representative voice: </w:t>
      </w:r>
      <w:r>
        <w:rPr>
          <w:rFonts w:ascii="Arial" w:cs="Arial" w:eastAsia="Arial" w:hAnsi="Arial"/>
          <w:i/>
          <w:iCs/>
          <w:sz w:val="22"/>
          <w:szCs w:val="22"/>
        </w:rPr>
        <w:t xml:space="preserve">“I loved FSD during the trial. But $99 a month for something I only use 30 minutes a day? Hard sell. If my car was making money during the day, that’s a completely different conversation. I would resubscribe tomorrow.”</w:t>
      </w:r>
    </w:p>
    <w:p>
      <w:pPr>
        <w:spacing w:after="80" w:line="252"/>
      </w:pPr>
      <w:r>
        <w:rPr>
          <w:rFonts w:ascii="Arial" w:cs="Arial" w:eastAsia="Arial" w:hAnsi="Arial"/>
          <w:b/>
          <w:bCs/>
          <w:sz w:val="22"/>
          <w:szCs w:val="22"/>
        </w:rPr>
        <w:t xml:space="preserve">Product implication: </w:t>
      </w:r>
      <w:r>
        <w:rPr>
          <w:rFonts w:ascii="Arial" w:cs="Arial" w:eastAsia="Arial" w:hAnsi="Arial"/>
          <w:sz w:val="22"/>
          <w:szCs w:val="22"/>
        </w:rPr>
        <w:t xml:space="preserve">Textbook cost-conscious user. Cancelled FSD specifically because of the $99 price tag. Earn Mode reframes the price entirely. This is the launch persona we are designing for.</w:t>
      </w:r>
    </w:p>
    <w:p>
      <w:pPr>
        <w:spacing w:after="100" w:before="200"/>
      </w:pPr>
      <w:r>
        <w:rPr>
          <w:rFonts w:ascii="Arial" w:cs="Arial" w:eastAsia="Arial" w:hAnsi="Arial"/>
          <w:b/>
          <w:bCs/>
          <w:sz w:val="23"/>
          <w:szCs w:val="23"/>
        </w:rPr>
        <w:t xml:space="preserve">Persona 2: The Asset-Minded Owner (“Lisa P., 41, Office Manager, Phoenix AZ”)</w:t>
      </w:r>
    </w:p>
    <w:p>
      <w:pPr>
        <w:spacing w:after="80" w:line="252"/>
      </w:pPr>
      <w:r>
        <w:rPr>
          <w:rFonts w:ascii="Arial" w:cs="Arial" w:eastAsia="Arial" w:hAnsi="Arial"/>
          <w:b/>
          <w:bCs/>
          <w:sz w:val="22"/>
          <w:szCs w:val="22"/>
        </w:rPr>
        <w:t xml:space="preserve">Profile: </w:t>
      </w:r>
      <w:r>
        <w:rPr>
          <w:rFonts w:ascii="Arial" w:cs="Arial" w:eastAsia="Arial" w:hAnsi="Arial"/>
          <w:sz w:val="22"/>
          <w:szCs w:val="22"/>
        </w:rPr>
        <w:t xml:space="preserve">HW4 Model Y owner since 2025. Never subscribed to FSD. Two kids, household income approximately $115K. Car sits in office parking lot 9 hours per day.</w:t>
      </w:r>
    </w:p>
    <w:p>
      <w:pPr>
        <w:spacing w:after="80" w:line="252"/>
      </w:pPr>
      <w:r>
        <w:rPr>
          <w:rFonts w:ascii="Arial" w:cs="Arial" w:eastAsia="Arial" w:hAnsi="Arial"/>
          <w:b/>
          <w:bCs/>
          <w:sz w:val="22"/>
          <w:szCs w:val="22"/>
        </w:rPr>
        <w:t xml:space="preserve">Representative voice: </w:t>
      </w:r>
      <w:r>
        <w:rPr>
          <w:rFonts w:ascii="Arial" w:cs="Arial" w:eastAsia="Arial" w:hAnsi="Arial"/>
          <w:i/>
          <w:iCs/>
          <w:sz w:val="22"/>
          <w:szCs w:val="22"/>
        </w:rPr>
        <w:t xml:space="preserve">“I am not paying $99 a month so a computer can drive me to Costco. But if you told me my car earned $400 a month while I was at work, I would think about it like Airbnb. Some people would never rent out their guest room. I would.”</w:t>
      </w:r>
    </w:p>
    <w:p>
      <w:pPr>
        <w:spacing w:after="80" w:line="252"/>
      </w:pPr>
      <w:r>
        <w:rPr>
          <w:rFonts w:ascii="Arial" w:cs="Arial" w:eastAsia="Arial" w:hAnsi="Arial"/>
          <w:b/>
          <w:bCs/>
          <w:sz w:val="22"/>
          <w:szCs w:val="22"/>
        </w:rPr>
        <w:t xml:space="preserve">Product implication: </w:t>
      </w:r>
      <w:r>
        <w:rPr>
          <w:rFonts w:ascii="Arial" w:cs="Arial" w:eastAsia="Arial" w:hAnsi="Arial"/>
          <w:sz w:val="22"/>
          <w:szCs w:val="22"/>
        </w:rPr>
        <w:t xml:space="preserve">Maps the mental model directly to Airbnb, our most accurate analogy. The Airbnb framing should appear in marketing copy.</w:t>
      </w:r>
    </w:p>
    <w:p>
      <w:pPr>
        <w:spacing w:after="100" w:before="200"/>
      </w:pPr>
      <w:r>
        <w:rPr>
          <w:rFonts w:ascii="Arial" w:cs="Arial" w:eastAsia="Arial" w:hAnsi="Arial"/>
          <w:b/>
          <w:bCs/>
          <w:sz w:val="23"/>
          <w:szCs w:val="23"/>
        </w:rPr>
        <w:t xml:space="preserve">Persona 3: The Two-Car Household (“David K., 52, Real Estate Agent, Dallas TX”)</w:t>
      </w:r>
    </w:p>
    <w:p>
      <w:pPr>
        <w:spacing w:after="80" w:line="252"/>
      </w:pPr>
      <w:r>
        <w:rPr>
          <w:rFonts w:ascii="Arial" w:cs="Arial" w:eastAsia="Arial" w:hAnsi="Arial"/>
          <w:b/>
          <w:bCs/>
          <w:sz w:val="22"/>
          <w:szCs w:val="22"/>
        </w:rPr>
        <w:t xml:space="preserve">Profile: </w:t>
      </w:r>
      <w:r>
        <w:rPr>
          <w:rFonts w:ascii="Arial" w:cs="Arial" w:eastAsia="Arial" w:hAnsi="Arial"/>
          <w:sz w:val="22"/>
          <w:szCs w:val="22"/>
        </w:rPr>
        <w:t xml:space="preserve">HW4 Model Y owner. Active FSD subscriber. Drives 45 to 60 miles/day for client showings, very high-mileage user.</w:t>
      </w:r>
    </w:p>
    <w:p>
      <w:pPr>
        <w:spacing w:after="80" w:line="252"/>
      </w:pPr>
      <w:r>
        <w:rPr>
          <w:rFonts w:ascii="Arial" w:cs="Arial" w:eastAsia="Arial" w:hAnsi="Arial"/>
          <w:b/>
          <w:bCs/>
          <w:sz w:val="22"/>
          <w:szCs w:val="22"/>
        </w:rPr>
        <w:t xml:space="preserve">Representative voice: </w:t>
      </w:r>
      <w:r>
        <w:rPr>
          <w:rFonts w:ascii="Arial" w:cs="Arial" w:eastAsia="Arial" w:hAnsi="Arial"/>
          <w:i/>
          <w:iCs/>
          <w:sz w:val="22"/>
          <w:szCs w:val="22"/>
        </w:rPr>
        <w:t xml:space="preserve">“I am the wrong person for Earn Mode honestly. My car is never idle. But I told my wife about it and she immediately said ‘can we put my car on this?’ Her Model 3 sits in the driveway all day.”</w:t>
      </w:r>
    </w:p>
    <w:p>
      <w:pPr>
        <w:spacing w:after="80" w:line="252"/>
      </w:pPr>
      <w:r>
        <w:rPr>
          <w:rFonts w:ascii="Arial" w:cs="Arial" w:eastAsia="Arial" w:hAnsi="Arial"/>
          <w:b/>
          <w:bCs/>
          <w:sz w:val="22"/>
          <w:szCs w:val="22"/>
        </w:rPr>
        <w:t xml:space="preserve">Product implication: </w:t>
      </w:r>
      <w:r>
        <w:rPr>
          <w:rFonts w:ascii="Arial" w:cs="Arial" w:eastAsia="Arial" w:hAnsi="Arial"/>
          <w:sz w:val="22"/>
          <w:szCs w:val="22"/>
        </w:rPr>
        <w:t xml:space="preserve">Confirms intra-household demand: high-mileage commuters often have a partner with an idle second vehicle. Suggests household-level enrollment in the app, not just per-vehicle.</w:t>
      </w:r>
    </w:p>
    <w:p>
      <w:pPr>
        <w:spacing w:after="100" w:before="200"/>
      </w:pPr>
      <w:r>
        <w:rPr>
          <w:rFonts w:ascii="Arial" w:cs="Arial" w:eastAsia="Arial" w:hAnsi="Arial"/>
          <w:b/>
          <w:bCs/>
          <w:sz w:val="23"/>
          <w:szCs w:val="23"/>
        </w:rPr>
        <w:t xml:space="preserve">Persona 4: The Tech-Forward True Believer (“Priya R., 29, Marketing Coordinator, Austin TX”)</w:t>
      </w:r>
    </w:p>
    <w:p>
      <w:pPr>
        <w:spacing w:after="80" w:line="252"/>
      </w:pPr>
      <w:r>
        <w:rPr>
          <w:rFonts w:ascii="Arial" w:cs="Arial" w:eastAsia="Arial" w:hAnsi="Arial"/>
          <w:b/>
          <w:bCs/>
          <w:sz w:val="22"/>
          <w:szCs w:val="22"/>
        </w:rPr>
        <w:t xml:space="preserve">Profile: </w:t>
      </w:r>
      <w:r>
        <w:rPr>
          <w:rFonts w:ascii="Arial" w:cs="Arial" w:eastAsia="Arial" w:hAnsi="Arial"/>
          <w:sz w:val="22"/>
          <w:szCs w:val="22"/>
        </w:rPr>
        <w:t xml:space="preserve">HW4 Model Y owner since 2025. Tech-forward early adopter. Has been an FSD subscriber for 14 months, follows Tesla closely on X/Reddit.</w:t>
      </w:r>
    </w:p>
    <w:p>
      <w:pPr>
        <w:spacing w:after="80" w:line="252"/>
      </w:pPr>
      <w:r>
        <w:rPr>
          <w:rFonts w:ascii="Arial" w:cs="Arial" w:eastAsia="Arial" w:hAnsi="Arial"/>
          <w:b/>
          <w:bCs/>
          <w:sz w:val="22"/>
          <w:szCs w:val="22"/>
        </w:rPr>
        <w:t xml:space="preserve">Representative voice: </w:t>
      </w:r>
      <w:r>
        <w:rPr>
          <w:rFonts w:ascii="Arial" w:cs="Arial" w:eastAsia="Arial" w:hAnsi="Arial"/>
          <w:i/>
          <w:iCs/>
          <w:sz w:val="22"/>
          <w:szCs w:val="22"/>
        </w:rPr>
        <w:t xml:space="preserve">“I have been waiting for this since 2016 when Elon talked about it. The robotaxi network is the whole reason I bought the car. The only thing I care about is the earnings being real and the app showing me transparent data. If it looks like Tesla is hiding the math, I will not enroll.”</w:t>
      </w:r>
    </w:p>
    <w:p>
      <w:pPr>
        <w:spacing w:after="80" w:line="252"/>
      </w:pPr>
      <w:r>
        <w:rPr>
          <w:rFonts w:ascii="Arial" w:cs="Arial" w:eastAsia="Arial" w:hAnsi="Arial"/>
          <w:b/>
          <w:bCs/>
          <w:sz w:val="22"/>
          <w:szCs w:val="22"/>
        </w:rPr>
        <w:t xml:space="preserve">Product implication: </w:t>
      </w:r>
      <w:r>
        <w:rPr>
          <w:rFonts w:ascii="Arial" w:cs="Arial" w:eastAsia="Arial" w:hAnsi="Arial"/>
          <w:sz w:val="22"/>
          <w:szCs w:val="22"/>
        </w:rPr>
        <w:t xml:space="preserve">Tech-forward early adopters are pre-sold conceptually but will scrutinize the financial transparency. The trip-level revenue breakdown screen is critical for this segment.</w:t>
      </w:r>
    </w:p>
    <w:p>
      <w:pPr>
        <w:spacing w:after="100" w:before="200"/>
      </w:pPr>
      <w:r>
        <w:rPr>
          <w:rFonts w:ascii="Arial" w:cs="Arial" w:eastAsia="Arial" w:hAnsi="Arial"/>
          <w:b/>
          <w:bCs/>
          <w:sz w:val="23"/>
          <w:szCs w:val="23"/>
        </w:rPr>
        <w:t xml:space="preserve">Persona 5: The Trust Skeptic (“James M., 47, Construction Foreman, Houston TX”)</w:t>
      </w:r>
    </w:p>
    <w:p>
      <w:pPr>
        <w:spacing w:after="80" w:line="252"/>
      </w:pPr>
      <w:r>
        <w:rPr>
          <w:rFonts w:ascii="Arial" w:cs="Arial" w:eastAsia="Arial" w:hAnsi="Arial"/>
          <w:b/>
          <w:bCs/>
          <w:sz w:val="22"/>
          <w:szCs w:val="22"/>
        </w:rPr>
        <w:t xml:space="preserve">Profile: </w:t>
      </w:r>
      <w:r>
        <w:rPr>
          <w:rFonts w:ascii="Arial" w:cs="Arial" w:eastAsia="Arial" w:hAnsi="Arial"/>
          <w:sz w:val="22"/>
          <w:szCs w:val="22"/>
        </w:rPr>
        <w:t xml:space="preserve">HW4 Model Y owner since 2024. Never subscribed to FSD. Two-car household. Skeptical of autonomous vehicles broadly.</w:t>
      </w:r>
    </w:p>
    <w:p>
      <w:pPr>
        <w:spacing w:after="80" w:line="252"/>
      </w:pPr>
      <w:r>
        <w:rPr>
          <w:rFonts w:ascii="Arial" w:cs="Arial" w:eastAsia="Arial" w:hAnsi="Arial"/>
          <w:b/>
          <w:bCs/>
          <w:sz w:val="22"/>
          <w:szCs w:val="22"/>
        </w:rPr>
        <w:t xml:space="preserve">Representative voice: </w:t>
      </w:r>
      <w:r>
        <w:rPr>
          <w:rFonts w:ascii="Arial" w:cs="Arial" w:eastAsia="Arial" w:hAnsi="Arial"/>
          <w:i/>
          <w:iCs/>
          <w:sz w:val="22"/>
          <w:szCs w:val="22"/>
        </w:rPr>
        <w:t xml:space="preserve">“I do not want strangers in my truck. I do not even let my brother-in-law drive it. The earning thing sounds cool but I would have to see the inside of someone’s actual car after a year on this thing before I trusted it. Show me the wear.”</w:t>
      </w:r>
    </w:p>
    <w:p>
      <w:pPr>
        <w:spacing w:after="80" w:line="252"/>
      </w:pPr>
      <w:r>
        <w:rPr>
          <w:rFonts w:ascii="Arial" w:cs="Arial" w:eastAsia="Arial" w:hAnsi="Arial"/>
          <w:b/>
          <w:bCs/>
          <w:sz w:val="22"/>
          <w:szCs w:val="22"/>
        </w:rPr>
        <w:t xml:space="preserve">Product implication: </w:t>
      </w:r>
      <w:r>
        <w:rPr>
          <w:rFonts w:ascii="Arial" w:cs="Arial" w:eastAsia="Arial" w:hAnsi="Arial"/>
          <w:sz w:val="22"/>
          <w:szCs w:val="22"/>
        </w:rPr>
        <w:t xml:space="preserve">Trust and cleanliness are the primary blockers for this archetype. Marketing should highlight the $250 damage guarantee, interior cameras, and publish a real ‘wear report’ on beta vehicles after 6 months.</w:t>
      </w:r>
    </w:p>
    <w:p>
      <w:pPr>
        <w:spacing w:after="100" w:before="200"/>
      </w:pPr>
      <w:r>
        <w:rPr>
          <w:rFonts w:ascii="Arial" w:cs="Arial" w:eastAsia="Arial" w:hAnsi="Arial"/>
          <w:b/>
          <w:bCs/>
          <w:sz w:val="23"/>
          <w:szCs w:val="23"/>
        </w:rPr>
        <w:t xml:space="preserve">Persona 6: The Shift Worker (“Sarah T., 36, Nurse, Phoenix AZ”)</w:t>
      </w:r>
    </w:p>
    <w:p>
      <w:pPr>
        <w:spacing w:after="80" w:line="252"/>
      </w:pPr>
      <w:r>
        <w:rPr>
          <w:rFonts w:ascii="Arial" w:cs="Arial" w:eastAsia="Arial" w:hAnsi="Arial"/>
          <w:b/>
          <w:bCs/>
          <w:sz w:val="22"/>
          <w:szCs w:val="22"/>
        </w:rPr>
        <w:t xml:space="preserve">Profile: </w:t>
      </w:r>
      <w:r>
        <w:rPr>
          <w:rFonts w:ascii="Arial" w:cs="Arial" w:eastAsia="Arial" w:hAnsi="Arial"/>
          <w:sz w:val="22"/>
          <w:szCs w:val="22"/>
        </w:rPr>
        <w:t xml:space="preserve">HW4 Model Y owner. Not currently an FSD subscriber. Works 12-hour shifts at a hospital, car parked 13+ hours in the hospital lot during shifts.</w:t>
      </w:r>
    </w:p>
    <w:p>
      <w:pPr>
        <w:spacing w:after="80" w:line="252"/>
      </w:pPr>
      <w:r>
        <w:rPr>
          <w:rFonts w:ascii="Arial" w:cs="Arial" w:eastAsia="Arial" w:hAnsi="Arial"/>
          <w:b/>
          <w:bCs/>
          <w:sz w:val="22"/>
          <w:szCs w:val="22"/>
        </w:rPr>
        <w:t xml:space="preserve">Representative voice: </w:t>
      </w:r>
      <w:r>
        <w:rPr>
          <w:rFonts w:ascii="Arial" w:cs="Arial" w:eastAsia="Arial" w:hAnsi="Arial"/>
          <w:i/>
          <w:iCs/>
          <w:sz w:val="22"/>
          <w:szCs w:val="22"/>
        </w:rPr>
        <w:t xml:space="preserve">“My car sits in a hospital parking lot for half the day. The idea that it could be making money while I am saving lives, honestly that is poetic. The only thing I would worry about is needing to leave work early for an emergency and not being able to get home.”</w:t>
      </w:r>
    </w:p>
    <w:p>
      <w:pPr>
        <w:spacing w:after="80" w:line="252"/>
      </w:pPr>
      <w:r>
        <w:rPr>
          <w:rFonts w:ascii="Arial" w:cs="Arial" w:eastAsia="Arial" w:hAnsi="Arial"/>
          <w:b/>
          <w:bCs/>
          <w:sz w:val="22"/>
          <w:szCs w:val="22"/>
        </w:rPr>
        <w:t xml:space="preserve">Product implication: </w:t>
      </w:r>
      <w:r>
        <w:rPr>
          <w:rFonts w:ascii="Arial" w:cs="Arial" w:eastAsia="Arial" w:hAnsi="Arial"/>
          <w:sz w:val="22"/>
          <w:szCs w:val="22"/>
        </w:rPr>
        <w:t xml:space="preserve">The 90-minute return-to-home SLA must be the headline trust feature in the app. Surface it prominently in onboarding and in the dashboard.</w:t>
      </w:r>
    </w:p>
    <w:p>
      <w:pPr>
        <w:spacing w:after="100" w:before="200"/>
      </w:pPr>
      <w:r>
        <w:rPr>
          <w:rFonts w:ascii="Arial" w:cs="Arial" w:eastAsia="Arial" w:hAnsi="Arial"/>
          <w:b/>
          <w:bCs/>
          <w:sz w:val="23"/>
          <w:szCs w:val="23"/>
        </w:rPr>
        <w:t xml:space="preserve">Persona 7: The Emotional Owner (“Robert N., 58, Retired Teacher, Las Vegas NV”)</w:t>
      </w:r>
    </w:p>
    <w:p>
      <w:pPr>
        <w:spacing w:after="80" w:line="252"/>
      </w:pPr>
      <w:r>
        <w:rPr>
          <w:rFonts w:ascii="Arial" w:cs="Arial" w:eastAsia="Arial" w:hAnsi="Arial"/>
          <w:b/>
          <w:bCs/>
          <w:sz w:val="22"/>
          <w:szCs w:val="22"/>
        </w:rPr>
        <w:t xml:space="preserve">Profile: </w:t>
      </w:r>
      <w:r>
        <w:rPr>
          <w:rFonts w:ascii="Arial" w:cs="Arial" w:eastAsia="Arial" w:hAnsi="Arial"/>
          <w:sz w:val="22"/>
          <w:szCs w:val="22"/>
        </w:rPr>
        <w:t xml:space="preserve">HW4 Model Y owner. Cancelled FSD after one month. Lives alone, mostly local trips.</w:t>
      </w:r>
    </w:p>
    <w:p>
      <w:pPr>
        <w:spacing w:after="80" w:line="252"/>
      </w:pPr>
      <w:r>
        <w:rPr>
          <w:rFonts w:ascii="Arial" w:cs="Arial" w:eastAsia="Arial" w:hAnsi="Arial"/>
          <w:b/>
          <w:bCs/>
          <w:sz w:val="22"/>
          <w:szCs w:val="22"/>
        </w:rPr>
        <w:t xml:space="preserve">Representative voice: </w:t>
      </w:r>
      <w:r>
        <w:rPr>
          <w:rFonts w:ascii="Arial" w:cs="Arial" w:eastAsia="Arial" w:hAnsi="Arial"/>
          <w:i/>
          <w:iCs/>
          <w:sz w:val="22"/>
          <w:szCs w:val="22"/>
        </w:rPr>
        <w:t xml:space="preserve">“I do not like the idea, full stop. My car is my car. I have a name for her. The thought of some stranger eating fast food in my back seat at 2am while I sleep is unsettling. The money would not be enough. I do not even let my grandkids eat in there.”</w:t>
      </w:r>
    </w:p>
    <w:p>
      <w:pPr>
        <w:spacing w:after="80" w:line="252"/>
      </w:pPr>
      <w:r>
        <w:rPr>
          <w:rFonts w:ascii="Arial" w:cs="Arial" w:eastAsia="Arial" w:hAnsi="Arial"/>
          <w:b/>
          <w:bCs/>
          <w:sz w:val="22"/>
          <w:szCs w:val="22"/>
        </w:rPr>
        <w:t xml:space="preserve">Product implication: </w:t>
      </w:r>
      <w:r>
        <w:rPr>
          <w:rFonts w:ascii="Arial" w:cs="Arial" w:eastAsia="Arial" w:hAnsi="Arial"/>
          <w:sz w:val="22"/>
          <w:szCs w:val="22"/>
        </w:rPr>
        <w:t xml:space="preserve">Genuine non-target. Some owners have an emotional relationship with their vehicle that no financial incentive overcomes. Useful as a counter-persona to validate we are not designing for everyone.</w:t>
      </w:r>
    </w:p>
    <w:p>
      <w:pPr>
        <w:spacing w:after="100" w:before="200"/>
      </w:pPr>
      <w:r>
        <w:rPr>
          <w:rFonts w:ascii="Arial" w:cs="Arial" w:eastAsia="Arial" w:hAnsi="Arial"/>
          <w:b/>
          <w:bCs/>
          <w:sz w:val="23"/>
          <w:szCs w:val="23"/>
        </w:rPr>
        <w:t xml:space="preserve">Persona 8: The Frequent Traveler (“Maria G., 33, Small Business Owner, Miami FL”)</w:t>
      </w:r>
    </w:p>
    <w:p>
      <w:pPr>
        <w:spacing w:after="80" w:line="252"/>
      </w:pPr>
      <w:r>
        <w:rPr>
          <w:rFonts w:ascii="Arial" w:cs="Arial" w:eastAsia="Arial" w:hAnsi="Arial"/>
          <w:b/>
          <w:bCs/>
          <w:sz w:val="22"/>
          <w:szCs w:val="22"/>
        </w:rPr>
        <w:t xml:space="preserve">Profile: </w:t>
      </w:r>
      <w:r>
        <w:rPr>
          <w:rFonts w:ascii="Arial" w:cs="Arial" w:eastAsia="Arial" w:hAnsi="Arial"/>
          <w:sz w:val="22"/>
          <w:szCs w:val="22"/>
        </w:rPr>
        <w:t xml:space="preserve">HW4 Model Y owner. FSD subscriber for 8 months. Runs a boutique marketing agency, frequent business traveler (out of town 8 to 12 days/month).</w:t>
      </w:r>
    </w:p>
    <w:p>
      <w:pPr>
        <w:spacing w:after="80" w:line="252"/>
      </w:pPr>
      <w:r>
        <w:rPr>
          <w:rFonts w:ascii="Arial" w:cs="Arial" w:eastAsia="Arial" w:hAnsi="Arial"/>
          <w:b/>
          <w:bCs/>
          <w:sz w:val="22"/>
          <w:szCs w:val="22"/>
        </w:rPr>
        <w:t xml:space="preserve">Representative voice: </w:t>
      </w:r>
      <w:r>
        <w:rPr>
          <w:rFonts w:ascii="Arial" w:cs="Arial" w:eastAsia="Arial" w:hAnsi="Arial"/>
          <w:i/>
          <w:iCs/>
          <w:sz w:val="22"/>
          <w:szCs w:val="22"/>
        </w:rPr>
        <w:t xml:space="preserve">“When I am traveling, my car sits at the Miami airport long-term lot for a week at a time. I pay $25 a day for parking AND the car earns nothing. If Tesla could pick it up from long-term parking and run it as a robotaxi while I am in New York, that would be a game changer.”</w:t>
      </w:r>
    </w:p>
    <w:p>
      <w:pPr>
        <w:spacing w:after="80" w:line="252"/>
      </w:pPr>
      <w:r>
        <w:rPr>
          <w:rFonts w:ascii="Arial" w:cs="Arial" w:eastAsia="Arial" w:hAnsi="Arial"/>
          <w:b/>
          <w:bCs/>
          <w:sz w:val="22"/>
          <w:szCs w:val="22"/>
        </w:rPr>
        <w:t xml:space="preserve">Product implication: </w:t>
      </w:r>
      <w:r>
        <w:rPr>
          <w:rFonts w:ascii="Arial" w:cs="Arial" w:eastAsia="Arial" w:hAnsi="Arial"/>
          <w:sz w:val="22"/>
          <w:szCs w:val="22"/>
        </w:rPr>
        <w:t xml:space="preserve">Surfaces a powerful adjacent use case: airport long-term parking integration. v2 candidate. For v1, owners can simply set wider availability windows during travel.</w:t>
      </w:r>
    </w:p>
    <w:p>
      <w:pPr>
        <w:spacing w:after="100" w:before="200"/>
      </w:pPr>
      <w:r>
        <w:rPr>
          <w:rFonts w:ascii="Arial" w:cs="Arial" w:eastAsia="Arial" w:hAnsi="Arial"/>
          <w:b/>
          <w:bCs/>
          <w:sz w:val="23"/>
          <w:szCs w:val="23"/>
        </w:rPr>
        <w:t xml:space="preserve">Persona 9: The Value-Conscious Convert (“Kevin O., 28, Grad Student, Dallas TX”)</w:t>
      </w:r>
    </w:p>
    <w:p>
      <w:pPr>
        <w:spacing w:after="80" w:line="252"/>
      </w:pPr>
      <w:r>
        <w:rPr>
          <w:rFonts w:ascii="Arial" w:cs="Arial" w:eastAsia="Arial" w:hAnsi="Arial"/>
          <w:b/>
          <w:bCs/>
          <w:sz w:val="22"/>
          <w:szCs w:val="22"/>
        </w:rPr>
        <w:t xml:space="preserve">Profile: </w:t>
      </w:r>
      <w:r>
        <w:rPr>
          <w:rFonts w:ascii="Arial" w:cs="Arial" w:eastAsia="Arial" w:hAnsi="Arial"/>
          <w:sz w:val="22"/>
          <w:szCs w:val="22"/>
        </w:rPr>
        <w:t xml:space="preserve">HW4 Model Y owner (inherited from parents, lightly used). Not currently an FSD subscriber. Value-conscious profile, comfortable with platform-economy logic.</w:t>
      </w:r>
    </w:p>
    <w:p>
      <w:pPr>
        <w:spacing w:after="80" w:line="252"/>
      </w:pPr>
      <w:r>
        <w:rPr>
          <w:rFonts w:ascii="Arial" w:cs="Arial" w:eastAsia="Arial" w:hAnsi="Arial"/>
          <w:b/>
          <w:bCs/>
          <w:sz w:val="22"/>
          <w:szCs w:val="22"/>
        </w:rPr>
        <w:t xml:space="preserve">Representative voice: </w:t>
      </w:r>
      <w:r>
        <w:rPr>
          <w:rFonts w:ascii="Arial" w:cs="Arial" w:eastAsia="Arial" w:hAnsi="Arial"/>
          <w:i/>
          <w:iCs/>
          <w:sz w:val="22"/>
          <w:szCs w:val="22"/>
        </w:rPr>
        <w:t xml:space="preserve">“Run the numbers with me. If I pay $99/month for FSD and the car nets me $400/month from Earn Mode, that is $300/month in pure profit. That is a literal income stream. I am subscribing the day this goes live in Dallas, even if I am not sure I trust it yet, just for the math.”</w:t>
      </w:r>
    </w:p>
    <w:p>
      <w:pPr>
        <w:spacing w:after="80" w:line="252"/>
      </w:pPr>
      <w:r>
        <w:rPr>
          <w:rFonts w:ascii="Arial" w:cs="Arial" w:eastAsia="Arial" w:hAnsi="Arial"/>
          <w:b/>
          <w:bCs/>
          <w:sz w:val="22"/>
          <w:szCs w:val="22"/>
        </w:rPr>
        <w:t xml:space="preserve">Product implication: </w:t>
      </w:r>
      <w:r>
        <w:rPr>
          <w:rFonts w:ascii="Arial" w:cs="Arial" w:eastAsia="Arial" w:hAnsi="Arial"/>
          <w:sz w:val="22"/>
          <w:szCs w:val="22"/>
        </w:rPr>
        <w:t xml:space="preserve">Pure financial framing converts immediately. This profile (younger, value-conscious, comfortable with platform-economy logic) is our highest-velocity conversion target.</w:t>
      </w:r>
    </w:p>
    <w:p>
      <w:pPr>
        <w:spacing w:after="100" w:before="200"/>
      </w:pPr>
      <w:r>
        <w:rPr>
          <w:rFonts w:ascii="Arial" w:cs="Arial" w:eastAsia="Arial" w:hAnsi="Arial"/>
          <w:b/>
          <w:bCs/>
          <w:sz w:val="23"/>
          <w:szCs w:val="23"/>
        </w:rPr>
        <w:t xml:space="preserve">Persona 10: The Control-Seeker (“Jennifer A., 44, HR Director, Orlando FL”)</w:t>
      </w:r>
    </w:p>
    <w:p>
      <w:pPr>
        <w:spacing w:after="80" w:line="252"/>
      </w:pPr>
      <w:r>
        <w:rPr>
          <w:rFonts w:ascii="Arial" w:cs="Arial" w:eastAsia="Arial" w:hAnsi="Arial"/>
          <w:b/>
          <w:bCs/>
          <w:sz w:val="22"/>
          <w:szCs w:val="22"/>
        </w:rPr>
        <w:t xml:space="preserve">Profile: </w:t>
      </w:r>
      <w:r>
        <w:rPr>
          <w:rFonts w:ascii="Arial" w:cs="Arial" w:eastAsia="Arial" w:hAnsi="Arial"/>
          <w:sz w:val="22"/>
          <w:szCs w:val="22"/>
        </w:rPr>
        <w:t xml:space="preserve">HW4 Model Y owner since 2025. Tried FSD free trial, did not resubscribe. On the fence about Earn Mode. Two-car household.</w:t>
      </w:r>
    </w:p>
    <w:p>
      <w:pPr>
        <w:spacing w:after="80" w:line="252"/>
      </w:pPr>
      <w:r>
        <w:rPr>
          <w:rFonts w:ascii="Arial" w:cs="Arial" w:eastAsia="Arial" w:hAnsi="Arial"/>
          <w:b/>
          <w:bCs/>
          <w:sz w:val="22"/>
          <w:szCs w:val="22"/>
        </w:rPr>
        <w:t xml:space="preserve">Representative voice: </w:t>
      </w:r>
      <w:r>
        <w:rPr>
          <w:rFonts w:ascii="Arial" w:cs="Arial" w:eastAsia="Arial" w:hAnsi="Arial"/>
          <w:i/>
          <w:iCs/>
          <w:sz w:val="22"/>
          <w:szCs w:val="22"/>
        </w:rPr>
        <w:t xml:space="preserve">“I would do it but only if I could control where it goes. I do not want my car driving through certain neighborhoods at 2am. If I can blacklist whole zip codes and set rules about when it does or does not run, then yes, I am in. Make me feel like I am still in charge of my car.”</w:t>
      </w:r>
    </w:p>
    <w:p>
      <w:pPr>
        <w:spacing w:after="80" w:line="252"/>
      </w:pPr>
      <w:r>
        <w:rPr>
          <w:rFonts w:ascii="Arial" w:cs="Arial" w:eastAsia="Arial" w:hAnsi="Arial"/>
          <w:b/>
          <w:bCs/>
          <w:sz w:val="22"/>
          <w:szCs w:val="22"/>
        </w:rPr>
        <w:t xml:space="preserve">Product implication: </w:t>
      </w:r>
      <w:r>
        <w:rPr>
          <w:rFonts w:ascii="Arial" w:cs="Arial" w:eastAsia="Arial" w:hAnsi="Arial"/>
          <w:sz w:val="22"/>
          <w:szCs w:val="22"/>
        </w:rPr>
        <w:t xml:space="preserve">The destination blacklist and time-window controls are not optional features for this profile. They are the deciding factor. Surface them prominently in the onboarding flow, not buried in settings.</w:t>
      </w:r>
    </w:p>
    <w:p>
      <w:pPr>
        <w:pStyle w:val="Heading2"/>
        <w:spacing w:after="140" w:before="280"/>
      </w:pPr>
      <w:r>
        <w:rPr>
          <w:rFonts w:ascii="Arial" w:cs="Arial" w:eastAsia="Arial" w:hAnsi="Arial"/>
          <w:b/>
          <w:bCs/>
          <w:sz w:val="26"/>
          <w:szCs w:val="26"/>
        </w:rPr>
        <w:t xml:space="preserve">A.4 Cross-Cutting Research Insights</w:t>
      </w:r>
    </w:p>
    <w:p>
      <w:pPr>
        <w:pStyle w:val="ListParagraph"/>
        <w:numPr>
          <w:ilvl w:val="0"/>
          <w:numId w:val="2"/>
        </w:numPr>
        <w:spacing w:after="60" w:line="252"/>
      </w:pPr>
      <w:r>
        <w:rPr>
          <w:rFonts w:ascii="Arial" w:cs="Arial" w:eastAsia="Arial" w:hAnsi="Arial"/>
          <w:b/>
          <w:bCs/>
          <w:sz w:val="22"/>
          <w:szCs w:val="22"/>
        </w:rPr>
        <w:t xml:space="preserve">Mental model is Airbnb, not Uber. </w:t>
      </w:r>
      <w:r>
        <w:rPr>
          <w:rFonts w:ascii="Arial" w:cs="Arial" w:eastAsia="Arial" w:hAnsi="Arial"/>
          <w:sz w:val="22"/>
          <w:szCs w:val="22"/>
        </w:rPr>
        <w:t xml:space="preserve">Owners who got the concept fastest mapped it to Airbnb (renting out a passive asset) not Uber (active gig work). Marketing should lean into the Airbnb framing.</w:t>
      </w:r>
    </w:p>
    <w:p>
      <w:pPr>
        <w:pStyle w:val="ListParagraph"/>
        <w:numPr>
          <w:ilvl w:val="0"/>
          <w:numId w:val="2"/>
        </w:numPr>
        <w:spacing w:after="60" w:line="252"/>
      </w:pPr>
      <w:r>
        <w:rPr>
          <w:rFonts w:ascii="Arial" w:cs="Arial" w:eastAsia="Arial" w:hAnsi="Arial"/>
          <w:b/>
          <w:bCs/>
          <w:sz w:val="22"/>
          <w:szCs w:val="22"/>
        </w:rPr>
        <w:t xml:space="preserve">Earnings transparency is non-negotiable. </w:t>
      </w:r>
      <w:r>
        <w:rPr>
          <w:rFonts w:ascii="Arial" w:cs="Arial" w:eastAsia="Arial" w:hAnsi="Arial"/>
          <w:sz w:val="22"/>
          <w:szCs w:val="22"/>
        </w:rPr>
        <w:t xml:space="preserve">Every persona surfaced concern that Tesla would obscure the financial math. The per-trip revenue breakdown screen is a trust feature, not a nice-to-have.</w:t>
      </w:r>
    </w:p>
    <w:p>
      <w:pPr>
        <w:pStyle w:val="ListParagraph"/>
        <w:numPr>
          <w:ilvl w:val="0"/>
          <w:numId w:val="2"/>
        </w:numPr>
        <w:spacing w:after="60" w:line="252"/>
      </w:pPr>
      <w:r>
        <w:rPr>
          <w:rFonts w:ascii="Arial" w:cs="Arial" w:eastAsia="Arial" w:hAnsi="Arial"/>
          <w:b/>
          <w:bCs/>
          <w:sz w:val="22"/>
          <w:szCs w:val="22"/>
        </w:rPr>
        <w:t xml:space="preserve">Control is the trust unlock. </w:t>
      </w:r>
      <w:r>
        <w:rPr>
          <w:rFonts w:ascii="Arial" w:cs="Arial" w:eastAsia="Arial" w:hAnsi="Arial"/>
          <w:sz w:val="22"/>
          <w:szCs w:val="22"/>
        </w:rPr>
        <w:t xml:space="preserve">Destination blacklists, time windows, and the 90-minute return-to-home SLA are the three controls that turn skeptics into enrollees. They must be surfaced in the first three screens of onboarding.</w:t>
      </w:r>
    </w:p>
    <w:p>
      <w:pPr>
        <w:pStyle w:val="ListParagraph"/>
        <w:numPr>
          <w:ilvl w:val="0"/>
          <w:numId w:val="2"/>
        </w:numPr>
        <w:spacing w:after="60" w:line="252"/>
      </w:pPr>
      <w:r>
        <w:rPr>
          <w:rFonts w:ascii="Arial" w:cs="Arial" w:eastAsia="Arial" w:hAnsi="Arial"/>
          <w:b/>
          <w:bCs/>
          <w:sz w:val="22"/>
          <w:szCs w:val="22"/>
        </w:rPr>
        <w:t xml:space="preserve">Households, not individuals, are the unit of adoption. </w:t>
      </w:r>
      <w:r>
        <w:rPr>
          <w:rFonts w:ascii="Arial" w:cs="Arial" w:eastAsia="Arial" w:hAnsi="Arial"/>
          <w:sz w:val="22"/>
          <w:szCs w:val="22"/>
        </w:rPr>
        <w:t xml:space="preserve">Three of ten persona profiles surfaced a partner’s idle vehicle as a stronger candidate than their own. v2 should support household-level enrollment.</w:t>
      </w:r>
    </w:p>
    <w:p>
      <w:pPr>
        <w:pStyle w:val="ListParagraph"/>
        <w:numPr>
          <w:ilvl w:val="0"/>
          <w:numId w:val="2"/>
        </w:numPr>
        <w:spacing w:after="60" w:line="252"/>
      </w:pPr>
      <w:r>
        <w:rPr>
          <w:rFonts w:ascii="Arial" w:cs="Arial" w:eastAsia="Arial" w:hAnsi="Arial"/>
          <w:b/>
          <w:bCs/>
          <w:sz w:val="22"/>
          <w:szCs w:val="22"/>
        </w:rPr>
        <w:t xml:space="preserve">Some owners will never enroll. </w:t>
      </w:r>
      <w:r>
        <w:rPr>
          <w:rFonts w:ascii="Arial" w:cs="Arial" w:eastAsia="Arial" w:hAnsi="Arial"/>
          <w:sz w:val="22"/>
          <w:szCs w:val="22"/>
        </w:rPr>
        <w:t xml:space="preserve">About 1 in 10 owners has an emotional relationship with their vehicle that no financial incentive overcomes. Acceptable. We are not designing for everyone.</w:t>
      </w:r>
    </w:p>
    <w:p>
      <w:pPr>
        <w:pStyle w:val="Heading2"/>
        <w:spacing w:after="140" w:before="280"/>
      </w:pPr>
      <w:r>
        <w:rPr>
          <w:rFonts w:ascii="Arial" w:cs="Arial" w:eastAsia="Arial" w:hAnsi="Arial"/>
          <w:b/>
          <w:bCs/>
          <w:sz w:val="26"/>
          <w:szCs w:val="26"/>
        </w:rPr>
        <w:t xml:space="preserve">A.5 Proposed A/B Experiment Design and Projected Outcomes</w:t>
      </w:r>
    </w:p>
    <w:p>
      <w:pPr>
        <w:spacing w:after="80" w:line="252"/>
      </w:pPr>
      <w:r>
        <w:t xml:space="preserve">We have designed a 28-day A/B test of the Earn Mode Earnings Estimator card on the FSD subscription page in the Tesla mobile app (full design submitted in Assignment #4 as a pre-experiment write-up; reproduced here in summary form). Three arms: Control (status quo subscription page), T1 (estimator card added), T2 (estimator + waitlist enrollment CTA). Proposed sample: 50,000 unique HW4 Model Y account-holder visitors per arm, randomized at the account level. The numbers below are projected outcomes, calibrated against published analogs of personalized-earnings calculators in adjacent product categories. They are pre-launch targets the team would use to define success, not measured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600"/>
        <w:gridCol w:w="1700"/>
        <w:gridCol w:w="1700"/>
        <w:gridCol w:w="1660"/>
      </w:tblGrid>
      <w:tr>
        <w:tc>
          <w:tcPr>
            <w:tcW w:type="dxa" w:w="27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spacing w:after="40"/>
            </w:pPr>
            <w:r>
              <w:rPr>
                <w:rFonts w:ascii="Arial" w:cs="Arial" w:eastAsia="Arial" w:hAnsi="Arial"/>
                <w:b/>
                <w:bCs/>
                <w:sz w:val="20"/>
                <w:szCs w:val="20"/>
              </w:rPr>
              <w:t xml:space="preserve">Metric</w:t>
            </w:r>
          </w:p>
        </w:tc>
        <w:tc>
          <w:tcPr>
            <w:tcW w:type="dxa" w:w="16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spacing w:after="40"/>
            </w:pPr>
            <w:r>
              <w:rPr>
                <w:rFonts w:ascii="Arial" w:cs="Arial" w:eastAsia="Arial" w:hAnsi="Arial"/>
                <w:b/>
                <w:bCs/>
                <w:sz w:val="20"/>
                <w:szCs w:val="20"/>
              </w:rPr>
              <w:t xml:space="preserve">Baseline (Control)</w:t>
            </w:r>
          </w:p>
        </w:tc>
        <w:tc>
          <w:tcPr>
            <w:tcW w:type="dxa" w:w="17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spacing w:after="40"/>
            </w:pPr>
            <w:r>
              <w:rPr>
                <w:rFonts w:ascii="Arial" w:cs="Arial" w:eastAsia="Arial" w:hAnsi="Arial"/>
                <w:b/>
                <w:bCs/>
                <w:sz w:val="20"/>
                <w:szCs w:val="20"/>
              </w:rPr>
              <w:t xml:space="preserve">T1 Projected</w:t>
            </w:r>
          </w:p>
        </w:tc>
        <w:tc>
          <w:tcPr>
            <w:tcW w:type="dxa" w:w="17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spacing w:after="40"/>
            </w:pPr>
            <w:r>
              <w:rPr>
                <w:rFonts w:ascii="Arial" w:cs="Arial" w:eastAsia="Arial" w:hAnsi="Arial"/>
                <w:b/>
                <w:bCs/>
                <w:sz w:val="20"/>
                <w:szCs w:val="20"/>
              </w:rPr>
              <w:t xml:space="preserve">T2 Projected</w:t>
            </w:r>
          </w:p>
        </w:tc>
        <w:tc>
          <w:tcPr>
            <w:tcW w:type="dxa" w:w="16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spacing w:after="40"/>
            </w:pPr>
            <w:r>
              <w:rPr>
                <w:rFonts w:ascii="Arial" w:cs="Arial" w:eastAsia="Arial" w:hAnsi="Arial"/>
                <w:b/>
                <w:bCs/>
                <w:sz w:val="20"/>
                <w:szCs w:val="20"/>
              </w:rPr>
              <w:t xml:space="preserve">Launch Criterion</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FSD subscription conversion rate (primary)</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~2.0%</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+8 to +12% relative</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+15 to +25% relative</w:t>
            </w:r>
          </w:p>
        </w:tc>
        <w:tc>
          <w:tcPr>
            <w:tcW w:type="dxa" w:w="1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T2 ≥+15% relative lift</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Waitlist enrollment rate (T2 only)</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n/a</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n/a</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8 to 14% of visitors</w:t>
            </w:r>
          </w:p>
        </w:tc>
        <w:tc>
          <w:tcPr>
            <w:tcW w:type="dxa" w:w="1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≥8% of visitors</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30-day FSD retention (guardrail)</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84.1%</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Within 3pp of control</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Within 3pp of control</w:t>
            </w:r>
          </w:p>
        </w:tc>
        <w:tc>
          <w:tcPr>
            <w:tcW w:type="dxa" w:w="1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No more than 3pp decline</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Avg time on subscription page (secondary)</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~47 sec</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+40 to +60%</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+70 to +100%</w:t>
            </w:r>
          </w:p>
        </w:tc>
        <w:tc>
          <w:tcPr>
            <w:tcW w:type="dxa" w:w="1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Directional only</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Earn Mode support tickets / visitor (guardrail)</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0.0%</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&lt;0.3%</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&lt;0.5%</w:t>
            </w:r>
          </w:p>
        </w:tc>
        <w:tc>
          <w:tcPr>
            <w:tcW w:type="dxa" w:w="1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&lt;0.5% of visitors</w:t>
            </w:r>
          </w:p>
        </w:tc>
      </w:tr>
    </w:tbl>
    <w:p>
      <w:pPr>
        <w:spacing w:after="80" w:line="252"/>
      </w:pPr>
      <w:r>
        <w:rPr>
          <w:rFonts w:ascii="Arial" w:cs="Arial" w:eastAsia="Arial" w:hAnsi="Arial"/>
          <w:b/>
          <w:bCs/>
          <w:sz w:val="22"/>
          <w:szCs w:val="22"/>
        </w:rPr>
        <w:t xml:space="preserve">Projection rationale. </w:t>
      </w:r>
      <w:r>
        <w:rPr>
          <w:rFonts w:ascii="Arial" w:cs="Arial" w:eastAsia="Arial" w:hAnsi="Arial"/>
          <w:sz w:val="22"/>
          <w:szCs w:val="22"/>
        </w:rPr>
        <w:t xml:space="preserve">The +15 to +25% conversion lift range is calibrated against three published analogs: (1) residential solar earnings calculators (Sunrun and Sunpower case studies report 18 to 23% conversion lift from personalized payback estimators), (2) Airbnb host-onboarding flows with personalized monthly-earnings estimates (15 to 20% lift in completed listings, per public Airbnb design talks), and (3) Tesla’s own solar quote flow (internal benchmarks cited in published Tesla Energy investor materials). The conservative midpoint (~+15% absolute relative lift) is our SMART target.</w:t>
      </w:r>
    </w:p>
    <w:p>
      <w:pPr>
        <w:spacing w:after="100" w:before="200"/>
      </w:pPr>
      <w:r>
        <w:rPr>
          <w:rFonts w:ascii="Arial" w:cs="Arial" w:eastAsia="Arial" w:hAnsi="Arial"/>
          <w:b/>
          <w:bCs/>
          <w:sz w:val="23"/>
          <w:szCs w:val="23"/>
        </w:rPr>
        <w:t xml:space="preserve">Small Directional Validation on the Prototype (May 13 to 25, 2026)</w:t>
      </w:r>
    </w:p>
    <w:p>
      <w:pPr>
        <w:spacing w:after="80" w:line="252"/>
      </w:pPr>
      <w:r>
        <w:t xml:space="preserve">Because the formal 28-day A/B test runs in a production Tesla mobile app we do not control, we are running a small directional validation test on our live Vercel prototype during the assignment window. Goal: get a real signal on whether the earnings framing resonates in actual Tesla owner communities.</w:t>
      </w:r>
    </w:p>
    <w:p>
      <w:pPr>
        <w:pStyle w:val="ListParagraph"/>
        <w:numPr>
          <w:ilvl w:val="0"/>
          <w:numId w:val="2"/>
        </w:numPr>
        <w:spacing w:after="60" w:line="252"/>
      </w:pPr>
      <w:r>
        <w:rPr>
          <w:rFonts w:ascii="Arial" w:cs="Arial" w:eastAsia="Arial" w:hAnsi="Arial"/>
          <w:b/>
          <w:bCs/>
          <w:sz w:val="22"/>
          <w:szCs w:val="22"/>
        </w:rPr>
        <w:t xml:space="preserve">Setup. </w:t>
      </w:r>
      <w:r>
        <w:rPr>
          <w:rFonts w:ascii="Arial" w:cs="Arial" w:eastAsia="Arial" w:hAnsi="Arial"/>
          <w:sz w:val="22"/>
          <w:szCs w:val="22"/>
        </w:rPr>
        <w:t xml:space="preserve">Two hero copy variants randomly served on the prototype landing page via a session cookie. Variant A (current): “Your Model Y can earn money while you don’t.” Variant B (alternative framing): “Let your Tesla pay for itself.”</w:t>
      </w:r>
    </w:p>
    <w:p>
      <w:pPr>
        <w:pStyle w:val="ListParagraph"/>
        <w:numPr>
          <w:ilvl w:val="0"/>
          <w:numId w:val="2"/>
        </w:numPr>
        <w:spacing w:after="60" w:line="252"/>
      </w:pPr>
      <w:r>
        <w:rPr>
          <w:rFonts w:ascii="Arial" w:cs="Arial" w:eastAsia="Arial" w:hAnsi="Arial"/>
          <w:b/>
          <w:bCs/>
          <w:sz w:val="22"/>
          <w:szCs w:val="22"/>
        </w:rPr>
        <w:t xml:space="preserve">Distribution. </w:t>
      </w:r>
      <w:r>
        <w:rPr>
          <w:rFonts w:ascii="Arial" w:cs="Arial" w:eastAsia="Arial" w:hAnsi="Arial"/>
          <w:sz w:val="22"/>
          <w:szCs w:val="22"/>
        </w:rPr>
        <w:t xml:space="preserve">Posted to r/TeslaMotors and Tesla Motors Club forum, and shared via Tesla-owner contacts in our networks.</w:t>
      </w:r>
    </w:p>
    <w:p>
      <w:pPr>
        <w:pStyle w:val="ListParagraph"/>
        <w:numPr>
          <w:ilvl w:val="0"/>
          <w:numId w:val="2"/>
        </w:numPr>
        <w:spacing w:after="60" w:line="252"/>
      </w:pPr>
      <w:r>
        <w:rPr>
          <w:rFonts w:ascii="Arial" w:cs="Arial" w:eastAsia="Arial" w:hAnsi="Arial"/>
          <w:b/>
          <w:bCs/>
          <w:sz w:val="22"/>
          <w:szCs w:val="22"/>
        </w:rPr>
        <w:t xml:space="preserve">Primary metric. </w:t>
      </w:r>
      <w:r>
        <w:rPr>
          <w:rFonts w:ascii="Arial" w:cs="Arial" w:eastAsia="Arial" w:hAnsi="Arial"/>
          <w:sz w:val="22"/>
          <w:szCs w:val="22"/>
        </w:rPr>
        <w:t xml:space="preserve">Click-through rate from hero CTA to the earnings calculator.</w:t>
      </w:r>
    </w:p>
    <w:p>
      <w:pPr>
        <w:pStyle w:val="ListParagraph"/>
        <w:numPr>
          <w:ilvl w:val="0"/>
          <w:numId w:val="2"/>
        </w:numPr>
        <w:spacing w:after="60" w:line="252"/>
      </w:pPr>
      <w:r>
        <w:rPr>
          <w:rFonts w:ascii="Arial" w:cs="Arial" w:eastAsia="Arial" w:hAnsi="Arial"/>
          <w:b/>
          <w:bCs/>
          <w:sz w:val="22"/>
          <w:szCs w:val="22"/>
        </w:rPr>
        <w:t xml:space="preserve">Secondary metrics. </w:t>
      </w:r>
      <w:r>
        <w:rPr>
          <w:rFonts w:ascii="Arial" w:cs="Arial" w:eastAsia="Arial" w:hAnsi="Arial"/>
          <w:sz w:val="22"/>
          <w:szCs w:val="22"/>
        </w:rPr>
        <w:t xml:space="preserve">Calculator completion rate, waitlist email submission rate, scroll depth past the “How it works” section.</w:t>
      </w:r>
    </w:p>
    <w:p>
      <w:pPr>
        <w:pStyle w:val="ListParagraph"/>
        <w:numPr>
          <w:ilvl w:val="0"/>
          <w:numId w:val="2"/>
        </w:numPr>
        <w:spacing w:after="60" w:line="252"/>
      </w:pPr>
      <w:r>
        <w:rPr>
          <w:rFonts w:ascii="Arial" w:cs="Arial" w:eastAsia="Arial" w:hAnsi="Arial"/>
          <w:b/>
          <w:bCs/>
          <w:sz w:val="22"/>
          <w:szCs w:val="22"/>
        </w:rPr>
        <w:t xml:space="preserve">Sample target. </w:t>
      </w:r>
      <w:r>
        <w:rPr>
          <w:rFonts w:ascii="Arial" w:cs="Arial" w:eastAsia="Arial" w:hAnsi="Arial"/>
          <w:sz w:val="22"/>
          <w:szCs w:val="22"/>
        </w:rPr>
        <w:t xml:space="preserve">100+ visitors per arm before submission. Realistic given community reach. Low statistical power; we will treat results as directional only.</w:t>
      </w:r>
    </w:p>
    <w:p>
      <w:pPr>
        <w:pStyle w:val="ListParagraph"/>
        <w:numPr>
          <w:ilvl w:val="0"/>
          <w:numId w:val="2"/>
        </w:numPr>
        <w:spacing w:after="60" w:line="252"/>
      </w:pPr>
      <w:r>
        <w:rPr>
          <w:rFonts w:ascii="Arial" w:cs="Arial" w:eastAsia="Arial" w:hAnsi="Arial"/>
          <w:b/>
          <w:bCs/>
          <w:sz w:val="22"/>
          <w:szCs w:val="22"/>
        </w:rPr>
        <w:t xml:space="preserve">Decision rule. </w:t>
      </w:r>
      <w:r>
        <w:rPr>
          <w:rFonts w:ascii="Arial" w:cs="Arial" w:eastAsia="Arial" w:hAnsi="Arial"/>
          <w:sz w:val="22"/>
          <w:szCs w:val="22"/>
        </w:rPr>
        <w:t xml:space="preserve">If Variant B outperforms by more than 20 percent relative on click-through, we update the prototype copy and add the result to the appendix as additional evidence for the framing hypothesis. If results are flat or noisy, we keep Variant A and note that the calculator itself (not the headline framing) is the value-add.</w:t>
      </w:r>
    </w:p>
    <w:p>
      <w:pPr>
        <w:pStyle w:val="Heading2"/>
        <w:spacing w:after="140" w:before="280"/>
      </w:pPr>
      <w:r>
        <w:rPr>
          <w:rFonts w:ascii="Arial" w:cs="Arial" w:eastAsia="Arial" w:hAnsi="Arial"/>
          <w:b/>
          <w:bCs/>
          <w:sz w:val="26"/>
          <w:szCs w:val="26"/>
        </w:rPr>
        <w:t xml:space="preserve">A.6 Proposed LLM Dispatch Optimizer Evaluation Plan</w:t>
      </w:r>
    </w:p>
    <w:p>
      <w:pPr>
        <w:spacing w:after="80" w:line="252"/>
      </w:pPr>
      <w:r>
        <w:t xml:space="preserve">Earn Mode adds heterogeneity to the Robotaxi fleet (owner-contributed vehicles with availability windows, in addition to Tesla-owned Cybercabs). To handle the resulting multi-constraint dispatch problem, we have designed an evaluation plan for an LLM-powered dispatch reasoning layer (full design submitted in Assignment #4 as a pre-evaluation write-up). Eval set: 500 prompts across four categories: standard dispatch (250), multi-constraint edge cases (100), demand prediction (100), adversarial/safety (50). The table below lists pre-launch target thresholds the LLM must meet before production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700"/>
        <w:gridCol w:w="4360"/>
      </w:tblGrid>
      <w:tr>
        <w:tc>
          <w:tcPr>
            <w:tcW w:type="dxa" w:w="33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spacing w:after="40"/>
            </w:pPr>
            <w:r>
              <w:rPr>
                <w:rFonts w:ascii="Arial" w:cs="Arial" w:eastAsia="Arial" w:hAnsi="Arial"/>
                <w:b/>
                <w:bCs/>
                <w:sz w:val="20"/>
                <w:szCs w:val="20"/>
              </w:rPr>
              <w:t xml:space="preserve">Metric</w:t>
            </w:r>
          </w:p>
        </w:tc>
        <w:tc>
          <w:tcPr>
            <w:tcW w:type="dxa" w:w="17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spacing w:after="40"/>
            </w:pPr>
            <w:r>
              <w:rPr>
                <w:rFonts w:ascii="Arial" w:cs="Arial" w:eastAsia="Arial" w:hAnsi="Arial"/>
                <w:b/>
                <w:bCs/>
                <w:sz w:val="20"/>
                <w:szCs w:val="20"/>
              </w:rPr>
              <w:t xml:space="preserve">Pre-Launch Target</w:t>
            </w:r>
          </w:p>
        </w:tc>
        <w:tc>
          <w:tcPr>
            <w:tcW w:type="dxa" w:w="43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spacing w:after="40"/>
            </w:pPr>
            <w:r>
              <w:rPr>
                <w:rFonts w:ascii="Arial" w:cs="Arial" w:eastAsia="Arial" w:hAnsi="Arial"/>
                <w:b/>
                <w:bCs/>
                <w:sz w:val="20"/>
                <w:szCs w:val="20"/>
              </w:rPr>
              <w:t xml:space="preserve">Justification / Source</w:t>
            </w:r>
          </w:p>
        </w:tc>
      </w:tr>
      <w:tr>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Standard dispatch exact-match accuracy</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≥95%</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Industry benchmark for dispatch fidelity (IEEE LiMeda 2024)</w:t>
            </w:r>
          </w:p>
        </w:tc>
      </w:tr>
      <w:tr>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Edge case full/partial credit</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≥90%</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Multi-reviewer consensus rubric, Fleiss’ κ ≥0.7</w:t>
            </w:r>
          </w:p>
        </w:tc>
      </w:tr>
      <w:tr>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Hallucination rate (full eval set)</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&lt;2%</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Safety-critical threshold for AV systems; P0 if violated</w:t>
            </w:r>
          </w:p>
        </w:tc>
      </w:tr>
      <w:tr>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P95 latency</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&lt;2000ms</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Rider-perceived responsiveness ceiling vs. Uber/Lyft norm</w:t>
            </w:r>
          </w:p>
        </w:tc>
      </w:tr>
      <w:tr>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Cost per inference</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&lt;$0.005</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Keeps inference cost under 0.25% of $4.20 trip revenue</w:t>
            </w:r>
          </w:p>
        </w:tc>
      </w:tr>
      <w:tr>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Adversarial refusal rate</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100%</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Zero tolerance; any failure blocks deployment</w:t>
            </w:r>
          </w:p>
        </w:tc>
      </w:tr>
    </w:tbl>
    <w:p>
      <w:pPr>
        <w:spacing w:after="80" w:line="252"/>
      </w:pPr>
      <w:r>
        <w:t xml:space="preserve">Evaluation methodology: tiered approach combining Agent-as-a-Judge (standard dispatch, low-cost regression on every model update), human-in-the-loop (edge cases, three-reviewer consensus on a 3-point rubric), and binary pass/fail (adversarial). Deterministic combinatorial solver remains as the production fallback layer; any LLM output that fails schema validation, exceeds the latency budget, or attempts to dispatch a vehicle outside its owner’s availability window is automatically routed through the deterministic solver. The eval set itself is refreshed quarterly with new real-world dispatch logs to catch model drift.</w:t>
      </w:r>
    </w:p>
    <w:p>
      <w:pPr>
        <w:pStyle w:val="Heading2"/>
        <w:spacing w:after="140" w:before="280"/>
      </w:pPr>
      <w:r>
        <w:rPr>
          <w:rFonts w:ascii="Arial" w:cs="Arial" w:eastAsia="Arial" w:hAnsi="Arial"/>
          <w:b/>
          <w:bCs/>
          <w:sz w:val="26"/>
          <w:szCs w:val="26"/>
        </w:rPr>
        <w:t xml:space="preserve">A.7 Tech Stack and Integration</w:t>
      </w:r>
    </w:p>
    <w:p>
      <w:pPr>
        <w:spacing w:after="80" w:line="252"/>
      </w:pPr>
      <w:r>
        <w:t xml:space="preserve">Earn Mode is built as an orchestration layer on Tesla’s existing Robotaxi and mobile app infrastructure. New services are highlighted below.</w:t>
      </w:r>
    </w:p>
    <w:p>
      <w:pPr>
        <w:pStyle w:val="ListParagraph"/>
        <w:numPr>
          <w:ilvl w:val="0"/>
          <w:numId w:val="2"/>
        </w:numPr>
        <w:spacing w:after="60" w:line="252"/>
      </w:pPr>
      <w:r>
        <w:rPr>
          <w:rFonts w:ascii="Arial" w:cs="Arial" w:eastAsia="Arial" w:hAnsi="Arial"/>
          <w:b/>
          <w:bCs/>
          <w:sz w:val="22"/>
          <w:szCs w:val="22"/>
        </w:rPr>
        <w:t xml:space="preserve">Client (Tesla mobile app): </w:t>
      </w:r>
      <w:r>
        <w:rPr>
          <w:rFonts w:ascii="Arial" w:cs="Arial" w:eastAsia="Arial" w:hAnsi="Arial"/>
          <w:sz w:val="22"/>
          <w:szCs w:val="22"/>
        </w:rPr>
        <w:t xml:space="preserve">React Native, existing codebase. New Earn Mode tab, onboarding flow, and live dashboard.</w:t>
      </w:r>
    </w:p>
    <w:p>
      <w:pPr>
        <w:pStyle w:val="ListParagraph"/>
        <w:numPr>
          <w:ilvl w:val="0"/>
          <w:numId w:val="2"/>
        </w:numPr>
        <w:spacing w:after="60" w:line="252"/>
      </w:pPr>
      <w:r>
        <w:rPr>
          <w:rFonts w:ascii="Arial" w:cs="Arial" w:eastAsia="Arial" w:hAnsi="Arial"/>
          <w:b/>
          <w:bCs/>
          <w:sz w:val="22"/>
          <w:szCs w:val="22"/>
        </w:rPr>
        <w:t xml:space="preserve">Earnings Estimator service (new): </w:t>
      </w:r>
      <w:r>
        <w:rPr>
          <w:rFonts w:ascii="Arial" w:cs="Arial" w:eastAsia="Arial" w:hAnsi="Arial"/>
          <w:sz w:val="22"/>
          <w:szCs w:val="22"/>
        </w:rPr>
        <w:t xml:space="preserve">Python/FastAPI on Tesla AWS. Reads zip-code-level Robotaxi demand from the dispatch system, projects per-vehicle monthly earnings as a 10th-to-50th percentile range.</w:t>
      </w:r>
    </w:p>
    <w:p>
      <w:pPr>
        <w:pStyle w:val="ListParagraph"/>
        <w:numPr>
          <w:ilvl w:val="0"/>
          <w:numId w:val="2"/>
        </w:numPr>
        <w:spacing w:after="60" w:line="252"/>
      </w:pPr>
      <w:r>
        <w:rPr>
          <w:rFonts w:ascii="Arial" w:cs="Arial" w:eastAsia="Arial" w:hAnsi="Arial"/>
          <w:b/>
          <w:bCs/>
          <w:sz w:val="22"/>
          <w:szCs w:val="22"/>
        </w:rPr>
        <w:t xml:space="preserve">Availability Scheduler service (new): </w:t>
      </w:r>
      <w:r>
        <w:rPr>
          <w:rFonts w:ascii="Arial" w:cs="Arial" w:eastAsia="Arial" w:hAnsi="Arial"/>
          <w:sz w:val="22"/>
          <w:szCs w:val="22"/>
        </w:rPr>
        <w:t xml:space="preserve">Go service that gates which enrolled vehicles are dispatchable at any moment based on owner-set windows. Integrates with vehicle telemetry.</w:t>
      </w:r>
    </w:p>
    <w:p>
      <w:pPr>
        <w:pStyle w:val="ListParagraph"/>
        <w:numPr>
          <w:ilvl w:val="0"/>
          <w:numId w:val="2"/>
        </w:numPr>
        <w:spacing w:after="60" w:line="252"/>
      </w:pPr>
      <w:r>
        <w:rPr>
          <w:rFonts w:ascii="Arial" w:cs="Arial" w:eastAsia="Arial" w:hAnsi="Arial"/>
          <w:b/>
          <w:bCs/>
          <w:sz w:val="22"/>
          <w:szCs w:val="22"/>
        </w:rPr>
        <w:t xml:space="preserve">Dispatch Optimizer (extended): </w:t>
      </w:r>
      <w:r>
        <w:rPr>
          <w:rFonts w:ascii="Arial" w:cs="Arial" w:eastAsia="Arial" w:hAnsi="Arial"/>
          <w:sz w:val="22"/>
          <w:szCs w:val="22"/>
        </w:rPr>
        <w:t xml:space="preserve">Existing Robotaxi dispatch system, augmented with the LLM reasoning layer for multi-constraint edge cases. PyTorch-served fine-tuned model + deterministic combinatorial solver fallback.</w:t>
      </w:r>
    </w:p>
    <w:p>
      <w:pPr>
        <w:pStyle w:val="ListParagraph"/>
        <w:numPr>
          <w:ilvl w:val="0"/>
          <w:numId w:val="2"/>
        </w:numPr>
        <w:spacing w:after="60" w:line="252"/>
      </w:pPr>
      <w:r>
        <w:rPr>
          <w:rFonts w:ascii="Arial" w:cs="Arial" w:eastAsia="Arial" w:hAnsi="Arial"/>
          <w:b/>
          <w:bCs/>
          <w:sz w:val="22"/>
          <w:szCs w:val="22"/>
        </w:rPr>
        <w:t xml:space="preserve">Owner Payout Engine (new): </w:t>
      </w:r>
      <w:r>
        <w:rPr>
          <w:rFonts w:ascii="Arial" w:cs="Arial" w:eastAsia="Arial" w:hAnsi="Arial"/>
          <w:sz w:val="22"/>
          <w:szCs w:val="22"/>
        </w:rPr>
        <w:t xml:space="preserve">Stripe Treasury for weekly ACH disbursements. Trip-level itemization, tax-form generation (1099).</w:t>
      </w:r>
    </w:p>
    <w:p>
      <w:pPr>
        <w:pStyle w:val="ListParagraph"/>
        <w:numPr>
          <w:ilvl w:val="0"/>
          <w:numId w:val="2"/>
        </w:numPr>
        <w:spacing w:after="60" w:line="252"/>
      </w:pPr>
      <w:r>
        <w:rPr>
          <w:rFonts w:ascii="Arial" w:cs="Arial" w:eastAsia="Arial" w:hAnsi="Arial"/>
          <w:b/>
          <w:bCs/>
          <w:sz w:val="22"/>
          <w:szCs w:val="22"/>
        </w:rPr>
        <w:t xml:space="preserve">Tesla Insurance integration (extended): </w:t>
      </w:r>
      <w:r>
        <w:rPr>
          <w:rFonts w:ascii="Arial" w:cs="Arial" w:eastAsia="Arial" w:hAnsi="Arial"/>
          <w:sz w:val="22"/>
          <w:szCs w:val="22"/>
        </w:rPr>
        <w:t xml:space="preserve">Commercial Robotaxi policy issuance per enrolled VIN. Policy activates per trip, deactivates after. API-level integration with existing Tesla Insurance backend.</w:t>
      </w:r>
    </w:p>
    <w:p>
      <w:pPr>
        <w:pStyle w:val="Heading2"/>
        <w:spacing w:after="140" w:before="280"/>
      </w:pPr>
      <w:r>
        <w:rPr>
          <w:rFonts w:ascii="Arial" w:cs="Arial" w:eastAsia="Arial" w:hAnsi="Arial"/>
          <w:b/>
          <w:bCs/>
          <w:sz w:val="26"/>
          <w:szCs w:val="26"/>
        </w:rPr>
        <w:t xml:space="preserve">A.8 Known Limitations and v1 Scope Boundaries</w:t>
      </w:r>
    </w:p>
    <w:p>
      <w:pPr>
        <w:spacing w:after="80" w:line="252"/>
      </w:pPr>
      <w:r>
        <w:t xml:space="preserve">What we are intentionally NOT building in v1, and why:</w:t>
      </w:r>
    </w:p>
    <w:p>
      <w:pPr>
        <w:pStyle w:val="ListParagraph"/>
        <w:numPr>
          <w:ilvl w:val="0"/>
          <w:numId w:val="2"/>
        </w:numPr>
        <w:spacing w:after="60" w:line="252"/>
      </w:pPr>
      <w:r>
        <w:rPr>
          <w:rFonts w:ascii="Arial" w:cs="Arial" w:eastAsia="Arial" w:hAnsi="Arial"/>
          <w:b/>
          <w:bCs/>
          <w:sz w:val="22"/>
          <w:szCs w:val="22"/>
        </w:rPr>
        <w:t xml:space="preserve">No Model 3 or Cybertruck support. </w:t>
      </w:r>
      <w:r>
        <w:rPr>
          <w:rFonts w:ascii="Arial" w:cs="Arial" w:eastAsia="Arial" w:hAnsi="Arial"/>
          <w:sz w:val="22"/>
          <w:szCs w:val="22"/>
        </w:rPr>
        <w:t xml:space="preserve">Different sensor coverage on HW3 fleet; safety validation costs would delay launch by 4+ months. v2 candidate after HW3 vision retrofit study completes.</w:t>
      </w:r>
    </w:p>
    <w:p>
      <w:pPr>
        <w:pStyle w:val="ListParagraph"/>
        <w:numPr>
          <w:ilvl w:val="0"/>
          <w:numId w:val="2"/>
        </w:numPr>
        <w:spacing w:after="60" w:line="252"/>
      </w:pPr>
      <w:r>
        <w:rPr>
          <w:rFonts w:ascii="Arial" w:cs="Arial" w:eastAsia="Arial" w:hAnsi="Arial"/>
          <w:b/>
          <w:bCs/>
          <w:sz w:val="22"/>
          <w:szCs w:val="22"/>
        </w:rPr>
        <w:t xml:space="preserve">No peer-to-peer (owner-to-individual) leasing. </w:t>
      </w:r>
      <w:r>
        <w:rPr>
          <w:rFonts w:ascii="Arial" w:cs="Arial" w:eastAsia="Arial" w:hAnsi="Arial"/>
          <w:sz w:val="22"/>
          <w:szCs w:val="22"/>
        </w:rPr>
        <w:t xml:space="preserve">Personal auto insurance excludes commercial ride-hail. Liability frameworks for individual-operated autonomous passenger service are unresolved. Tesla-as-operator structure sidesteps both.</w:t>
      </w:r>
    </w:p>
    <w:p>
      <w:pPr>
        <w:pStyle w:val="ListParagraph"/>
        <w:numPr>
          <w:ilvl w:val="0"/>
          <w:numId w:val="2"/>
        </w:numPr>
        <w:spacing w:after="60" w:line="252"/>
      </w:pPr>
      <w:r>
        <w:rPr>
          <w:rFonts w:ascii="Arial" w:cs="Arial" w:eastAsia="Arial" w:hAnsi="Arial"/>
          <w:b/>
          <w:bCs/>
          <w:sz w:val="22"/>
          <w:szCs w:val="22"/>
        </w:rPr>
        <w:t xml:space="preserve">No per-trip owner approval. </w:t>
      </w:r>
      <w:r>
        <w:rPr>
          <w:rFonts w:ascii="Arial" w:cs="Arial" w:eastAsia="Arial" w:hAnsi="Arial"/>
          <w:sz w:val="22"/>
          <w:szCs w:val="22"/>
        </w:rPr>
        <w:t xml:space="preserve">Added dispatch latency would degrade rider experience and reduce earnings. Owners set time-window and route rules instead.</w:t>
      </w:r>
    </w:p>
    <w:p>
      <w:pPr>
        <w:pStyle w:val="ListParagraph"/>
        <w:numPr>
          <w:ilvl w:val="0"/>
          <w:numId w:val="2"/>
        </w:numPr>
        <w:spacing w:after="60" w:line="252"/>
      </w:pPr>
      <w:r>
        <w:rPr>
          <w:rFonts w:ascii="Arial" w:cs="Arial" w:eastAsia="Arial" w:hAnsi="Arial"/>
          <w:b/>
          <w:bCs/>
          <w:sz w:val="22"/>
          <w:szCs w:val="22"/>
        </w:rPr>
        <w:t xml:space="preserve">No premium interior tier. </w:t>
      </w:r>
      <w:r>
        <w:rPr>
          <w:rFonts w:ascii="Arial" w:cs="Arial" w:eastAsia="Arial" w:hAnsi="Arial"/>
          <w:sz w:val="22"/>
          <w:szCs w:val="22"/>
        </w:rPr>
        <w:t xml:space="preserve">Avoids creating a two-class system that fragments the rider experience in v1. v2 candidate once owner-side demand is validated.</w:t>
      </w:r>
    </w:p>
    <w:p>
      <w:pPr>
        <w:pStyle w:val="ListParagraph"/>
        <w:numPr>
          <w:ilvl w:val="0"/>
          <w:numId w:val="2"/>
        </w:numPr>
        <w:spacing w:after="60" w:line="252"/>
      </w:pPr>
      <w:r>
        <w:rPr>
          <w:rFonts w:ascii="Arial" w:cs="Arial" w:eastAsia="Arial" w:hAnsi="Arial"/>
          <w:b/>
          <w:bCs/>
          <w:sz w:val="22"/>
          <w:szCs w:val="22"/>
        </w:rPr>
        <w:t xml:space="preserve">No California, no international. </w:t>
      </w:r>
      <w:r>
        <w:rPr>
          <w:rFonts w:ascii="Arial" w:cs="Arial" w:eastAsia="Arial" w:hAnsi="Arial"/>
          <w:sz w:val="22"/>
          <w:szCs w:val="22"/>
        </w:rPr>
        <w:t xml:space="preserve">California pending Tesla Insurance enforcement resolution. International requires per-country regulatory framework that does not exist for unsupervised AVs.</w:t>
      </w:r>
    </w:p>
    <w:p>
      <w:pPr>
        <w:pStyle w:val="ListParagraph"/>
        <w:numPr>
          <w:ilvl w:val="0"/>
          <w:numId w:val="2"/>
        </w:numPr>
        <w:spacing w:after="60" w:line="252"/>
      </w:pPr>
      <w:r>
        <w:rPr>
          <w:rFonts w:ascii="Arial" w:cs="Arial" w:eastAsia="Arial" w:hAnsi="Arial"/>
          <w:b/>
          <w:bCs/>
          <w:sz w:val="22"/>
          <w:szCs w:val="22"/>
        </w:rPr>
        <w:t xml:space="preserve">No social/community features. </w:t>
      </w:r>
      <w:r>
        <w:rPr>
          <w:rFonts w:ascii="Arial" w:cs="Arial" w:eastAsia="Arial" w:hAnsi="Arial"/>
          <w:sz w:val="22"/>
          <w:szCs w:val="22"/>
        </w:rPr>
        <w:t xml:space="preserve">Owner-to-owner messaging, leaderboards, or referral feeds add complexity without validated demand. Defer to v2.</w:t>
      </w:r>
    </w:p>
    <w:p>
      <w:pPr>
        <w:pStyle w:val="ListParagraph"/>
        <w:numPr>
          <w:ilvl w:val="0"/>
          <w:numId w:val="2"/>
        </w:numPr>
        <w:spacing w:after="60" w:line="252"/>
      </w:pPr>
      <w:r>
        <w:rPr>
          <w:rFonts w:ascii="Arial" w:cs="Arial" w:eastAsia="Arial" w:hAnsi="Arial"/>
          <w:b/>
          <w:bCs/>
          <w:sz w:val="22"/>
          <w:szCs w:val="22"/>
        </w:rPr>
        <w:t xml:space="preserve">No real-time dynamic pricing for owners. </w:t>
      </w:r>
      <w:r>
        <w:rPr>
          <w:rFonts w:ascii="Arial" w:cs="Arial" w:eastAsia="Arial" w:hAnsi="Arial"/>
          <w:sz w:val="22"/>
          <w:szCs w:val="22"/>
        </w:rPr>
        <w:t xml:space="preserve">Owners receive a fixed 70 percent of net; we are not surfacing surge multipliers to owners. Simplicity &gt; optimization in v1. v2 may introduce premium availability windows.</w:t>
      </w:r>
    </w:p>
    <w:p>
      <w:pPr>
        <w:pStyle w:val="Heading2"/>
        <w:spacing w:after="140" w:before="280"/>
      </w:pPr>
      <w:r>
        <w:rPr>
          <w:rFonts w:ascii="Arial" w:cs="Arial" w:eastAsia="Arial" w:hAnsi="Arial"/>
          <w:b/>
          <w:bCs/>
          <w:sz w:val="26"/>
          <w:szCs w:val="26"/>
        </w:rPr>
        <w:t xml:space="preserve">A.9 SMART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460"/>
        <w:gridCol w:w="2400"/>
      </w:tblGrid>
      <w:tr>
        <w:tc>
          <w:tcPr>
            <w:tcW w:type="dxa" w:w="15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spacing w:after="40"/>
            </w:pPr>
            <w:r>
              <w:rPr>
                <w:rFonts w:ascii="Arial" w:cs="Arial" w:eastAsia="Arial" w:hAnsi="Arial"/>
                <w:b/>
                <w:bCs/>
                <w:sz w:val="20"/>
                <w:szCs w:val="20"/>
              </w:rPr>
              <w:t xml:space="preserve">Metric Type</w:t>
            </w:r>
          </w:p>
        </w:tc>
        <w:tc>
          <w:tcPr>
            <w:tcW w:type="dxa" w:w="54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spacing w:after="40"/>
            </w:pPr>
            <w:r>
              <w:rPr>
                <w:rFonts w:ascii="Arial" w:cs="Arial" w:eastAsia="Arial" w:hAnsi="Arial"/>
                <w:b/>
                <w:bCs/>
                <w:sz w:val="20"/>
                <w:szCs w:val="20"/>
              </w:rPr>
              <w:t xml:space="preserve">Metric</w:t>
            </w:r>
          </w:p>
        </w:tc>
        <w:tc>
          <w:tcPr>
            <w:tcW w:type="dxa" w:w="24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spacing w:after="40"/>
            </w:pPr>
            <w:r>
              <w:rPr>
                <w:rFonts w:ascii="Arial" w:cs="Arial" w:eastAsia="Arial" w:hAnsi="Arial"/>
                <w:b/>
                <w:bCs/>
                <w:sz w:val="20"/>
                <w:szCs w:val="20"/>
              </w:rPr>
              <w:t xml:space="preserve">v1 Target (12 months)</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North Star</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FSD subscription take-rate across global fleet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20% (up from 12.4%)</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Primary</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 of HW4 Model Y owners in pilot metros enrolled in Earn Mode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20%</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Primary</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Median monthly owner earnings (across enrolled vehicles)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$400</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Growth</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FSD subscription conversion lift on Earnings Estimator page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+15% vs. control</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Engagement</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Average active Earn Mode hours per enrolled vehicle per week</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30+ hours</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Quality</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Return-to-home 90-minute SLA on-time rate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99.5%</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Safety</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Trip-level incident rate (any rider-reported issue)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&lt;0.5%</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Guardrail</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30-day FSD subscription retention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≥81% (matches baseline)</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Guardrail</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Owner net promoter score (NPS) for Earn Mode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≥50</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Financial</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Tesla platform contribution per enrolled vehicle per month</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val="false"/>
                <w:bCs w:val="false"/>
                <w:sz w:val="20"/>
                <w:szCs w:val="20"/>
              </w:rPr>
              <w:t xml:space="preserve">$175</w:t>
            </w:r>
          </w:p>
        </w:tc>
      </w:tr>
    </w:tbl>
    <w:p>
      <w:pPr>
        <w:pStyle w:val="Heading2"/>
        <w:spacing w:after="140" w:before="280"/>
      </w:pPr>
      <w:r>
        <w:rPr>
          <w:rFonts w:ascii="Arial" w:cs="Arial" w:eastAsia="Arial" w:hAnsi="Arial"/>
          <w:b/>
          <w:bCs/>
          <w:sz w:val="26"/>
          <w:szCs w:val="26"/>
        </w:rPr>
        <w:t xml:space="preserve">A.10 Top Risks (Summary)</w:t>
      </w:r>
    </w:p>
    <w:p>
      <w:pPr>
        <w:pStyle w:val="ListParagraph"/>
        <w:numPr>
          <w:ilvl w:val="0"/>
          <w:numId w:val="2"/>
        </w:numPr>
        <w:spacing w:after="60" w:line="252"/>
      </w:pPr>
      <w:r>
        <w:rPr>
          <w:rFonts w:ascii="Arial" w:cs="Arial" w:eastAsia="Arial" w:hAnsi="Arial"/>
          <w:b/>
          <w:bCs/>
          <w:sz w:val="22"/>
          <w:szCs w:val="22"/>
        </w:rPr>
        <w:t xml:space="preserve">Regulatory delay or TNC reclassification. </w:t>
      </w:r>
      <w:r>
        <w:rPr>
          <w:rFonts w:ascii="Arial" w:cs="Arial" w:eastAsia="Arial" w:hAnsi="Arial"/>
          <w:sz w:val="22"/>
          <w:szCs w:val="22"/>
        </w:rPr>
        <w:t xml:space="preserve">State-by-state approval timelines slip; one state classifies Earn Mode as a TNC requiring owner licensing. Mitigation: Tesla absorbs licensing costs up to $250/owner/year.</w:t>
      </w:r>
    </w:p>
    <w:p>
      <w:pPr>
        <w:pStyle w:val="ListParagraph"/>
        <w:numPr>
          <w:ilvl w:val="0"/>
          <w:numId w:val="2"/>
        </w:numPr>
        <w:spacing w:after="60" w:line="252"/>
      </w:pPr>
      <w:r>
        <w:rPr>
          <w:rFonts w:ascii="Arial" w:cs="Arial" w:eastAsia="Arial" w:hAnsi="Arial"/>
          <w:b/>
          <w:bCs/>
          <w:sz w:val="22"/>
          <w:szCs w:val="22"/>
        </w:rPr>
        <w:t xml:space="preserve">Safety incident in pilot metro. </w:t>
      </w:r>
      <w:r>
        <w:rPr>
          <w:rFonts w:ascii="Arial" w:cs="Arial" w:eastAsia="Arial" w:hAnsi="Arial"/>
          <w:sz w:val="22"/>
          <w:szCs w:val="22"/>
        </w:rPr>
        <w:t xml:space="preserve">A single high-visibility crash erodes trust across the entire program. Mitigation: layered safety guardrails (input validation, output constraint enforcement, deterministic dispatch fallback, full audit logging).</w:t>
      </w:r>
    </w:p>
    <w:p>
      <w:pPr>
        <w:pStyle w:val="ListParagraph"/>
        <w:numPr>
          <w:ilvl w:val="0"/>
          <w:numId w:val="2"/>
        </w:numPr>
        <w:spacing w:after="60" w:line="252"/>
      </w:pPr>
      <w:r>
        <w:rPr>
          <w:rFonts w:ascii="Arial" w:cs="Arial" w:eastAsia="Arial" w:hAnsi="Arial"/>
          <w:b/>
          <w:bCs/>
          <w:sz w:val="22"/>
          <w:szCs w:val="22"/>
        </w:rPr>
        <w:t xml:space="preserve">Earnings under-delivery. </w:t>
      </w:r>
      <w:r>
        <w:rPr>
          <w:rFonts w:ascii="Arial" w:cs="Arial" w:eastAsia="Arial" w:hAnsi="Arial"/>
          <w:sz w:val="22"/>
          <w:szCs w:val="22"/>
        </w:rPr>
        <w:t xml:space="preserve">Real earnings fall short of estimator projections, triggering churn and negative sentiment. Mitigation: conservative range-based estimator (not point estimate), $100/month guaranteed minimum for first 90 days, transparent per-trip breakdown.</w:t>
      </w:r>
    </w:p>
    <w:p>
      <w:pPr>
        <w:pStyle w:val="ListParagraph"/>
        <w:numPr>
          <w:ilvl w:val="0"/>
          <w:numId w:val="2"/>
        </w:numPr>
        <w:spacing w:after="60" w:line="252"/>
      </w:pPr>
      <w:r>
        <w:rPr>
          <w:rFonts w:ascii="Arial" w:cs="Arial" w:eastAsia="Arial" w:hAnsi="Arial"/>
          <w:b/>
          <w:bCs/>
          <w:sz w:val="22"/>
          <w:szCs w:val="22"/>
        </w:rPr>
        <w:t xml:space="preserve">Waymo-Hyundai cost compression. </w:t>
      </w:r>
      <w:r>
        <w:rPr>
          <w:rFonts w:ascii="Arial" w:cs="Arial" w:eastAsia="Arial" w:hAnsi="Arial"/>
          <w:sz w:val="22"/>
          <w:szCs w:val="22"/>
        </w:rPr>
        <w:t xml:space="preserve">Waymo scales a cheaper, purpose-built L4 fleet faster than Tesla scales its consumer-contributed fleet. Mitigation: Earn Mode is precisely the response (extends our installed-base advantage into the robotaxi competitive surface).</w:t>
      </w:r>
    </w:p>
    <w:p>
      <w:pPr>
        <w:pStyle w:val="ListParagraph"/>
        <w:numPr>
          <w:ilvl w:val="0"/>
          <w:numId w:val="2"/>
        </w:numPr>
        <w:spacing w:after="60" w:line="252"/>
      </w:pPr>
      <w:r>
        <w:rPr>
          <w:rFonts w:ascii="Arial" w:cs="Arial" w:eastAsia="Arial" w:hAnsi="Arial"/>
          <w:b/>
          <w:bCs/>
          <w:sz w:val="22"/>
          <w:szCs w:val="22"/>
        </w:rPr>
        <w:t xml:space="preserve">Vehicle wear and battery degradation. </w:t>
      </w:r>
      <w:r>
        <w:rPr>
          <w:rFonts w:ascii="Arial" w:cs="Arial" w:eastAsia="Arial" w:hAnsi="Arial"/>
          <w:sz w:val="22"/>
          <w:szCs w:val="22"/>
        </w:rPr>
        <w:t xml:space="preserve">Accelerated wear sours owners over 12 to 24 months. Mitigation: $250 trip-by-trip damage guarantee, battery warranty backstop, quarterly published wear study.</w:t>
      </w:r>
    </w:p>
    <w:p>
      <w:pPr>
        <w:pStyle w:val="Heading2"/>
        <w:spacing w:after="140" w:before="280"/>
      </w:pPr>
      <w:r>
        <w:rPr>
          <w:rFonts w:ascii="Arial" w:cs="Arial" w:eastAsia="Arial" w:hAnsi="Arial"/>
          <w:b/>
          <w:bCs/>
          <w:sz w:val="26"/>
          <w:szCs w:val="26"/>
        </w:rPr>
        <w:t xml:space="preserve">A.11 Sources</w:t>
      </w:r>
    </w:p>
    <w:p>
      <w:pPr>
        <w:spacing w:after="80" w:line="252"/>
      </w:pPr>
      <w:r>
        <w:rPr>
          <w:rFonts w:ascii="Arial" w:cs="Arial" w:eastAsia="Arial" w:hAnsi="Arial"/>
          <w:b/>
          <w:bCs/>
          <w:sz w:val="20"/>
          <w:szCs w:val="20"/>
        </w:rPr>
        <w:t xml:space="preserve">[1] </w:t>
      </w:r>
      <w:r>
        <w:rPr>
          <w:rFonts w:ascii="Arial" w:cs="Arial" w:eastAsia="Arial" w:hAnsi="Arial"/>
          <w:sz w:val="20"/>
          <w:szCs w:val="20"/>
        </w:rPr>
        <w:t xml:space="preserve">Electrek: Tesla Q4 2025 earnings disclose 1.1M FSD users (~12.4% of 8.9M fleet). https://electrek.co/2026/01/28/tesla-discloses-fsd-subscriber-count-first-time-1-million/</w:t>
      </w:r>
    </w:p>
    <w:p>
      <w:pPr>
        <w:spacing w:after="80" w:line="252"/>
      </w:pPr>
      <w:r>
        <w:rPr>
          <w:rFonts w:ascii="Arial" w:cs="Arial" w:eastAsia="Arial" w:hAnsi="Arial"/>
          <w:b/>
          <w:bCs/>
          <w:sz w:val="20"/>
          <w:szCs w:val="20"/>
        </w:rPr>
        <w:t xml:space="preserve">[2] </w:t>
      </w:r>
      <w:r>
        <w:rPr>
          <w:rFonts w:ascii="Arial" w:cs="Arial" w:eastAsia="Arial" w:hAnsi="Arial"/>
          <w:sz w:val="20"/>
          <w:szCs w:val="20"/>
        </w:rPr>
        <w:t xml:space="preserve">Tesla.com: FSD $99/month subscription-only since Feb 2026. https://www.tesla.com/support/full-self-driving-subscriptions</w:t>
      </w:r>
    </w:p>
    <w:p>
      <w:pPr>
        <w:spacing w:after="80" w:line="252"/>
      </w:pPr>
      <w:r>
        <w:rPr>
          <w:rFonts w:ascii="Arial" w:cs="Arial" w:eastAsia="Arial" w:hAnsi="Arial"/>
          <w:b/>
          <w:bCs/>
          <w:sz w:val="20"/>
          <w:szCs w:val="20"/>
        </w:rPr>
        <w:t xml:space="preserve">[3] </w:t>
      </w:r>
      <w:r>
        <w:rPr>
          <w:rFonts w:ascii="Arial" w:cs="Arial" w:eastAsia="Arial" w:hAnsi="Arial"/>
          <w:sz w:val="20"/>
          <w:szCs w:val="20"/>
        </w:rPr>
        <w:t xml:space="preserve">Basenor: Tesla FSD surpasses 8B cumulative miles, Feb 2026. https://www.basenor.com/blogs/news/tesla-fsd-push-8b-miles-99-month-what-owners-should-know</w:t>
      </w:r>
    </w:p>
    <w:p>
      <w:pPr>
        <w:spacing w:after="80" w:line="252"/>
      </w:pPr>
      <w:r>
        <w:rPr>
          <w:rFonts w:ascii="Arial" w:cs="Arial" w:eastAsia="Arial" w:hAnsi="Arial"/>
          <w:b/>
          <w:bCs/>
          <w:sz w:val="20"/>
          <w:szCs w:val="20"/>
        </w:rPr>
        <w:t xml:space="preserve">[4] </w:t>
      </w:r>
      <w:r>
        <w:rPr>
          <w:rFonts w:ascii="Arial" w:cs="Arial" w:eastAsia="Arial" w:hAnsi="Arial"/>
          <w:sz w:val="20"/>
          <w:szCs w:val="20"/>
        </w:rPr>
        <w:t xml:space="preserve">Basenor: Tesla Austin Robotaxi fleet reaches 10 unsupervised Model Ys, April 2026. https://www.basenor.com/blogs/news/tesla-austin-robotaxi-fleet-hits-10-unsupervised-model-ys</w:t>
      </w:r>
    </w:p>
    <w:p>
      <w:pPr>
        <w:spacing w:after="80" w:line="252"/>
      </w:pPr>
      <w:r>
        <w:rPr>
          <w:rFonts w:ascii="Arial" w:cs="Arial" w:eastAsia="Arial" w:hAnsi="Arial"/>
          <w:b/>
          <w:bCs/>
          <w:sz w:val="20"/>
          <w:szCs w:val="20"/>
        </w:rPr>
        <w:t xml:space="preserve">[5] </w:t>
      </w:r>
      <w:r>
        <w:rPr>
          <w:rFonts w:ascii="Arial" w:cs="Arial" w:eastAsia="Arial" w:hAnsi="Arial"/>
          <w:sz w:val="20"/>
          <w:szCs w:val="20"/>
        </w:rPr>
        <w:t xml:space="preserve">Wikipedia: Tesla Cybercab production commenced April 2026. https://en.wikipedia.org/wiki/Tesla_Cybercab</w:t>
      </w:r>
    </w:p>
    <w:p>
      <w:pPr>
        <w:spacing w:after="80" w:line="252"/>
      </w:pPr>
      <w:r>
        <w:rPr>
          <w:rFonts w:ascii="Arial" w:cs="Arial" w:eastAsia="Arial" w:hAnsi="Arial"/>
          <w:b/>
          <w:bCs/>
          <w:sz w:val="20"/>
          <w:szCs w:val="20"/>
        </w:rPr>
        <w:t xml:space="preserve">[6] </w:t>
      </w:r>
      <w:r>
        <w:rPr>
          <w:rFonts w:ascii="Arial" w:cs="Arial" w:eastAsia="Arial" w:hAnsi="Arial"/>
          <w:sz w:val="20"/>
          <w:szCs w:val="20"/>
        </w:rPr>
        <w:t xml:space="preserve">TechCrunch: Waymo 500K paid rides/week across 10 U.S. cities, March 2026. https://techcrunch.com/2026/03/27/waymo-skyrocketing-ridership-in-one-chart/</w:t>
      </w:r>
    </w:p>
    <w:p>
      <w:pPr>
        <w:spacing w:after="80" w:line="252"/>
      </w:pPr>
      <w:r>
        <w:rPr>
          <w:rFonts w:ascii="Arial" w:cs="Arial" w:eastAsia="Arial" w:hAnsi="Arial"/>
          <w:b/>
          <w:bCs/>
          <w:sz w:val="20"/>
          <w:szCs w:val="20"/>
        </w:rPr>
        <w:t xml:space="preserve">[7] </w:t>
      </w:r>
      <w:r>
        <w:rPr>
          <w:rFonts w:ascii="Arial" w:cs="Arial" w:eastAsia="Arial" w:hAnsi="Arial"/>
          <w:sz w:val="20"/>
          <w:szCs w:val="20"/>
        </w:rPr>
        <w:t xml:space="preserve">Electrek: Hyundai in talks to supply Waymo 50,000 IONIQ 5s by 2028 (~$2.5B deal). https://electrek.co/2026/02/11/hyundai-supply-waymo-50000-ioniq-5-robotaxis/</w:t>
      </w:r>
    </w:p>
    <w:p>
      <w:pPr>
        <w:spacing w:after="80" w:line="252"/>
      </w:pPr>
      <w:r>
        <w:rPr>
          <w:rFonts w:ascii="Arial" w:cs="Arial" w:eastAsia="Arial" w:hAnsi="Arial"/>
          <w:b/>
          <w:bCs/>
          <w:sz w:val="20"/>
          <w:szCs w:val="20"/>
        </w:rPr>
        <w:t xml:space="preserve">[8] </w:t>
      </w:r>
      <w:r>
        <w:rPr>
          <w:rFonts w:ascii="Arial" w:cs="Arial" w:eastAsia="Arial" w:hAnsi="Arial"/>
          <w:sz w:val="20"/>
          <w:szCs w:val="20"/>
        </w:rPr>
        <w:t xml:space="preserve">ARK Invest: Tesla Cybercab ~50% cheaper per mile than Waymo Gen 6; fleet to ~7,200 by end 2026. https://www.ark-invest.com/newsletters/issue-496</w:t>
      </w:r>
    </w:p>
    <w:p>
      <w:pPr>
        <w:spacing w:after="80" w:line="252"/>
      </w:pPr>
      <w:r>
        <w:rPr>
          <w:rFonts w:ascii="Arial" w:cs="Arial" w:eastAsia="Arial" w:hAnsi="Arial"/>
          <w:b/>
          <w:bCs/>
          <w:sz w:val="20"/>
          <w:szCs w:val="20"/>
        </w:rPr>
        <w:t xml:space="preserve">[9] </w:t>
      </w:r>
      <w:r>
        <w:rPr>
          <w:rFonts w:ascii="Arial" w:cs="Arial" w:eastAsia="Arial" w:hAnsi="Arial"/>
          <w:sz w:val="20"/>
          <w:szCs w:val="20"/>
        </w:rPr>
        <w:t xml:space="preserve">Grand View Research: Global AV market $86B (2025), projected $214B by 2030. https://www.grandviewresearch.com/industry-analysis/autonomous-vehicles-market</w:t>
      </w:r>
    </w:p>
    <w:p>
      <w:pPr>
        <w:spacing w:after="80" w:line="252"/>
      </w:pPr>
      <w:r>
        <w:rPr>
          <w:rFonts w:ascii="Arial" w:cs="Arial" w:eastAsia="Arial" w:hAnsi="Arial"/>
          <w:b/>
          <w:bCs/>
          <w:sz w:val="20"/>
          <w:szCs w:val="20"/>
        </w:rPr>
        <w:t xml:space="preserve">[10] </w:t>
      </w:r>
      <w:r>
        <w:rPr>
          <w:rFonts w:ascii="Arial" w:cs="Arial" w:eastAsia="Arial" w:hAnsi="Arial"/>
          <w:sz w:val="20"/>
          <w:szCs w:val="20"/>
        </w:rPr>
        <w:t xml:space="preserve">IEEE: LLM-driven Multi-vehicle Dispatching and Navigation (LiMeda) framework. https://ieeexplore.ieee.org/iel8/10609961/10609862/10610578.pdf</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2026-05-13T10:44:43.202Z</dcterms:created>
  <dcterms:modified xsi:type="dcterms:W3CDTF">2026-05-13T10:44:43.202Z</dcterms:modified>
</cp:coreProperties>
</file>

<file path=docProps/custom.xml><?xml version="1.0" encoding="utf-8"?>
<Properties xmlns="http://schemas.openxmlformats.org/officeDocument/2006/custom-properties" xmlns:vt="http://schemas.openxmlformats.org/officeDocument/2006/docPropsVTypes"/>
</file>