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PartName="/word/header_watermark.xml" ContentType="application/vnd.openxmlformats-officedocument.wordprocessingml.head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600"/>
      </w:pPr>
    </w:p>
    <w:p>
      <w:pPr>
        <w:spacing w:after="200"/>
        <w:jc w:val="center"/>
      </w:pPr>
      <w:r>
        <w:rPr>
          <w:rFonts w:ascii="Arial" w:eastAsia="Microsoft YaHei" w:hAnsi="Arial"/>
          <w:b/>
          <w:bCs/>
          <w:color w:val="1A3C6E"/>
          <w:sz w:val="52"/>
          <w:szCs w:val="52"/>
        </w:rPr>
        <w:t xml:space="preserve">小说创作Agent系统</w:t>
      </w:r>
    </w:p>
    <w:p>
      <w:pPr>
        <w:spacing w:after="600"/>
        <w:jc w:val="center"/>
      </w:pPr>
      <w:r>
        <w:rPr>
          <w:rFonts w:ascii="Arial" w:eastAsia="Microsoft YaHei" w:hAnsi="Arial"/>
          <w:b/>
          <w:bCs/>
          <w:color w:val="2B579A"/>
          <w:sz w:val="40"/>
          <w:szCs w:val="40"/>
        </w:rPr>
        <w:t xml:space="preserve">设计文档评审报告</w:t>
      </w:r>
    </w:p>
    <w:p>
      <w:pPr>
        <w:spacing w:after="100"/>
        <w:jc w:val="center"/>
      </w:pPr>
      <w:r>
        <w:rPr>
          <w:rFonts w:ascii="Arial" w:eastAsia="Microsoft YaHei" w:hAnsi="Arial"/>
          <w:color w:val="666666"/>
          <w:sz w:val="24"/>
          <w:szCs w:val="24"/>
        </w:rPr>
        <w:t xml:space="preserve">评审版本：v1.0</w:t>
      </w:r>
    </w:p>
    <w:p>
      <w:pPr>
        <w:spacing w:after="100"/>
        <w:jc w:val="center"/>
      </w:pPr>
      <w:r>
        <w:rPr>
          <w:rFonts w:ascii="Arial" w:eastAsia="Microsoft YaHei" w:hAnsi="Arial"/>
          <w:color w:val="666666"/>
          <w:sz w:val="24"/>
          <w:szCs w:val="24"/>
        </w:rPr>
        <w:t xml:space="preserve">日期：2026-06-07</w:t>
      </w:r>
    </w:p>
    <w:p>
      <w:r>
        <w:br w:type="page"/>
      </w:r>
    </w:p>
    <w:p>
      <w:pPr>
        <w:pStyle w:val="Heading1"/>
      </w:pPr>
      <w:r>
        <w:rPr>
          <w:rFonts w:ascii="Arial" w:eastAsia="Microsoft YaHei" w:hAnsi="Arial"/>
        </w:rPr>
        <w:t xml:space="preserve">一、评审总览</w:t>
      </w:r>
    </w:p>
    <w:p>
      <w:pPr>
        <w:pStyle w:val="Heading2"/>
      </w:pPr>
      <w:r>
        <w:rPr>
          <w:rFonts w:ascii="Arial" w:eastAsia="Microsoft YaHei" w:hAnsi="Arial"/>
        </w:rPr>
        <w:t xml:space="preserve">1.1 评审综述</w:t>
      </w:r>
    </w:p>
    <w:p>
      <w:pPr>
        <w:spacing w:after="120"/>
      </w:pPr>
      <w:r>
        <w:rPr>
          <w:rFonts w:ascii="Arial" w:eastAsia="Microsoft YaHei" w:hAnsi="Arial"/>
          <w:sz w:val="20"/>
          <w:szCs w:val="20"/>
        </w:rPr>
        <w:t xml:space="preserve">本报告对《小说创作Agent系统设计方案》（v1.0）进行全面评审。该方案提出了一个基于 Tauri + React + FastAPI 的多Agent协作小说创作系统，包含8个专业Agent、三层记忆架构、学习与优化系统等核心模块。整体设计思路清晰，参考了 Hermes Agent、Claude Code、Sudowrite 等优秀项目的设计理念，具备较好的工程化基础。</w:t>
      </w:r>
    </w:p>
    <w:p>
      <w:pPr>
        <w:spacing w:after="120"/>
      </w:pPr>
      <w:r>
        <w:rPr>
          <w:rFonts w:ascii="Arial" w:eastAsia="Microsoft YaHei" w:hAnsi="Arial"/>
          <w:b/>
          <w:bCs/>
          <w:sz w:val="20"/>
          <w:szCs w:val="20"/>
        </w:rPr>
        <w:t xml:space="preserve">评审综合评分：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00"/>
        <w:gridCol w:w="4960"/>
      </w:tblGrid>
      <w:tr>
        <w:trPr>
          <w:cantSplit/>
        </w:trPr>
        <w:tc>
          <w:tcPr>
            <w:tcW w:type="dxa" w:w="28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评审维度</w:t>
            </w:r>
          </w:p>
        </w:tc>
        <w:tc>
          <w:tcPr>
            <w:tcW w:type="dxa" w:w="16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评分</w:t>
            </w:r>
          </w:p>
        </w:tc>
        <w:tc>
          <w:tcPr>
            <w:tcW w:type="dxa" w:w="49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color w:val="333333"/>
                <w:sz w:val="20"/>
                <w:szCs w:val="20"/>
              </w:rPr>
              <w:t xml:space="preserve">架构设计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color w:val="2B579A"/>
                <w:sz w:val="20"/>
                <w:szCs w:val="20"/>
              </w:rPr>
              <w:t xml:space="preserve">8.5/10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分层清晰，Agent分工合理，但缺少服务注册与发现机制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color w:val="333333"/>
                <w:sz w:val="20"/>
                <w:szCs w:val="20"/>
              </w:rPr>
              <w:t xml:space="preserve">技术可行性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color w:val="2B579A"/>
                <w:sz w:val="20"/>
                <w:szCs w:val="20"/>
              </w:rPr>
              <w:t xml:space="preserve">7.5/10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方案基本可行，但多处技术细节需补充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color w:val="333333"/>
                <w:sz w:val="20"/>
                <w:szCs w:val="20"/>
              </w:rPr>
              <w:t xml:space="preserve">工程化成熟度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color w:val="2B579A"/>
                <w:sz w:val="20"/>
                <w:szCs w:val="20"/>
              </w:rPr>
              <w:t xml:space="preserve">7.0/10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缺少测试策略、CI/CD、日志、监控等工程化设计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color w:val="333333"/>
                <w:sz w:val="20"/>
                <w:szCs w:val="20"/>
              </w:rPr>
              <w:t xml:space="preserve">数据模型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color w:val="2B579A"/>
                <w:sz w:val="20"/>
                <w:szCs w:val="20"/>
              </w:rPr>
              <w:t xml:space="preserve">8.0/10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实体设计完整，SQL表结构合理，少量字段需调整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color w:val="333333"/>
                <w:sz w:val="20"/>
                <w:szCs w:val="20"/>
              </w:rPr>
              <w:t xml:space="preserve">实施路线图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color w:val="2B579A"/>
                <w:sz w:val="20"/>
                <w:szCs w:val="20"/>
              </w:rPr>
              <w:t xml:space="preserve">7.0/10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阶段划分合理，但缺少交付物定义和验收标准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color w:val="333333"/>
                <w:sz w:val="20"/>
                <w:szCs w:val="20"/>
              </w:rPr>
              <w:t xml:space="preserve">文档质量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color w:val="2B579A"/>
                <w:sz w:val="20"/>
                <w:szCs w:val="20"/>
              </w:rPr>
              <w:t xml:space="preserve">8.0/10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结构完整、代码示例丰富，但缺少图表和序列图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Arial" w:eastAsia="Microsoft YaHei" w:hAnsi="Arial"/>
        </w:rPr>
        <w:t xml:space="preserve">1.2 设计亮点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  <w:sz w:val="20"/>
          <w:szCs w:val="20"/>
        </w:rPr>
        <w:t xml:space="preserve">流程型 + 角色型混合Agent架构：将创作流程分工（OutlineAgent、DraftAgent、EditAgent、ReviewAgent）与专业领域分工（WorldAgent、CharacterAgent、StyleAgent、PlotAgent）结合，职责边界清晰，易于独立演进和测试。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  <w:sz w:val="20"/>
          <w:szCs w:val="20"/>
        </w:rPr>
        <w:t xml:space="preserve">三层记忆架构：工作记忆→短期记忆→长期记忆的分层设计，配合摘要链和向量检索，是解决长文本创作上下文遗忘问题的合理方案。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  <w:sz w:val="20"/>
          <w:szCs w:val="20"/>
        </w:rPr>
        <w:t xml:space="preserve">人机协作协议：CollaborationProtocol 设计支持全自动/半自动/手动三种模式，通过检查点机制实现灵活的用户介入，这是实际产品中非常重要的设计。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  <w:sz w:val="20"/>
          <w:szCs w:val="20"/>
        </w:rPr>
        <w:t xml:space="preserve">去AI味多层次方案：负面样本学习 + 风格迁移 + 后处理规则的组合拳，比单纯依赖Prompt更可靠。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  <w:sz w:val="20"/>
          <w:szCs w:val="20"/>
        </w:rPr>
        <w:t xml:space="preserve">状态机驱动的调度器：NovelOrchestrator 采用明确的状态转换，流程可追溯、可恢复，便于调试和故障排查。</w:t>
      </w:r>
    </w:p>
    <w:p>
      <w:pPr>
        <w:pStyle w:val="Heading2"/>
      </w:pPr>
      <w:r>
        <w:rPr>
          <w:rFonts w:ascii="Arial" w:eastAsia="Microsoft YaHei" w:hAnsi="Arial"/>
        </w:rPr>
        <w:t xml:space="preserve">1.3 核心问题汇总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200"/>
        <w:gridCol w:w="1200"/>
        <w:gridCol w:w="5360"/>
      </w:tblGrid>
      <w:tr>
        <w:trPr>
          <w:cantSplit/>
        </w:trPr>
        <w:tc>
          <w:tcPr>
            <w:tcW w:type="dxa" w:w="6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问题类别</w:t>
            </w:r>
          </w:p>
        </w:tc>
        <w:tc>
          <w:tcPr>
            <w:tcW w:type="dxa" w:w="1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严重级别</w:t>
            </w:r>
          </w:p>
        </w:tc>
        <w:tc>
          <w:tcPr>
            <w:tcW w:type="dxa" w:w="53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简要描述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color w:val="333333"/>
                <w:sz w:val="20"/>
                <w:szCs w:val="20"/>
              </w:rPr>
              <w:t xml:space="preserve">架构设计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color w:val="CC0000"/>
                <w:sz w:val="20"/>
                <w:szCs w:val="20"/>
              </w:rPr>
              <w:t xml:space="preserve">高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缺少服务注册与发现机制，Agent间硬编码依赖强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color w:val="333333"/>
                <w:sz w:val="20"/>
                <w:szCs w:val="20"/>
              </w:rPr>
              <w:t xml:space="preserve">技术实现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color w:val="CC0000"/>
                <w:sz w:val="20"/>
                <w:szCs w:val="20"/>
              </w:rPr>
              <w:t xml:space="preserve">高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ContextAssembler 的 8000 token 限制偏低，未适配主流长上下文模型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color w:val="333333"/>
                <w:sz w:val="20"/>
                <w:szCs w:val="20"/>
              </w:rPr>
              <w:t xml:space="preserve">技术实现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color w:val="CC0000"/>
                <w:sz w:val="20"/>
                <w:szCs w:val="20"/>
              </w:rPr>
              <w:t xml:space="preserve">高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学习系统依赖“强化学习奖励模型”但缺少具体实现路径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color w:val="333333"/>
                <w:sz w:val="20"/>
                <w:szCs w:val="20"/>
              </w:rPr>
              <w:t xml:space="preserve">工程化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color w:val="E68A00"/>
                <w:sz w:val="20"/>
                <w:szCs w:val="20"/>
              </w:rPr>
              <w:t xml:space="preserve">中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缺少测试策略、日志架构、监控告警、CI/CD设计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color w:val="333333"/>
                <w:sz w:val="20"/>
                <w:szCs w:val="20"/>
              </w:rPr>
              <w:t xml:space="preserve">数据模型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color w:val="E68A00"/>
                <w:sz w:val="20"/>
                <w:szCs w:val="20"/>
              </w:rPr>
              <w:t xml:space="preserve">中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Chapter表缺少version字段，无法支撑版本分支功能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color w:val="333333"/>
                <w:sz w:val="20"/>
                <w:szCs w:val="20"/>
              </w:rPr>
              <w:t xml:space="preserve">安全性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color w:val="E68A00"/>
                <w:sz w:val="20"/>
                <w:szCs w:val="20"/>
              </w:rPr>
              <w:t xml:space="preserve">中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Tauri-Python通信缺少认证、加密和资源访问控制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color w:val="333333"/>
                <w:sz w:val="20"/>
                <w:szCs w:val="20"/>
              </w:rPr>
              <w:t xml:space="preserve">实施计划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color w:val="E68A00"/>
                <w:sz w:val="20"/>
                <w:szCs w:val="20"/>
              </w:rPr>
              <w:t xml:space="preserve">中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路线图缺少交付物定义、验收标准和里程碑节点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color w:val="333333"/>
                <w:sz w:val="20"/>
                <w:szCs w:val="20"/>
              </w:rPr>
              <w:t xml:space="preserve">性能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color w:val="228B22"/>
                <w:sz w:val="20"/>
                <w:szCs w:val="20"/>
              </w:rPr>
              <w:t xml:space="preserve">低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缺少并发控制、流式生成的具体实现方案</w:t>
            </w:r>
          </w:p>
        </w:tc>
      </w:tr>
    </w:tbl>
    <w:p>
      <w:pPr>
        <w:spacing w:after="80"/>
      </w:pPr>
    </w:p>
    <w:p>
      <w:pPr>
        <w:pStyle w:val="Heading1"/>
      </w:pPr>
      <w:r>
        <w:rPr>
          <w:rFonts w:ascii="Arial" w:eastAsia="Microsoft YaHei" w:hAnsi="Arial"/>
        </w:rPr>
        <w:t xml:space="preserve">二、架构设计评审</w:t>
      </w:r>
    </w:p>
    <w:p>
      <w:pPr>
        <w:pStyle w:val="Heading2"/>
      </w:pPr>
      <w:r>
        <w:rPr>
          <w:rFonts w:ascii="Arial" w:eastAsia="Microsoft YaHei" w:hAnsi="Arial"/>
        </w:rPr>
        <w:t xml:space="preserve">2.1 整体架构评价</w:t>
      </w:r>
    </w:p>
    <w:p>
      <w:pPr>
        <w:spacing w:after="120"/>
      </w:pPr>
      <w:r>
        <w:rPr>
          <w:rFonts w:ascii="Arial" w:eastAsia="Microsoft YaHei" w:hAnsi="Arial"/>
          <w:sz w:val="20"/>
          <w:szCs w:val="20"/>
        </w:rPr>
        <w:t xml:space="preserve">原文档的架构图采用ASCII文本绘制，虽然能传达层次关系，但在复杂度和可读性上有局限。以下是改进后的系统架构图，增加了服务注册与发现层、外部服务接入以及更清晰的数据流向：</w:t>
      </w:r>
    </w:p>
    <w:p>
      <w:pPr>
        <w:spacing w:after="60" w:before="120"/>
        <w:jc w:val="center"/>
      </w:pPr>
      <w:r>
        <w:drawing>
          <wp:inline distT="0" distB="0" distL="0" distR="0">
            <wp:extent cx="4400550" cy="4248150"/>
            <wp:effectExtent t="0" r="0" b="0" l="0"/>
            <wp:docPr id="1" name="chart" descr="Chart" title="Char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00550" cy="424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eastAsia="Microsoft YaHei" w:hAnsi="Arial"/>
          <w:color w:val="666666"/>
          <w:sz w:val="18"/>
          <w:szCs w:val="18"/>
        </w:rPr>
        <w:t xml:space="preserve">图 1：改进后的系统架构图</w:t>
      </w:r>
    </w:p>
    <w:p>
      <w:pPr>
        <w:pStyle w:val="Heading2"/>
      </w:pPr>
      <w:r>
        <w:rPr>
          <w:rFonts w:ascii="Arial" w:eastAsia="Microsoft YaHei" w:hAnsi="Arial"/>
        </w:rPr>
        <w:t xml:space="preserve">2.2 建议新增：服务注册与发现机制</w:t>
      </w:r>
    </w:p>
    <w:p>
      <w:pPr>
        <w:spacing w:after="120"/>
      </w:pPr>
      <w:r>
        <w:rPr>
          <w:rFonts w:ascii="Arial" w:eastAsia="Microsoft YaHei" w:hAnsi="Arial"/>
          <w:sz w:val="20"/>
          <w:szCs w:val="20"/>
        </w:rPr>
        <w:t xml:space="preserve">原文档中 Orchestrator 直接硬编码初始化所有Agent，这种方式存在以下问题：</w:t>
      </w:r>
    </w:p>
    <w:p>
      <w:pPr>
        <w:pStyle w:val="ListParagraph"/>
        <w:numPr>
          <w:ilvl w:val="0"/>
          <w:numId w:val="3"/>
        </w:numPr>
      </w:pPr>
      <w:r>
        <w:rPr>
          <w:rFonts w:ascii="Arial" w:eastAsia="Microsoft YaHei" w:hAnsi="Arial"/>
          <w:sz w:val="20"/>
          <w:szCs w:val="20"/>
        </w:rPr>
        <w:t xml:space="preserve">Agent间依赖硬编码，无法动态替换或禁用某个Agent</w:t>
      </w:r>
    </w:p>
    <w:p>
      <w:pPr>
        <w:pStyle w:val="ListParagraph"/>
        <w:numPr>
          <w:ilvl w:val="0"/>
          <w:numId w:val="3"/>
        </w:numPr>
      </w:pPr>
      <w:r>
        <w:rPr>
          <w:rFonts w:ascii="Arial" w:eastAsia="Microsoft YaHei" w:hAnsi="Arial"/>
          <w:sz w:val="20"/>
          <w:szCs w:val="20"/>
        </w:rPr>
        <w:t xml:space="preserve">难以支持插件化扩展（如用户自定义Agent）</w:t>
      </w:r>
    </w:p>
    <w:p>
      <w:pPr>
        <w:pStyle w:val="ListParagraph"/>
        <w:numPr>
          <w:ilvl w:val="0"/>
          <w:numId w:val="3"/>
        </w:numPr>
      </w:pPr>
      <w:r>
        <w:rPr>
          <w:rFonts w:ascii="Arial" w:eastAsia="Microsoft YaHei" w:hAnsi="Arial"/>
          <w:sz w:val="20"/>
          <w:szCs w:val="20"/>
        </w:rPr>
        <w:t xml:space="preserve">无法在运行时根据任务类型动态选择最优Agent</w:t>
      </w:r>
    </w:p>
    <w:p>
      <w:pPr>
        <w:spacing w:after="120" w:before="120"/>
      </w:pPr>
      <w:r>
        <w:rPr>
          <w:rFonts w:ascii="Arial" w:eastAsia="Microsoft YaHei" w:hAnsi="Arial"/>
          <w:b/>
          <w:bCs/>
          <w:sz w:val="20"/>
          <w:szCs w:val="20"/>
        </w:rPr>
        <w:t xml:space="preserve">建议引入服务注册与发现机制（参考 LangGraph 的 Agent Registry 模式）：</w:t>
      </w:r>
    </w:p>
    <w:p>
      <w:pPr>
        <w:spacing w:after="80"/>
      </w:pPr>
      <w:r>
        <w:rPr>
          <w:rFonts w:ascii="Arial" w:eastAsia="Microsoft YaHei" w:hAnsi="Arial"/>
          <w:sz w:val="20"/>
          <w:szCs w:val="20"/>
        </w:rPr>
        <w:t xml:space="preserve">每个Agent在启动时自我注册，声明其能力（capabilities）、输入输出模式、依赖关系。Orchestrator 通过注册表查找和调度Agent，而非直接引用。这样可以：</w:t>
      </w:r>
    </w:p>
    <w:p>
      <w:pPr>
        <w:pStyle w:val="ListParagraph"/>
        <w:numPr>
          <w:ilvl w:val="0"/>
          <w:numId w:val="4"/>
        </w:numPr>
      </w:pPr>
      <w:r>
        <w:rPr>
          <w:rFonts w:ascii="Arial" w:eastAsia="Microsoft YaHei" w:hAnsi="Arial"/>
          <w:sz w:val="20"/>
          <w:szCs w:val="20"/>
        </w:rPr>
        <w:t xml:space="preserve">支持运行时动态注册/注销Agent</w:t>
      </w:r>
    </w:p>
    <w:p>
      <w:pPr>
        <w:pStyle w:val="ListParagraph"/>
        <w:numPr>
          <w:ilvl w:val="0"/>
          <w:numId w:val="4"/>
        </w:numPr>
      </w:pPr>
      <w:r>
        <w:rPr>
          <w:rFonts w:ascii="Arial" w:eastAsia="Microsoft YaHei" w:hAnsi="Arial"/>
          <w:sz w:val="20"/>
          <w:szCs w:val="20"/>
        </w:rPr>
        <w:t xml:space="preserve">支持多个同类型Agent的负载均衡和备份</w:t>
      </w:r>
    </w:p>
    <w:p>
      <w:pPr>
        <w:pStyle w:val="ListParagraph"/>
        <w:numPr>
          <w:ilvl w:val="0"/>
          <w:numId w:val="4"/>
        </w:numPr>
      </w:pPr>
      <w:r>
        <w:rPr>
          <w:rFonts w:ascii="Arial" w:eastAsia="Microsoft YaHei" w:hAnsi="Arial"/>
          <w:sz w:val="20"/>
          <w:szCs w:val="20"/>
        </w:rPr>
        <w:t xml:space="preserve">支持用户自定义Agent插件</w:t>
      </w:r>
    </w:p>
    <w:p>
      <w:pPr>
        <w:pStyle w:val="Heading2"/>
      </w:pPr>
      <w:r>
        <w:rPr>
          <w:rFonts w:ascii="Arial" w:eastAsia="Microsoft YaHei" w:hAnsi="Arial"/>
        </w:rPr>
        <w:t xml:space="preserve">2.3 建议新增：PlotAgent 的定位调整</w:t>
      </w:r>
    </w:p>
    <w:p>
      <w:pPr>
        <w:spacing w:after="120"/>
      </w:pPr>
      <w:r>
        <w:rPr>
          <w:rFonts w:ascii="Arial" w:eastAsia="Microsoft YaHei" w:hAnsi="Arial"/>
          <w:sz w:val="20"/>
          <w:szCs w:val="20"/>
        </w:rPr>
        <w:t xml:space="preserve">当前 PlotAgent 被归类为“角色型Agent”，但其职责（情节设计、冲突构建）更像是流程型职责——它在大纲生成阶段和章节创作阶段都会被调用。建议将 PlotAgent 重新定位为“流程协作型”，并在 OutlineAgent 生成大纲时作为其协作伙伴，在章节创作时为 DraftAgent 提供情节细节。</w:t>
      </w:r>
    </w:p>
    <w:p>
      <w:pPr>
        <w:pStyle w:val="Heading2"/>
      </w:pPr>
      <w:r>
        <w:rPr>
          <w:rFonts w:ascii="Arial" w:eastAsia="Microsoft YaHei" w:hAnsi="Arial"/>
        </w:rPr>
        <w:t xml:space="preserve">2.4 Agent协作流程改进</w:t>
      </w:r>
    </w:p>
    <w:p>
      <w:pPr>
        <w:spacing w:after="120"/>
      </w:pPr>
      <w:r>
        <w:rPr>
          <w:rFonts w:ascii="Arial" w:eastAsia="Microsoft YaHei" w:hAnsi="Arial"/>
          <w:sz w:val="20"/>
          <w:szCs w:val="20"/>
        </w:rPr>
        <w:t xml:space="preserve">原文档的状态机图缺少并行分支和异常处理路径。以下是改进后的完整协作流程，增加了用户协作检查点和异常回退机制：</w:t>
      </w:r>
    </w:p>
    <w:p>
      <w:pPr>
        <w:spacing w:after="60" w:before="120"/>
        <w:jc w:val="center"/>
      </w:pPr>
      <w:r>
        <w:drawing>
          <wp:inline distT="0" distB="0" distL="0" distR="0">
            <wp:extent cx="1409700" cy="4248150"/>
            <wp:effectExtent t="0" r="0" b="0" l="0"/>
            <wp:docPr id="1" name="chart" descr="Chart" title="Char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9700" cy="424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eastAsia="Microsoft YaHei" w:hAnsi="Arial"/>
          <w:color w:val="666666"/>
          <w:sz w:val="18"/>
          <w:szCs w:val="18"/>
        </w:rPr>
        <w:t xml:space="preserve">图 2：改进后的Agent协作流程图（含用户检查点）</w:t>
      </w:r>
    </w:p>
    <w:p>
      <w:pPr>
        <w:spacing w:after="120"/>
      </w:pPr>
      <w:r>
        <w:rPr>
          <w:rFonts w:ascii="Arial" w:eastAsia="Microsoft YaHei" w:hAnsi="Arial"/>
          <w:b/>
          <w:bCs/>
          <w:sz w:val="20"/>
          <w:szCs w:val="20"/>
        </w:rPr>
        <w:t xml:space="preserve">关键改进点：</w:t>
      </w:r>
    </w:p>
    <w:p>
      <w:pPr>
        <w:pStyle w:val="ListParagraph"/>
        <w:numPr>
          <w:ilvl w:val="0"/>
          <w:numId w:val="5"/>
        </w:numPr>
      </w:pPr>
      <w:r>
        <w:rPr>
          <w:rFonts w:ascii="Arial" w:eastAsia="Microsoft YaHei" w:hAnsi="Arial"/>
          <w:sz w:val="20"/>
          <w:szCs w:val="20"/>
        </w:rPr>
        <w:t xml:space="preserve">增加异常处理分支：任何Agent执行失败时，可进入“重试/跳过/中断”的分支逻辑，而非仅有“审核不通过→修改”一条路径。</w:t>
      </w:r>
    </w:p>
    <w:p>
      <w:pPr>
        <w:pStyle w:val="ListParagraph"/>
        <w:numPr>
          <w:ilvl w:val="0"/>
          <w:numId w:val="5"/>
        </w:numPr>
      </w:pPr>
      <w:r>
        <w:rPr>
          <w:rFonts w:ascii="Arial" w:eastAsia="Microsoft YaHei" w:hAnsi="Arial"/>
          <w:sz w:val="20"/>
          <w:szCs w:val="20"/>
        </w:rPr>
        <w:t xml:space="preserve">增加用户检查点：在世界观完成、角色完成、大纲完成、每章完成、全局审核等关键节点设置用户确认点。</w:t>
      </w:r>
    </w:p>
    <w:p>
      <w:pPr>
        <w:pStyle w:val="ListParagraph"/>
        <w:numPr>
          <w:ilvl w:val="0"/>
          <w:numId w:val="5"/>
        </w:numPr>
      </w:pPr>
      <w:r>
        <w:rPr>
          <w:rFonts w:ascii="Arial" w:eastAsia="Microsoft YaHei" w:hAnsi="Arial"/>
          <w:sz w:val="20"/>
          <w:szCs w:val="20"/>
        </w:rPr>
        <w:t xml:space="preserve">增加最大重试次数限制：防止审核-修改循环无限进行，建议设置最大重试次数为3次，超过后强制转人工处理。</w:t>
      </w:r>
    </w:p>
    <w:p>
      <w:pPr>
        <w:pStyle w:val="Heading1"/>
      </w:pPr>
      <w:r>
        <w:rPr>
          <w:rFonts w:ascii="Arial" w:eastAsia="Microsoft YaHei" w:hAnsi="Arial"/>
        </w:rPr>
        <w:t xml:space="preserve">三、技术方案评审</w:t>
      </w:r>
    </w:p>
    <w:p>
      <w:pPr>
        <w:pStyle w:val="Heading2"/>
      </w:pPr>
      <w:r>
        <w:rPr>
          <w:rFonts w:ascii="Arial" w:eastAsia="Microsoft YaHei" w:hAnsi="Arial"/>
        </w:rPr>
        <w:t xml:space="preserve">3.1 长文本上下文管理</w:t>
      </w:r>
    </w:p>
    <w:p>
      <w:pPr>
        <w:spacing w:after="120"/>
      </w:pPr>
      <w:r>
        <w:rPr>
          <w:rFonts w:ascii="Arial" w:eastAsia="Microsoft YaHei" w:hAnsi="Arial"/>
          <w:b/>
          <w:bCs/>
          <w:color w:val="CC0000"/>
          <w:sz w:val="20"/>
          <w:szCs w:val="20"/>
        </w:rPr>
        <w:t xml:space="preserve">问题：</w:t>
      </w:r>
      <w:r>
        <w:rPr>
          <w:rFonts w:ascii="Arial" w:eastAsia="Microsoft YaHei" w:hAnsi="Arial"/>
          <w:sz w:val="20"/>
          <w:szCs w:val="20"/>
        </w:rPr>
        <w:t xml:space="preserve">ContextAssembler 的 MAX_CONTEXT_TOKENS 设为 8000，这个值偏低。当前主流模型如 GPT-4o、Claude 3.5、Qwen-Max 的上下文窗口均为 128K，DeepSeek 为 64K。建议将其改为动态计算，根据当前使用模型的实际窗口大小自动调整：</w:t>
      </w:r>
    </w:p>
    <w:p>
      <w:pPr>
        <w:spacing w:after="80"/>
      </w:pPr>
      <w:r>
        <w:rPr>
          <w:rFonts w:ascii="Consolas" w:eastAsia="Microsoft YaHei" w:hAnsi="Consolas"/>
          <w:color w:val="2B579A"/>
          <w:sz w:val="20"/>
          <w:szCs w:val="20"/>
        </w:rPr>
        <w:t xml:space="preserve">MAX_CONTEXT_TOKENS = model.max_context_tokens * 0.6  # 预留 40% 给生成内容</w:t>
      </w:r>
    </w:p>
    <w:p>
      <w:pPr>
        <w:spacing w:after="120"/>
      </w:pPr>
      <w:r>
        <w:rPr>
          <w:rFonts w:ascii="Arial" w:eastAsia="Microsoft YaHei" w:hAnsi="Arial"/>
          <w:sz w:val="20"/>
          <w:szCs w:val="20"/>
        </w:rPr>
        <w:t xml:space="preserve">此外，建议在记忆系统中增加“重要性评分”机制，对每个上下文片段标注重要性权重（如“核心情节”“角色变化”“世界规则”等），在窗口不足时优先保留高权重片段。</w:t>
      </w:r>
    </w:p>
    <w:p>
      <w:pPr>
        <w:spacing w:after="60" w:before="120"/>
        <w:jc w:val="center"/>
      </w:pPr>
      <w:r>
        <w:drawing>
          <wp:inline distT="0" distB="0" distL="0" distR="0">
            <wp:extent cx="2790825" cy="4248150"/>
            <wp:effectExtent t="0" r="0" b="0" l="0"/>
            <wp:docPr id="1" name="chart" descr="Chart" title="Char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0825" cy="424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eastAsia="Microsoft YaHei" w:hAnsi="Arial"/>
          <w:color w:val="666666"/>
          <w:sz w:val="18"/>
          <w:szCs w:val="18"/>
        </w:rPr>
        <w:t xml:space="preserve">图 3：三层记忆架构与上下文组装流程</w:t>
      </w:r>
    </w:p>
    <w:p>
      <w:pPr>
        <w:pStyle w:val="Heading2"/>
      </w:pPr>
      <w:r>
        <w:rPr>
          <w:rFonts w:ascii="Arial" w:eastAsia="Microsoft YaHei" w:hAnsi="Arial"/>
        </w:rPr>
        <w:t xml:space="preserve">3.2 去AI味方案评审</w:t>
      </w:r>
    </w:p>
    <w:p>
      <w:pPr>
        <w:spacing w:after="120"/>
      </w:pPr>
      <w:r>
        <w:rPr>
          <w:rFonts w:ascii="Arial" w:eastAsia="Microsoft YaHei" w:hAnsi="Arial"/>
          <w:b/>
          <w:bCs/>
          <w:color w:val="CC0000"/>
          <w:sz w:val="20"/>
          <w:szCs w:val="20"/>
        </w:rPr>
        <w:t xml:space="preserve">问题：</w:t>
      </w:r>
      <w:r>
        <w:rPr>
          <w:rFonts w:ascii="Arial" w:eastAsia="Microsoft YaHei" w:hAnsi="Arial"/>
          <w:sz w:val="20"/>
          <w:szCs w:val="20"/>
        </w:rPr>
        <w:t xml:space="preserve">AIToneRemover 的正则匹配方案存在误杀风险。例如，“然而”“但是”是正常的中文转折词，不能简单地全局匹配和替换。建议改进：</w:t>
      </w:r>
    </w:p>
    <w:p>
      <w:pPr>
        <w:pStyle w:val="ListParagraph"/>
        <w:numPr>
          <w:ilvl w:val="0"/>
          <w:numId w:val="6"/>
        </w:numPr>
      </w:pPr>
      <w:r>
        <w:rPr>
          <w:rFonts w:ascii="Arial" w:eastAsia="Microsoft YaHei" w:hAnsi="Arial"/>
          <w:sz w:val="20"/>
          <w:szCs w:val="20"/>
        </w:rPr>
        <w:t xml:space="preserve">从“全局匹配”改为“频率检测”：检测转折词在短文本内的使用频率，只有超过阈值时才触发替换。</w:t>
      </w:r>
    </w:p>
    <w:p>
      <w:pPr>
        <w:pStyle w:val="ListParagraph"/>
        <w:numPr>
          <w:ilvl w:val="0"/>
          <w:numId w:val="6"/>
        </w:numPr>
      </w:pPr>
      <w:r>
        <w:rPr>
          <w:rFonts w:ascii="Arial" w:eastAsia="Microsoft YaHei" w:hAnsi="Arial"/>
          <w:sz w:val="20"/>
          <w:szCs w:val="20"/>
        </w:rPr>
        <w:t xml:space="preserve">使用LLM辅助判断：对于模糊的AI味模式，可以调用较小的模型进行“是否有AI味”的二分类判断，而非纯规则。</w:t>
      </w:r>
    </w:p>
    <w:p>
      <w:pPr>
        <w:pStyle w:val="ListParagraph"/>
        <w:numPr>
          <w:ilvl w:val="0"/>
          <w:numId w:val="6"/>
        </w:numPr>
      </w:pPr>
      <w:r>
        <w:rPr>
          <w:rFonts w:ascii="Arial" w:eastAsia="Microsoft YaHei" w:hAnsi="Arial"/>
          <w:sz w:val="20"/>
          <w:szCs w:val="20"/>
        </w:rPr>
        <w:t xml:space="preserve">增加“段落节奏多样性”指标：计算段落长度的变异系数（CV），当 CV 低于阈值时提示重写。</w:t>
      </w:r>
    </w:p>
    <w:p>
      <w:pPr>
        <w:pStyle w:val="Heading2"/>
      </w:pPr>
      <w:r>
        <w:rPr>
          <w:rFonts w:ascii="Arial" w:eastAsia="Microsoft YaHei" w:hAnsi="Arial"/>
        </w:rPr>
        <w:t xml:space="preserve">3.3 学习系统可行性</w:t>
      </w:r>
    </w:p>
    <w:p>
      <w:pPr>
        <w:spacing w:after="120"/>
      </w:pPr>
      <w:r>
        <w:rPr>
          <w:rFonts w:ascii="Arial" w:eastAsia="Microsoft YaHei" w:hAnsi="Arial"/>
          <w:b/>
          <w:bCs/>
          <w:color w:val="CC0000"/>
          <w:sz w:val="20"/>
          <w:szCs w:val="20"/>
        </w:rPr>
        <w:t xml:space="preserve">问题：</w:t>
      </w:r>
      <w:r>
        <w:rPr>
          <w:rFonts w:ascii="Arial" w:eastAsia="Microsoft YaHei" w:hAnsi="Arial"/>
          <w:sz w:val="20"/>
          <w:szCs w:val="20"/>
        </w:rPr>
        <w:t xml:space="preserve">原文档提到“强化学习奖励模型”和“偏好向量”，但缺少具体的实现路径。在实际产品中，真正的强化学习需要大量数据和训练资源，对于初期版本不现实。建议分两阶段实现：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rPr>
          <w:cantSplit/>
        </w:trPr>
        <w:tc>
          <w:tcPr>
            <w:tcW w:type="dxa" w:w="20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阶段</w:t>
            </w:r>
          </w:p>
        </w:tc>
        <w:tc>
          <w:tcPr>
            <w:tcW w:type="dxa" w:w="368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实现方式</w:t>
            </w:r>
          </w:p>
        </w:tc>
        <w:tc>
          <w:tcPr>
            <w:tcW w:type="dxa" w:w="368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效果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color w:val="333333"/>
                <w:sz w:val="20"/>
                <w:szCs w:val="20"/>
              </w:rPr>
              <w:t xml:space="preserve">Phase 1（规则驱动）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基于用户反馈更新Prompt模板和风格规则库，统计高频修改模式并自动应用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能解决 60-70% 的风格不一致问题，开发成本低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color w:val="333333"/>
                <w:sz w:val="20"/>
                <w:szCs w:val="20"/>
              </w:rPr>
              <w:t xml:space="preserve">Phase 2（模型驱动）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基于积累的反馈数据训练轻量级奖励模型或进行LoRA微调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更精细的风格控制，但需要足够的数据积累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Arial" w:eastAsia="Microsoft YaHei" w:hAnsi="Arial"/>
        </w:rPr>
        <w:t xml:space="preserve">3.4 Tauri-Python集成方案</w:t>
      </w:r>
    </w:p>
    <w:p>
      <w:pPr>
        <w:spacing w:after="120"/>
      </w:pPr>
      <w:r>
        <w:rPr>
          <w:rFonts w:ascii="Arial" w:eastAsia="Microsoft YaHei" w:hAnsi="Arial"/>
          <w:sz w:val="20"/>
          <w:szCs w:val="20"/>
        </w:rPr>
        <w:t xml:space="preserve">原文档的集成方案基本合理，但缺少以下关键细节：</w:t>
      </w:r>
    </w:p>
    <w:p>
      <w:pPr>
        <w:pStyle w:val="ListParagraph"/>
        <w:numPr>
          <w:ilvl w:val="0"/>
          <w:numId w:val="7"/>
        </w:numPr>
      </w:pPr>
      <w:r>
        <w:rPr>
          <w:rFonts w:ascii="Arial" w:eastAsia="Microsoft YaHei" w:hAnsi="Arial"/>
          <w:sz w:val="20"/>
          <w:szCs w:val="20"/>
        </w:rPr>
        <w:t xml:space="preserve">认证与安全：Tauri和Python之间的HTTP通信应添加API Key或JWT认证，防止本地其他进程意外调用。</w:t>
      </w:r>
    </w:p>
    <w:p>
      <w:pPr>
        <w:pStyle w:val="ListParagraph"/>
        <w:numPr>
          <w:ilvl w:val="0"/>
          <w:numId w:val="7"/>
        </w:numPr>
      </w:pPr>
      <w:r>
        <w:rPr>
          <w:rFonts w:ascii="Arial" w:eastAsia="Microsoft YaHei" w:hAnsi="Arial"/>
          <w:sz w:val="20"/>
          <w:szCs w:val="20"/>
        </w:rPr>
        <w:t xml:space="preserve">端口发现：不应硬编码 localhost:8000，应使用随机端口 + 文件锁或环境变量传递端口号。</w:t>
      </w:r>
    </w:p>
    <w:p>
      <w:pPr>
        <w:pStyle w:val="ListParagraph"/>
        <w:numPr>
          <w:ilvl w:val="0"/>
          <w:numId w:val="7"/>
        </w:numPr>
      </w:pPr>
      <w:r>
        <w:rPr>
          <w:rFonts w:ascii="Arial" w:eastAsia="Microsoft YaHei" w:hAnsi="Arial"/>
          <w:sz w:val="20"/>
          <w:szCs w:val="20"/>
        </w:rPr>
        <w:t xml:space="preserve">进程守护：应具体化守护策略（如最大重启次数、重启延迟、健康检查端点）。</w:t>
      </w:r>
    </w:p>
    <w:p>
      <w:pPr>
        <w:pStyle w:val="ListParagraph"/>
        <w:numPr>
          <w:ilvl w:val="0"/>
          <w:numId w:val="7"/>
        </w:numPr>
      </w:pPr>
      <w:r>
        <w:rPr>
          <w:rFonts w:ascii="Arial" w:eastAsia="Microsoft YaHei" w:hAnsi="Arial"/>
          <w:sz w:val="20"/>
          <w:szCs w:val="20"/>
        </w:rPr>
        <w:t xml:space="preserve">流式生成：WebSocket的流式生成应采用SSE或分块传输，并定义明确的消息协议（如JSON-RPC）。</w:t>
      </w:r>
    </w:p>
    <w:p>
      <w:pPr>
        <w:pStyle w:val="Heading1"/>
      </w:pPr>
      <w:r>
        <w:rPr>
          <w:rFonts w:ascii="Arial" w:eastAsia="Microsoft YaHei" w:hAnsi="Arial"/>
        </w:rPr>
        <w:t xml:space="preserve">四、数据模型评审</w:t>
      </w:r>
    </w:p>
    <w:p>
      <w:pPr>
        <w:pStyle w:val="Heading2"/>
      </w:pPr>
      <w:r>
        <w:rPr>
          <w:rFonts w:ascii="Arial" w:eastAsia="Microsoft YaHei" w:hAnsi="Arial"/>
        </w:rPr>
        <w:t xml:space="preserve">4.1 建议修改项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400"/>
        <w:gridCol w:w="5360"/>
      </w:tblGrid>
      <w:tr>
        <w:trPr>
          <w:cantSplit/>
        </w:trPr>
        <w:tc>
          <w:tcPr>
            <w:tcW w:type="dxa" w:w="16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表名</w:t>
            </w:r>
          </w:p>
        </w:tc>
        <w:tc>
          <w:tcPr>
            <w:tcW w:type="dxa" w:w="24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修改内容</w:t>
            </w:r>
          </w:p>
        </w:tc>
        <w:tc>
          <w:tcPr>
            <w:tcW w:type="dxa" w:w="53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原因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color w:val="333333"/>
                <w:sz w:val="20"/>
                <w:szCs w:val="20"/>
              </w:rPr>
              <w:t xml:space="preserve">chapters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增加 version 字段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支撑版本分支功能，原文档提到了“版本分支”但数据模型未支撑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color w:val="333333"/>
                <w:sz w:val="20"/>
                <w:szCs w:val="20"/>
              </w:rPr>
              <w:t xml:space="preserve">chapters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增加 parent_chapter_id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支撑章节拆分/合并操作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color w:val="333333"/>
                <w:sz w:val="20"/>
                <w:szCs w:val="20"/>
              </w:rPr>
              <w:t xml:space="preserve">novels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增加 collaboration_mode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记录当前协作模式（全自动/半自动/手动）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color w:val="333333"/>
                <w:sz w:val="20"/>
                <w:szCs w:val="20"/>
              </w:rPr>
              <w:t xml:space="preserve">agent_executions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增加 token_usage、error_log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用于成本统计和问题排查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color w:val="333333"/>
                <w:sz w:val="20"/>
                <w:szCs w:val="20"/>
              </w:rPr>
              <w:t xml:space="preserve">新增表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chapter_versions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存储章节的历史版本，含 diff 和备注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color w:val="333333"/>
                <w:sz w:val="20"/>
                <w:szCs w:val="20"/>
              </w:rPr>
              <w:t xml:space="preserve">新增表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agent_configs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存储Agent的注册信息和配置，支撑服务注册机制</w:t>
            </w:r>
          </w:p>
        </w:tc>
      </w:tr>
    </w:tbl>
    <w:p>
      <w:pPr>
        <w:spacing w:after="80"/>
      </w:pPr>
    </w:p>
    <w:p>
      <w:pPr>
        <w:pStyle w:val="Heading1"/>
      </w:pPr>
      <w:r>
        <w:rPr>
          <w:rFonts w:ascii="Arial" w:eastAsia="Microsoft YaHei" w:hAnsi="Arial"/>
        </w:rPr>
        <w:t xml:space="preserve">五、工程化评审</w:t>
      </w:r>
    </w:p>
    <w:p>
      <w:pPr>
        <w:spacing w:after="120"/>
      </w:pPr>
      <w:r>
        <w:rPr>
          <w:rFonts w:ascii="Arial" w:eastAsia="Microsoft YaHei" w:hAnsi="Arial"/>
          <w:sz w:val="20"/>
          <w:szCs w:val="20"/>
        </w:rPr>
        <w:t xml:space="preserve">原文档在工程化方面存在明显缺失，以下是建议新增的工程化设计：</w:t>
      </w:r>
    </w:p>
    <w:p>
      <w:pPr>
        <w:pStyle w:val="Heading2"/>
      </w:pPr>
      <w:r>
        <w:rPr>
          <w:rFonts w:ascii="Arial" w:eastAsia="Microsoft YaHei" w:hAnsi="Arial"/>
        </w:rPr>
        <w:t xml:space="preserve">5.1 建议新增的工程化模块</w:t>
      </w:r>
    </w:p>
    <w:p>
      <w:pPr>
        <w:pStyle w:val="ListParagraph"/>
        <w:numPr>
          <w:ilvl w:val="0"/>
          <w:numId w:val="8"/>
        </w:numPr>
      </w:pPr>
      <w:r>
        <w:rPr>
          <w:rFonts w:ascii="Arial" w:eastAsia="Microsoft YaHei" w:hAnsi="Arial"/>
          <w:sz w:val="20"/>
          <w:szCs w:val="20"/>
        </w:rPr>
        <w:t xml:space="preserve">测试策略：单元测试（Agent级别）+ 集成测试（流程级别）+ 端到端测试（Tauri→FastAPI→LLM）。建议为每个Agent设计标准化的输入/输出 fixture，便于回归测试。</w:t>
      </w:r>
    </w:p>
    <w:p>
      <w:pPr>
        <w:pStyle w:val="ListParagraph"/>
        <w:numPr>
          <w:ilvl w:val="0"/>
          <w:numId w:val="8"/>
        </w:numPr>
      </w:pPr>
      <w:r>
        <w:rPr>
          <w:rFonts w:ascii="Arial" w:eastAsia="Microsoft YaHei" w:hAnsi="Arial"/>
          <w:sz w:val="20"/>
          <w:szCs w:val="20"/>
        </w:rPr>
        <w:t xml:space="preserve">日志架构：采用结构化日志（JSON格式），记录每次Agent调用的输入、输出、token消耗、耗时、错误信息。支持日志回放和创作过程复盘。</w:t>
      </w:r>
    </w:p>
    <w:p>
      <w:pPr>
        <w:pStyle w:val="ListParagraph"/>
        <w:numPr>
          <w:ilvl w:val="0"/>
          <w:numId w:val="8"/>
        </w:numPr>
      </w:pPr>
      <w:r>
        <w:rPr>
          <w:rFonts w:ascii="Arial" w:eastAsia="Microsoft YaHei" w:hAnsi="Arial"/>
          <w:sz w:val="20"/>
          <w:szCs w:val="20"/>
        </w:rPr>
        <w:t xml:space="preserve">监控与告警：对Agent执行时间、token消耗、审核通过率等指标进行监控，设置告警阈值。</w:t>
      </w:r>
    </w:p>
    <w:p>
      <w:pPr>
        <w:pStyle w:val="ListParagraph"/>
        <w:numPr>
          <w:ilvl w:val="0"/>
          <w:numId w:val="8"/>
        </w:numPr>
      </w:pPr>
      <w:r>
        <w:rPr>
          <w:rFonts w:ascii="Arial" w:eastAsia="Microsoft YaHei" w:hAnsi="Arial"/>
          <w:sz w:val="20"/>
          <w:szCs w:val="20"/>
        </w:rPr>
        <w:t xml:space="preserve">CI/CD：至少包含单元测试自动运行、代码质量检查、Tauri打包测试。</w:t>
      </w:r>
    </w:p>
    <w:p>
      <w:pPr>
        <w:pStyle w:val="Heading2"/>
      </w:pPr>
      <w:r>
        <w:rPr>
          <w:rFonts w:ascii="Arial" w:eastAsia="Microsoft YaHei" w:hAnsi="Arial"/>
        </w:rPr>
        <w:t xml:space="preserve">5.2 建议新增的文档章节</w:t>
      </w:r>
    </w:p>
    <w:p>
      <w:pPr>
        <w:spacing w:after="120"/>
      </w:pPr>
      <w:r>
        <w:rPr>
          <w:rFonts w:ascii="Arial" w:eastAsia="Microsoft YaHei" w:hAnsi="Arial"/>
          <w:sz w:val="20"/>
          <w:szCs w:val="20"/>
        </w:rPr>
        <w:t xml:space="preserve">原文档建议新增以下章节：</w:t>
      </w:r>
    </w:p>
    <w:p>
      <w:pPr>
        <w:pStyle w:val="ListParagraph"/>
        <w:numPr>
          <w:ilvl w:val="0"/>
          <w:numId w:val="9"/>
        </w:numPr>
      </w:pPr>
      <w:r>
        <w:rPr>
          <w:rFonts w:ascii="Arial" w:eastAsia="Microsoft YaHei" w:hAnsi="Arial"/>
          <w:sz w:val="20"/>
          <w:szCs w:val="20"/>
        </w:rPr>
        <w:t xml:space="preserve">错误处理与重试策略：定义Agent执行失败时的分级重试机制、降级策略（如从大模型降级到小模型）、断路器模式。</w:t>
      </w:r>
    </w:p>
    <w:p>
      <w:pPr>
        <w:pStyle w:val="ListParagraph"/>
        <w:numPr>
          <w:ilvl w:val="0"/>
          <w:numId w:val="9"/>
        </w:numPr>
      </w:pPr>
      <w:r>
        <w:rPr>
          <w:rFonts w:ascii="Arial" w:eastAsia="Microsoft YaHei" w:hAnsi="Arial"/>
          <w:sz w:val="20"/>
          <w:szCs w:val="20"/>
        </w:rPr>
        <w:t xml:space="preserve">Prompt管理与版本控制：每个Agent的Prompt模板应纳入版本管理，支持A/B测试和回滚。</w:t>
      </w:r>
    </w:p>
    <w:p>
      <w:pPr>
        <w:pStyle w:val="ListParagraph"/>
        <w:numPr>
          <w:ilvl w:val="0"/>
          <w:numId w:val="9"/>
        </w:numPr>
      </w:pPr>
      <w:r>
        <w:rPr>
          <w:rFonts w:ascii="Arial" w:eastAsia="Microsoft YaHei" w:hAnsi="Arial"/>
          <w:sz w:val="20"/>
          <w:szCs w:val="20"/>
        </w:rPr>
        <w:t xml:space="preserve">并发控制：当多个用户同时创作时，如何控制LLM调用的并发度，避免触发速率限制。</w:t>
      </w:r>
    </w:p>
    <w:p>
      <w:pPr>
        <w:pStyle w:val="ListParagraph"/>
        <w:numPr>
          <w:ilvl w:val="0"/>
          <w:numId w:val="9"/>
        </w:numPr>
      </w:pPr>
      <w:r>
        <w:rPr>
          <w:rFonts w:ascii="Arial" w:eastAsia="Microsoft YaHei" w:hAnsi="Arial"/>
          <w:sz w:val="20"/>
          <w:szCs w:val="20"/>
        </w:rPr>
        <w:t xml:space="preserve">离线支持：是否支持纯本地模型（Ollama）运行，离线时的功能降级策略。</w:t>
      </w:r>
    </w:p>
    <w:p>
      <w:pPr>
        <w:pStyle w:val="Heading1"/>
      </w:pPr>
      <w:r>
        <w:rPr>
          <w:rFonts w:ascii="Arial" w:eastAsia="Microsoft YaHei" w:hAnsi="Arial"/>
        </w:rPr>
        <w:t xml:space="preserve">六、实施路线图评审</w:t>
      </w:r>
    </w:p>
    <w:p>
      <w:pPr>
        <w:spacing w:after="120"/>
      </w:pPr>
      <w:r>
        <w:rPr>
          <w:rFonts w:ascii="Arial" w:eastAsia="Microsoft YaHei" w:hAnsi="Arial"/>
          <w:sz w:val="20"/>
          <w:szCs w:val="20"/>
        </w:rPr>
        <w:t xml:space="preserve">原文档的路线图阶段划分基本合理，但存在以下问题：</w:t>
      </w:r>
    </w:p>
    <w:p>
      <w:pPr>
        <w:pStyle w:val="ListParagraph"/>
        <w:numPr>
          <w:ilvl w:val="0"/>
          <w:numId w:val="10"/>
        </w:numPr>
      </w:pPr>
      <w:r>
        <w:rPr>
          <w:rFonts w:ascii="Arial" w:eastAsia="Microsoft YaHei" w:hAnsi="Arial"/>
          <w:sz w:val="20"/>
          <w:szCs w:val="20"/>
        </w:rPr>
        <w:t xml:space="preserve">缺少交付物定义：每个Phase应明确“做了什么”而非仅仅“做什么”。建议每个Phase结束时有可运行的演示版本。</w:t>
      </w:r>
    </w:p>
    <w:p>
      <w:pPr>
        <w:pStyle w:val="ListParagraph"/>
        <w:numPr>
          <w:ilvl w:val="0"/>
          <w:numId w:val="10"/>
        </w:numPr>
      </w:pPr>
      <w:r>
        <w:rPr>
          <w:rFonts w:ascii="Arial" w:eastAsia="Microsoft YaHei" w:hAnsi="Arial"/>
          <w:sz w:val="20"/>
          <w:szCs w:val="20"/>
        </w:rPr>
        <w:t xml:space="preserve">缺少验收标准：如“OutlineAgent能生成一个包含3卷、每卷10章的完整大纲”这样的具体指标。</w:t>
      </w:r>
    </w:p>
    <w:p>
      <w:pPr>
        <w:pStyle w:val="ListParagraph"/>
        <w:numPr>
          <w:ilvl w:val="0"/>
          <w:numId w:val="10"/>
        </w:numPr>
      </w:pPr>
      <w:r>
        <w:rPr>
          <w:rFonts w:ascii="Arial" w:eastAsia="Microsoft YaHei" w:hAnsi="Arial"/>
          <w:sz w:val="20"/>
          <w:szCs w:val="20"/>
        </w:rPr>
        <w:t xml:space="preserve">Phase 3工作量估计偏低：实现全部8个Agent + Orchestrator + 共享上下文总线 + 人机协作协议，2-3周可能不够，建议调整为3-4周。</w:t>
      </w:r>
    </w:p>
    <w:p>
      <w:pPr>
        <w:spacing w:after="120" w:before="120"/>
      </w:pPr>
      <w:r>
        <w:rPr>
          <w:rFonts w:ascii="Arial" w:eastAsia="Microsoft YaHei" w:hAnsi="Arial"/>
          <w:b/>
          <w:bCs/>
          <w:sz w:val="20"/>
          <w:szCs w:val="20"/>
        </w:rPr>
        <w:t xml:space="preserve">改进后的路线图建议：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400"/>
        <w:gridCol w:w="3200"/>
        <w:gridCol w:w="3560"/>
      </w:tblGrid>
      <w:tr>
        <w:trPr>
          <w:cantSplit/>
        </w:trPr>
        <w:tc>
          <w:tcPr>
            <w:tcW w:type="dxa" w:w="1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14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周期</w:t>
            </w:r>
          </w:p>
        </w:tc>
        <w:tc>
          <w:tcPr>
            <w:tcW w:type="dxa" w:w="3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交付物</w:t>
            </w:r>
          </w:p>
        </w:tc>
        <w:tc>
          <w:tcPr>
            <w:tcW w:type="dxa" w:w="35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验收标准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2-3周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可运行的框架原型：创建项目、打开编辑器、调用单个Agent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Tauri启动→数据库初始化→Python后端自动启动→能完成一次完整的创作流程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3-4周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可用的创作工作台：大纲生成 + 章节创作 + 基础记忆系统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能完成一篇短篇小说（3-5章）的全流程创作，前后文基本一致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3-4周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完整的多Agent协作：全部8个Agent + 人机协作 + 审核循环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能完成一篇中篇小说（10-20章）的创作，角色和世界观保持一致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2-3周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学习系统 + 去AI味 + 风格迁移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上传参考作品后，生成的文本风格与参考作品相似度 &gt; 70%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2-3周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导出 + 版本历史 + 性能优化 + 发布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能导出EPUB/DOCX，支持版本对比和回滚，单章生成 &lt; 30s</w:t>
            </w:r>
          </w:p>
        </w:tc>
      </w:tr>
    </w:tbl>
    <w:p>
      <w:pPr>
        <w:spacing w:after="80"/>
      </w:pPr>
    </w:p>
    <w:p>
      <w:pPr>
        <w:pStyle w:val="Heading1"/>
      </w:pPr>
      <w:r>
        <w:rPr>
          <w:rFonts w:ascii="Arial" w:eastAsia="Microsoft YaHei" w:hAnsi="Arial"/>
        </w:rPr>
        <w:t xml:space="preserve">七、其他建议</w:t>
      </w:r>
    </w:p>
    <w:p>
      <w:pPr>
        <w:pStyle w:val="Heading2"/>
      </w:pPr>
      <w:r>
        <w:rPr>
          <w:rFonts w:ascii="Arial" w:eastAsia="Microsoft YaHei" w:hAnsi="Arial"/>
        </w:rPr>
        <w:t xml:space="preserve">7.1 技术选型建议</w:t>
      </w:r>
    </w:p>
    <w:p>
      <w:pPr>
        <w:pStyle w:val="ListParagraph"/>
        <w:numPr>
          <w:ilvl w:val="0"/>
          <w:numId w:val="11"/>
        </w:numPr>
      </w:pPr>
      <w:r>
        <w:rPr>
          <w:rFonts w:ascii="Arial" w:eastAsia="Microsoft YaHei" w:hAnsi="Arial"/>
          <w:sz w:val="20"/>
          <w:szCs w:val="20"/>
        </w:rPr>
        <w:t xml:space="preserve">前端编辑器：建议使用 TipTap（基于ProseMirror）或 Slate.js，而非简单的Markdown编辑器。富文本编辑是创作工作台的核心体验，需要支持注释、格式化、协作编辑等。</w:t>
      </w:r>
    </w:p>
    <w:p>
      <w:pPr>
        <w:pStyle w:val="ListParagraph"/>
        <w:numPr>
          <w:ilvl w:val="0"/>
          <w:numId w:val="11"/>
        </w:numPr>
      </w:pPr>
      <w:r>
        <w:rPr>
          <w:rFonts w:ascii="Arial" w:eastAsia="Microsoft YaHei" w:hAnsi="Arial"/>
          <w:sz w:val="20"/>
          <w:szCs w:val="20"/>
        </w:rPr>
        <w:t xml:space="preserve">状态管理：建议考虑使用 LangGraph 作为状态机引擎，而非完全自研。LangGraph提供了成熟的状态持久化、分支和重试机制，能显著减少开发量。</w:t>
      </w:r>
    </w:p>
    <w:p>
      <w:pPr>
        <w:pStyle w:val="ListParagraph"/>
        <w:numPr>
          <w:ilvl w:val="0"/>
          <w:numId w:val="11"/>
        </w:numPr>
      </w:pPr>
      <w:r>
        <w:rPr>
          <w:rFonts w:ascii="Arial" w:eastAsia="Microsoft YaHei" w:hAnsi="Arial"/>
          <w:sz w:val="20"/>
          <w:szCs w:val="20"/>
        </w:rPr>
        <w:t xml:space="preserve">向量数据库：原文档提到复用LanceDB，但建议同时评估 ChromaDB 或 Qdrant，它们在大规模数据下的性能和功能更成熟。</w:t>
      </w:r>
    </w:p>
    <w:p>
      <w:pPr>
        <w:pStyle w:val="Heading2"/>
      </w:pPr>
      <w:r>
        <w:rPr>
          <w:rFonts w:ascii="Arial" w:eastAsia="Microsoft YaHei" w:hAnsi="Arial"/>
        </w:rPr>
        <w:t xml:space="preserve">7.2 风险补充</w:t>
      </w:r>
    </w:p>
    <w:p>
      <w:pPr>
        <w:spacing w:after="120"/>
      </w:pPr>
      <w:r>
        <w:rPr>
          <w:rFonts w:ascii="Arial" w:eastAsia="Microsoft YaHei" w:hAnsi="Arial"/>
          <w:sz w:val="20"/>
          <w:szCs w:val="20"/>
        </w:rPr>
        <w:t xml:space="preserve">原文档的风险评估表缺少以下风险项：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200"/>
        <w:gridCol w:w="5360"/>
      </w:tblGrid>
      <w:tr>
        <w:trPr>
          <w:cantSplit/>
        </w:trPr>
        <w:tc>
          <w:tcPr>
            <w:tcW w:type="dxa" w:w="28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风险项</w:t>
            </w:r>
          </w:p>
        </w:tc>
        <w:tc>
          <w:tcPr>
            <w:tcW w:type="dxa" w:w="1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影响</w:t>
            </w:r>
          </w:p>
        </w:tc>
        <w:tc>
          <w:tcPr>
            <w:tcW w:type="dxa" w:w="53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缓解措施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color w:val="333333"/>
                <w:sz w:val="20"/>
                <w:szCs w:val="20"/>
              </w:rPr>
              <w:t xml:space="preserve">LLM API价格波动/停服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color w:val="CC0000"/>
                <w:sz w:val="20"/>
                <w:szCs w:val="20"/>
              </w:rPr>
              <w:t xml:space="preserve">高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多模型备份（云端 + 本地Ollama），关键流程支持降级到本地模型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color w:val="333333"/>
                <w:sz w:val="20"/>
                <w:szCs w:val="20"/>
              </w:rPr>
              <w:t xml:space="preserve">用户数据丢失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color w:val="CC0000"/>
                <w:sz w:val="20"/>
                <w:szCs w:val="20"/>
              </w:rPr>
              <w:t xml:space="preserve">高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自动定时备份 + 版本历史不可删除 + 项目导出功能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color w:val="333333"/>
                <w:sz w:val="20"/>
                <w:szCs w:val="20"/>
              </w:rPr>
              <w:t xml:space="preserve">创作内容版权争议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color w:val="E68A00"/>
                <w:sz w:val="20"/>
                <w:szCs w:val="20"/>
              </w:rPr>
              <w:t xml:space="preserve">中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明确用户协议，确保用户拥有创作内容的完整版权</w:t>
            </w:r>
          </w:p>
        </w:tc>
      </w:tr>
    </w:tbl>
    <w:p>
      <w:pPr>
        <w:spacing w:after="80"/>
      </w:pPr>
    </w:p>
    <w:p>
      <w:pPr>
        <w:pStyle w:val="Heading1"/>
      </w:pPr>
      <w:r>
        <w:rPr>
          <w:rFonts w:ascii="Arial" w:eastAsia="Microsoft YaHei" w:hAnsi="Arial"/>
        </w:rPr>
        <w:t xml:space="preserve">八、总结与优先级建议</w:t>
      </w:r>
    </w:p>
    <w:p>
      <w:pPr>
        <w:spacing w:after="120"/>
      </w:pPr>
      <w:r>
        <w:rPr>
          <w:rFonts w:ascii="Arial" w:eastAsia="Microsoft YaHei" w:hAnsi="Arial"/>
          <w:sz w:val="20"/>
          <w:szCs w:val="20"/>
        </w:rPr>
        <w:t xml:space="preserve">整体而言，这是一份质量较高的设计文档，架构思路清晰、Agent分工合理、技术难点识别准确。以下是按优先级排序的改进建议：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200"/>
        <w:gridCol w:w="3600"/>
        <w:gridCol w:w="3960"/>
      </w:tblGrid>
      <w:tr>
        <w:trPr>
          <w:cantSplit/>
        </w:trPr>
        <w:tc>
          <w:tcPr>
            <w:tcW w:type="dxa" w:w="6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优先级</w:t>
            </w:r>
          </w:p>
        </w:tc>
        <w:tc>
          <w:tcPr>
            <w:tcW w:type="dxa" w:w="36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改进项</w:t>
            </w:r>
          </w:p>
        </w:tc>
        <w:tc>
          <w:tcPr>
            <w:tcW w:type="dxa" w:w="39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理由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color w:val="CC0000"/>
                <w:sz w:val="20"/>
                <w:szCs w:val="20"/>
              </w:rPr>
              <w:t xml:space="preserve">P0 - 必须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color w:val="333333"/>
                <w:sz w:val="20"/>
                <w:szCs w:val="20"/>
              </w:rPr>
              <w:t xml:space="preserve">引入服务注册与发现机制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解决Agent硬编码依赖，是整个系统可扩展性的基础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color w:val="CC0000"/>
                <w:sz w:val="20"/>
                <w:szCs w:val="20"/>
              </w:rPr>
              <w:t xml:space="preserve">P0 - 必须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color w:val="333333"/>
                <w:sz w:val="20"/>
                <w:szCs w:val="20"/>
              </w:rPr>
              <w:t xml:space="preserve">动态上下文窗口计算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8000 token限制会严重影响生成质量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color w:val="CC0000"/>
                <w:sz w:val="20"/>
                <w:szCs w:val="20"/>
              </w:rPr>
              <w:t xml:space="preserve">P0 - 必须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color w:val="333333"/>
                <w:sz w:val="20"/>
                <w:szCs w:val="20"/>
              </w:rPr>
              <w:t xml:space="preserve">学习系统分阶段实现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避免过早引入复杂的ML流程，降低风险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color w:val="E68A00"/>
                <w:sz w:val="20"/>
                <w:szCs w:val="20"/>
              </w:rPr>
              <w:t xml:space="preserve">P1 - 重要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数据模型补充（version、agent_configs等）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支撑版本分支和服务注册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color w:val="E68A00"/>
                <w:sz w:val="20"/>
                <w:szCs w:val="20"/>
              </w:rPr>
              <w:t xml:space="preserve">P1 - 重要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工程化设计（测试、日志、监控）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保障开发效率和系统可维护性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color w:val="E68A00"/>
                <w:sz w:val="20"/>
                <w:szCs w:val="20"/>
              </w:rPr>
              <w:t xml:space="preserve">P1 - 重要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路线图增加交付物和验收标准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确保每个阶段有明确的完成标志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color w:val="228B22"/>
                <w:sz w:val="20"/>
                <w:szCs w:val="20"/>
              </w:rPr>
              <w:t xml:space="preserve">P2 - 建议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去AI味方案优化（频率检测 + LLM辅助）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提升生成文本的自然度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color w:val="228B22"/>
                <w:sz w:val="20"/>
                <w:szCs w:val="20"/>
              </w:rPr>
              <w:t xml:space="preserve">P2 - 建议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安全性增强（认证、加密、资源控制）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防止本地服务被意外调用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eastAsia="Microsoft YaHei" w:hAnsi="Arial"/>
          <w:b/>
          <w:bCs/>
          <w:sz w:val="20"/>
          <w:szCs w:val="20"/>
        </w:rPr>
        <w:t xml:space="preserve">评审结论：该设计方案具备良好的基础，建议先落实 P0 级别的三项必须改进，然后再进入详细实施计划阶段。确认后可以开始制定具体的实现计划。</w:t>
      </w:r>
    </w:p>
    <w:sectPr>
      <w:headerReference w:type="default" r:id="rId13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eastAsia="Microsoft YaHei" w:hAnsi="Arial"/>
        <w:color w:val="999999"/>
        <w:sz w:val="16"/>
        <w:szCs w:val="16"/>
      </w:rPr>
      <w:t xml:space="preserve">— </w:t>
    </w:r>
    <w:r>
      <w:rPr>
        <w:rFonts w:ascii="Arial" w:eastAsia="Microsoft YaHei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eastAsia="Microsoft YaHei" w:hAnsi="Arial"/>
        <w:color w:val="999999"/>
        <w:sz w:val="16"/>
        <w:szCs w:val="16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eastAsia="Microsoft YaHei" w:hAnsi="Arial"/>
        <w:color w:val="999999"/>
        <w:sz w:val="16"/>
        <w:szCs w:val="16"/>
      </w:rPr>
      <w:t xml:space="preserve">小说创作Agent系统 — 设计文档评审报告</w:t>
    </w:r>
  </w:p>
</w:hdr>
</file>

<file path=word/header_watermark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0" allowOverlap="1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2200000" cy="350000"/>
              <wp:effectExtent l="0" t="0" r="0" b="0"/>
              <wp:wrapNone/>
              <wp:docPr id="2" name="Watermark"/>
              <a:graphic>
                <a:graphicData uri="http://schemas.microsoft.com/office/word/2010/wordprocessingShape">
                  <wps:wsp>
                    <wps:cNvSpPr txBox="1"/>
                    <wps:spPr>
                      <a:xfrm rot="0">
                        <a:off x="0" y="0"/>
                        <a:ext cx="2200000" cy="35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right"/>
                          </w:pPr>
                          <w:r>
                            <w:rPr>
                              <w:sz w:val="32"/>
                              <w:szCs w:val="32"/>
                              <w:rFonts w:eastAsia="SimSun" w:ascii="Arial" w:hAnsi="Arial"/>
                              <w:color w:val="808080"/>
                              <w14:textFill>
                                <w14:solidFill>
                                  <w14:srgbClr w14:val="808080">
                                    <w14:alpha w14:val="19999"/>
                                  </w14:srgbClr>
                                </w14:solidFill>
                              </w14:textFill>
                            </w:rPr>
                            <w:t>TRAE AI 生成</w:t>
                          </w:r>
                        </w:p>
                      </w:txbxContent>
                    </wps:txbx>
                    <wps:bodyPr wrap="square" anchor="b" anchorCtr="0" lIns="0" tIns="0" rIns="91440" bIns="45720"/>
                  </wps:wsp>
                </a:graphicData>
              </a:graphic>
            </wp:anchor>
          </w:drawing>
        </mc:Choice>
        <mc:Fallback/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"/>
      <w:lvlJc w:val="left"/>
      <w:pPr>
        <w:ind w:left="108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"/>
      <w:lvlJc w:val="left"/>
      <w:pPr>
        <w:ind w:left="108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"/>
      <w:lvlJc w:val="left"/>
      <w:pPr>
        <w:ind w:left="108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"/>
      <w:lvlJc w:val="left"/>
      <w:pPr>
        <w:ind w:left="108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"/>
      <w:lvlJc w:val="left"/>
      <w:pPr>
        <w:ind w:left="108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"/>
      <w:lvlJc w:val="left"/>
      <w:pPr>
        <w:ind w:left="108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"/>
      <w:lvlJc w:val="left"/>
      <w:pPr>
        <w:ind w:left="108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"/>
      <w:lvlJc w:val="left"/>
      <w:pPr>
        <w:ind w:left="108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"/>
      <w:lvlJc w:val="left"/>
      <w:pPr>
        <w:ind w:left="108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"/>
      <w:lvlJc w:val="left"/>
      <w:pPr>
        <w:ind w:left="1080" w:hanging="360"/>
      </w:p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"/>
      <w:lvlJc w:val="left"/>
      <w:pPr>
        <w:ind w:left="1080" w:hanging="360"/>
      </w:pPr>
    </w:lvl>
  </w:abstractNum>
  <w:abstractNum w:abstractNumId="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"/>
      <w:lvlJc w:val="left"/>
      <w:pPr>
        <w:ind w:left="1080" w:hanging="360"/>
      </w:pPr>
    </w:lvl>
  </w:abstractNum>
  <w:abstractNum w:abstractNumId="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"/>
      <w:lvlJc w:val="left"/>
      <w:pPr>
        <w:ind w:left="1080" w:hanging="360"/>
      </w:pPr>
    </w:lvl>
  </w:abstractNum>
  <w:abstractNum w:abstractNumId="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"/>
      <w:lvlJc w:val="left"/>
      <w:pPr>
        <w:ind w:left="1080" w:hanging="360"/>
      </w:pPr>
    </w:lvl>
  </w:abstractNum>
  <w:abstractNum w:abstractNumId="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"/>
      <w:lvlJc w:val="left"/>
      <w:pPr>
        <w:ind w:left="1080" w:hanging="360"/>
      </w:pPr>
    </w:lvl>
  </w:abstractNum>
  <w:abstractNum w:abstractNumId="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"/>
      <w:lvlJc w:val="left"/>
      <w:pPr>
        <w:ind w:left="1080" w:hanging="360"/>
      </w:pPr>
    </w:lvl>
  </w:abstractNum>
  <w:abstractNum w:abstractNumId="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"/>
      <w:lvlJc w:val="left"/>
      <w:pPr>
        <w:ind w:left="1080" w:hanging="360"/>
      </w:pPr>
    </w:lvl>
  </w:abstractNum>
  <w:abstractNum w:abstractNumId="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"/>
      <w:lvlJc w:val="left"/>
      <w:pPr>
        <w:ind w:left="1080" w:hanging="360"/>
      </w:pPr>
    </w:lvl>
  </w:abstractNum>
  <w:abstractNum w:abstractNumId="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"/>
      <w:lvlJc w:val="left"/>
      <w:pPr>
        <w:ind w:left="1080" w:hanging="360"/>
      </w:pPr>
    </w:lvl>
  </w:abstractNum>
  <w:abstractNum w:abstractNumId="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"/>
      <w:lvlJc w:val="left"/>
      <w:pPr>
        <w:ind w:left="1080" w:hanging="360"/>
      </w:pPr>
    </w:lvl>
  </w:abstractNum>
  <w:abstractNum w:abstractNumId="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"/>
      <w:lvlJc w:val="left"/>
      <w:pPr>
        <w:ind w:left="1080" w:hanging="360"/>
      </w:pPr>
    </w:lvl>
  </w:abstractNum>
  <w:abstractNum w:abstractNumId="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"/>
      <w:lvlJc w:val="left"/>
      <w:pPr>
        <w:ind w:left="1080" w:hanging="360"/>
      </w:pPr>
    </w:lvl>
  </w:abstractNum>
  <w:abstractNum w:abstractNumId="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"/>
      <w:lvlJc w:val="left"/>
      <w:pPr>
        <w:ind w:left="1080" w:hanging="360"/>
      </w:pPr>
    </w:lvl>
  </w:abstractNum>
  <w:abstractNum w:abstractNumId="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"/>
      <w:lvlJc w:val="left"/>
      <w:pPr>
        <w:ind w:left="1080" w:hanging="360"/>
      </w:pPr>
    </w:lvl>
  </w:abstractNum>
  <w:abstractNum w:abstractNumId="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"/>
      <w:lvlJc w:val="left"/>
      <w:pPr>
        <w:ind w:left="1080" w:hanging="360"/>
      </w:pPr>
    </w:lvl>
  </w:abstractNum>
  <w:abstractNum w:abstractNumId="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"/>
      <w:lvlJc w:val="left"/>
      <w:pPr>
        <w:ind w:left="1080" w:hanging="360"/>
      </w:pPr>
    </w:lvl>
  </w:abstractNum>
  <w:abstractNum w:abstractNumId="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"/>
      <w:lvlJc w:val="left"/>
      <w:pPr>
        <w:ind w:left="1080" w:hanging="360"/>
      </w:pPr>
    </w:lvl>
  </w:abstractNum>
  <w:abstractNum w:abstractNumId="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5"/>
    <w:lvlOverride w:ilvl="0">
      <w:startOverride w:val="1"/>
    </w:lvlOverride>
  </w:num>
  <w:num w:numId="5">
    <w:abstractNumId w:val="6"/>
    <w:lvlOverride w:ilvl="0">
      <w:startOverride w:val="1"/>
    </w:lvlOverride>
  </w:num>
  <w:num w:numId="6">
    <w:abstractNumId w:val="7"/>
    <w:lvlOverride w:ilvl="0">
      <w:startOverride w:val="1"/>
    </w:lvlOverride>
  </w:num>
  <w:num w:numId="7">
    <w:abstractNumId w:val="8"/>
    <w:lvlOverride w:ilvl="0">
      <w:startOverride w:val="1"/>
    </w:lvlOverride>
  </w:num>
  <w:num w:numId="8">
    <w:abstractNumId w:val="9"/>
    <w:lvlOverride w:ilvl="0">
      <w:startOverride w:val="1"/>
    </w:lvlOverride>
  </w:num>
  <w:num w:numId="9">
    <w:abstractNumId w:val="10"/>
    <w:lvlOverride w:ilvl="0">
      <w:startOverride w:val="1"/>
    </w:lvlOverride>
  </w:num>
  <w:num w:numId="10">
    <w:abstractNumId w:val="11"/>
    <w:lvlOverride w:ilvl="0">
      <w:startOverride w:val="1"/>
    </w:lvlOverride>
  </w:num>
  <w:num w:numId="11">
    <w:abstractNumId w:val="1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Microsoft YaHei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 w:val="false"/>
      <w:keepLines w:val="false"/>
      <w:spacing w:after="180" w:before="360"/>
      <w:outlineLvl w:val="0"/>
    </w:pPr>
    <w:rPr>
      <w:rFonts w:ascii="Arial" w:eastAsia="Microsoft YaHei" w:hAnsi="Arial"/>
      <w:b/>
      <w:bCs/>
      <w:color w:val="1A3C6E"/>
      <w:sz w:val="32"/>
      <w:szCs w:val="32"/>
    </w:rPr>
  </w:style>
  <w:style w:type="paragraph" w:styleId="Heading2">
    <w:name w:val="Heading 2"/>
    <w:basedOn w:val="Normal"/>
    <w:next w:val="Normal"/>
    <w:qFormat/>
    <w:pPr>
      <w:keepNext w:val="false"/>
      <w:keepLines w:val="false"/>
      <w:spacing w:after="120" w:before="240"/>
      <w:outlineLvl w:val="1"/>
    </w:pPr>
    <w:rPr>
      <w:rFonts w:ascii="Arial" w:eastAsia="Microsoft YaHei" w:hAnsi="Arial"/>
      <w:b/>
      <w:bCs/>
      <w:color w:val="2B579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8776fe1e50953bdae3c6651f1f05e377c84e7ca1.png"/><Relationship Id="rId10" Type="http://schemas.openxmlformats.org/officeDocument/2006/relationships/image" Target="media/7817c4ed47766617fa538f4960aefe370aff2ce1.png"/><Relationship Id="rId11" Type="http://schemas.openxmlformats.org/officeDocument/2006/relationships/image" Target="media/070d7a02a19a31968e0dc2254783e7a3a85fe154.png"/><Relationship Id="rId12" Type="http://schemas.openxmlformats.org/officeDocument/2006/relationships/fontTable" Target="fontTable.xml"/><Relationship Id="rId13" Type="http://schemas.openxmlformats.org/officeDocument/2006/relationships/header" Target="header_watermark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2026-06-07T19:30:56.367Z</dcterms:created>
  <dcterms:modified xsi:type="dcterms:W3CDTF">2026-06-07T19:30:56.367Z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