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ASR短窗口跃升研究工作指南</w:t>
      </w:r>
    </w:p>
    <w:p>
      <w:pPr>
        <w:pStyle w:val="Subtitle"/>
      </w:pPr>
      <w:r>
        <w:t>机制 攻击 防御三条研究路线</w:t>
        <w:br/>
        <w:t>2026年10月10日 版本1</w:t>
      </w:r>
    </w:p>
    <w:p>
      <w:r>
        <w:t>我们已经观察到：一些模型在很短的训练窗口内，触发后的目标输出比例会大幅上升。下一步要验证，这种时间结构能否帮助我们更便宜地找出因果组件、更便宜地选择有效投毒集合，以及更便宜地发现训练中的风险。三条路线共享现象，各自完成一个具体任务。</w:t>
      </w:r>
    </w:p>
    <w:p>
      <w:r>
        <w:t>共同目标是在结果质量与可靠性相当时，使某一项事先选定的完整任务成本降至强baseline的十分之一或更低。十倍是待验证目标；当前已完成的是现象测量与补测，三条提效方法及其baseline均尚未完成本项目实测。</w:t>
      </w:r>
    </w:p>
    <w:p>
      <w:pPr>
        <w:pStyle w:val="Heading2"/>
      </w:pPr>
      <w:r>
        <w:t>一条共同逻辑</w:t>
      </w:r>
    </w:p>
    <w:p>
      <w:r>
        <w:t>现象 → 可被反驳的假说 → 具体动作 → 解决同一动作的强baseline → 危险的简单对照 → 留出结果与完整成本 → 继续或停止。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35"/>
        <w:gridCol w:w="3211"/>
        <w:gridCol w:w="2376"/>
        <w:gridCol w:w="3528"/>
      </w:tblGrid>
      <w:tr>
        <w:trPr>
          <w:cantSplit/>
          <w:tblHeader/>
        </w:trPr>
        <w:tc>
          <w:tcPr>
            <w:tcW w:type="dxa" w:w="83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1"/>
              </w:rPr>
              <w:t>路线</w:t>
            </w:r>
          </w:p>
        </w:tc>
        <w:tc>
          <w:tcPr>
            <w:tcW w:type="dxa" w:w="3211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从现象提出的动作</w:t>
            </w:r>
          </w:p>
        </w:tc>
        <w:tc>
          <w:tcPr>
            <w:tcW w:type="dxa" w:w="2376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主baseline</w:t>
            </w:r>
          </w:p>
        </w:tc>
        <w:tc>
          <w:tcPr>
            <w:tcW w:type="dxa" w:w="352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最终交付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机制</w:t>
            </w:r>
          </w:p>
        </w:tc>
        <w:tc>
          <w:tcPr>
            <w:tcW w:type="dxa" w:w="3211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用跃升前后差分缩小因果定位范围</w:t>
            </w:r>
          </w:p>
        </w:tc>
        <w:tc>
          <w:tcPr>
            <w:tcW w:type="dxa" w:w="2376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MAttr参数归因</w:t>
            </w:r>
          </w:p>
        </w:tc>
        <w:tc>
          <w:tcPr>
            <w:tcW w:type="dxa" w:w="352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经实际干预验证的参数组及定位成本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攻击</w:t>
            </w:r>
          </w:p>
        </w:tc>
        <w:tc>
          <w:tcPr>
            <w:tcW w:type="dxa" w:w="3211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按候选曲线分配评估预算</w:t>
            </w:r>
          </w:p>
        </w:tc>
        <w:tc>
          <w:tcPr>
            <w:tcW w:type="dxa" w:w="2376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预算调优的SAILS</w:t>
            </w:r>
          </w:p>
        </w:tc>
        <w:tc>
          <w:tcPr>
            <w:tcW w:type="dxa" w:w="352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同权限同效果的投毒集合及搜索总成本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防御</w:t>
            </w:r>
          </w:p>
        </w:tc>
        <w:tc>
          <w:tcPr>
            <w:tcW w:type="dxa" w:w="3211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按风险信号安排完整检查和确认</w:t>
            </w:r>
          </w:p>
        </w:tc>
        <w:tc>
          <w:tcPr>
            <w:tcW w:type="dxa" w:w="2376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2E-CUSUM</w:t>
            </w:r>
          </w:p>
        </w:tc>
        <w:tc>
          <w:tcPr>
            <w:tcW w:type="dxa" w:w="3528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误报 漏检 延迟与完整监测成本</w:t>
            </w:r>
          </w:p>
        </w:tc>
      </w:tr>
    </w:tbl>
    <w:p>
      <w:pPr>
        <w:spacing w:after="0"/>
      </w:pPr>
    </w:p>
    <w:p>
      <w:pPr>
        <w:pStyle w:val="Heading2"/>
      </w:pPr>
      <w:r>
        <w:t>三条路线怎样并行</w:t>
      </w:r>
    </w:p>
    <w:p>
      <w:r>
        <w:t>机制回答“哪些变化承载了跃升”，攻击回答“哪些候选值得继续训练”，防御回答“什么时候值得做完整检查”。三者可以共用已验收轨迹、探针规范和成本账本，但分别验收；机制解释没有成立，也可以检验攻击与监测动作的实际价值。机制结果若转成攻防信号，其生成成本与预测价值仍要重新验证。</w:t>
      </w:r>
    </w:p>
    <w:p>
      <w:r>
        <w:t>先同步冻结三个比较任务，再分阶段投入计算。优先做已有真实密测区间的离线监测检验及baseline成本测量；攻击需要新的候选流，机制需要新的精确干预，不能把现有seed曲线直接当作这些实验已经完成。</w:t>
      </w:r>
    </w:p>
    <w:p>
      <w:r>
        <w:t>本文用于指导后续设计。正式执行前还需冻结数据划分、代码版本、质量容许差、预算与实验合同；本文不启动新训练、部署或GPU排队。</w:t>
      </w:r>
    </w:p>
    <w:p>
      <w:pPr>
        <w:pStyle w:val="Heading1"/>
        <w:pageBreakBefore/>
      </w:pPr>
      <w:r>
        <w:t>1 现象定义与证据边界</w:t>
      </w:r>
    </w:p>
    <w:p>
      <w:pPr>
        <w:pStyle w:val="Heading2"/>
      </w:pPr>
      <w:r>
        <w:t>我们究竟观察了什么</w:t>
      </w:r>
    </w:p>
    <w:p>
      <w:r>
        <w:t>在同一条注册训练轨迹的任意位置，若两个实际测量点之间的更新数不超过完整训练预算的1%，而ASR绝对上升至少50个百分点，就记录一次短窗口跃升。完整预算1250对应最多12次更新；7040对应最多70次更新。有限前缀停止得更早，不改变完整预算分母。</w:t>
      </w:r>
    </w:p>
    <w:p>
      <w:r>
        <w:t>这里的1%是时间窗口占完整更新预算的比例，另一个“1%投毒率”是数据剂量，两者分开。它也不表示前1%训练，更不表示只训练1%便能得到攻击。1.6%窗口和旧固定20步是辅助判据，分别报告。</w:t>
      </w:r>
    </w:p>
    <w:p>
      <w:r>
        <w:t>W50表示已经观测到的最短合格宽度上界。采样间隙仍可隐藏更短跃升；没有发现合格点对，不等于全轨迹没有跃升。主标准不要求最终达到90%或持续保持；正常能力、无触发行为、near行为和后续回落始终单列。</w:t>
      </w:r>
    </w:p>
    <w:p>
      <w:pPr>
        <w:pStyle w:val="Heading2"/>
      </w:pPr>
      <w:r>
        <w:t>现有证据能支撑到哪里</w:t>
      </w:r>
    </w:p>
    <w:p>
      <w:r>
        <w:t>实验已覆盖CNN、视觉Transformer、视觉状态空间模型、语言解码器Transformer、编码器解码器、双编码器、生成式视觉语言模型、语言状态空间模型以及扩散或流模型。覆盖表示已经测量这些类别，各类别的阳性和未知状态必须分别陈述。[1]</w:t>
      </w:r>
    </w:p>
    <w:p>
      <w:r>
        <w:t>Qwen原10个seed的主1%证据为10/10；新补五条W50上界为3、2、4、2、7次更新，固定原点对140样本全部确认。LLaVA同投毒集主组为6/9成立、3/9不可判定；后三条辅助20步均成立。T5已测点未观测跃升；Falcon与SD仍有时间分辨率限制。固定终点诊断不能补齐时间曲线。[1]</w:t>
      </w:r>
    </w:p>
    <w:p>
      <w:r>
        <w:t>Qwen1009发生跃升后，全1250记录中最大回落96.6667个百分点。这使“第一次跃升”“短暂峰值”“最终效果”成为三个不同问题。固定独立确认只验证原主探针选定的同一窗口；不同策略新选的窗口不能借用这份确认。</w:t>
      </w:r>
    </w:p>
    <w:p>
      <w:r>
        <w:t>“ASR Grokking”可作讨论简称，工作定义仍用“ASR短窗口跃升”。目前没有证明它等于经典训练测试grokking、物理相变或跨架构共同机制。任务、规模、剂量与训练方式尚未匹配，不能把跨类别观察写成架构因果。</w:t>
      </w:r>
    </w:p>
    <w:p>
      <w:pPr>
        <w:pStyle w:val="Heading2"/>
      </w:pPr>
      <w:r>
        <w:t>怎样借鉴HanLab选baseline</w:t>
      </w:r>
    </w:p>
    <w:p>
      <w:r>
        <w:t>我们从HanLab公开论文中提炼的逻辑是：先抓住具体瓶颈，再提出结构假说，选择解决同一任务的强方法，并用简单反事实控制检验收益来源。StreamingLLM用位置替代控制检验attention sink；AWQ比较同保护比例下的选择规则；XAttention同时检验筛选质量与实际计算成本。[2–4]</w:t>
      </w:r>
    </w:p>
    <w:p>
      <w:r>
        <w:t>因此，三条主baseline由动作决定。它们是当前核验到的合适强对手，不是三个方向全部任务、全部指标的统一SOTA。“新论文”“榜单领先”“适配本任务”“本机可复现”需要分别验收。</w:t>
      </w:r>
    </w:p>
    <w:p>
      <w:pPr>
        <w:pStyle w:val="Heading1"/>
        <w:pageBreakBefore/>
      </w:pPr>
      <w:r>
        <w:t>2 机制路线</w:t>
      </w:r>
    </w:p>
    <w:p>
      <w:pPr>
        <w:pStyle w:val="Heading2"/>
      </w:pPr>
      <w:r>
        <w:t>现象到假说到动作</w:t>
      </w:r>
    </w:p>
    <w:p>
      <w:r>
        <w:t>现象：相邻少量更新前后，ASR大幅变化。假说：这段更新中有可用少量参数组描述、并能被真实干预验证的行为相关变化。动作：冻结跃升前后两个检查点，用参数差分与廉价排序提出候选，再对少量候选做精确移植、撤回和恢复。</w:t>
      </w:r>
    </w:p>
    <w:p>
      <w:r>
        <w:t>优先检验的是“定位是否更便宜”。只定位出因果组件，尚不能说明为什么训练在这一时刻形成行为；优化器、表示积累、解码阈值等形成原因属于后续机制问题。</w:t>
      </w:r>
    </w:p>
    <w:p>
      <w:pPr>
        <w:pStyle w:val="Heading2"/>
      </w:pPr>
      <w:r>
        <w:t>主baseline与强简单对照</w:t>
      </w:r>
    </w:p>
    <w:p>
      <w:r>
        <w:t>主baseline采用MAttr的参数归因流程：冻结两个检查点的差分，学习参数组排序，再用硬选择进行干预。论文首发于2026年9月22日，作者提供算法与参数实现；其MIB榜单优势主要支持CPR指标，不能直接认证本任务的参数定位效率。[5]</w:t>
      </w:r>
    </w:p>
    <w:p>
      <w:r>
        <w:t>双方获得同一严格验收点对、同一发现数据和同一合法干预。先固定有效权重差分与分组粒度，例如层内投影矩阵；LoRA按其实际有效权重更新归因，避免A/B分解的幅值歧义。主baseline先原生复现再适配，不把node或edge预算当作参数归因成本。</w:t>
      </w:r>
    </w:p>
    <w:p>
      <w:r>
        <w:t>必须面对的简单对照是同差分上的I×G、IG或Expected Gradients，以及差分幅值和随机排序。所有方法使用同一分组和精确干预；若改为activation或edge任务，应同步引入EAP-IG等对应粒度对手，不能混排不同操作的得分。</w:t>
      </w:r>
    </w:p>
    <w:p>
      <w:pPr>
        <w:pStyle w:val="Heading2"/>
      </w:pPr>
      <w:r>
        <w:t>输出怎样才算可靠</w:t>
      </w:r>
    </w:p>
    <w:p>
      <w:r>
        <w:t>先用完整差分与零差分校验干预接线。把选中更新放入跃升前模型，检验诱导；从跃升后模型撤回更新，检验抑制；恢复同一更新，检验救援。发现集用于排序，留出输入用于验收；正常能力、无触发与near控制排除普遍破坏模型造成的假抑制。</w:t>
      </w:r>
    </w:p>
    <w:p>
      <w:r>
        <w:t>这组测试检验操作条件下的局部因果作用，不自动等于全部训练历史的完整原因；联合有效的参数组也不表示每个成员都必要。组件规模、干预强度和留出有效发现覆盖也要报告，不能只凭微小效果或一项真阳性验收。</w:t>
      </w:r>
    </w:p>
    <w:p>
      <w:pPr>
        <w:pStyle w:val="Heading2"/>
      </w:pPr>
      <w:r>
        <w:t>第一项验证与继续条件</w:t>
      </w:r>
    </w:p>
    <w:p>
      <w:r>
        <w:t>先在一个身份已严格接受的点对上，测MAttr与梯度对照的质量成本曲线。我们的候选策略从窗口差分廉价筛选开始，把预算用于逐批精确干预；若筛选分数不预测干预结果，就停止该筛选假说。</w:t>
      </w:r>
    </w:p>
    <w:p>
      <w:r>
        <w:t>另用同宽非跃升窗作对照，记录并控制更新范数、loss和连续margin变化。集中程度以达到同等留出效果所需的实际参数组比例衡量；不能由大ASR差直接推出内部集中。若输出跨阈值或常规差分归因已足够，就撤回内部突变解释。同窗公平比较也不证明窗口是独占贡献。</w:t>
      </w:r>
    </w:p>
    <w:p>
      <w:r>
        <w:t>十倍验收：达到冻结的留出效果强度、发现覆盖、正常能力保护和可靠性时，完整定位成本不超过最便宜合格强对照的10%。双方均可达到门槛后合理早停。已给定窗口与需要自行找窗分层核算；后者计入找窗成本。廉价梯度对照若同样有效且更便宜，就撤回十倍主张。</w:t>
      </w:r>
    </w:p>
    <w:p>
      <w:pPr>
        <w:pStyle w:val="Heading1"/>
        <w:pageBreakBefore/>
      </w:pPr>
      <w:r>
        <w:t>3 攻击路线</w:t>
      </w:r>
    </w:p>
    <w:p>
      <w:pPr>
        <w:pStyle w:val="Heading2"/>
      </w:pPr>
      <w:r>
        <w:t>现象到假说到动作</w:t>
      </w:r>
    </w:p>
    <w:p>
      <w:r>
        <w:t>现象：候选可能迟到才跃升，也可能先出现峰值再回落。假说：当前可见的曲线信息能帮助分配后续评估预算，减少错杀晚跳候选与错收短峰候选。动作：选择哪些投毒集合继续评估、哪些暂停或淘汰，最后以更低完整搜索成本获得同质量集合。</w:t>
      </w:r>
    </w:p>
    <w:p>
      <w:r>
        <w:t>这项动作发生在攻击者自己的候选oracle评估中。最终受害者仍按固定数据、优化器、顺序和完整预算训练；不增加改变受害者停止时刻、训练顺序或模型权限。实验只在自有可控模型和无害目标上验证。</w:t>
      </w:r>
    </w:p>
    <w:p>
      <w:pPr>
        <w:pStyle w:val="Heading2"/>
      </w:pPr>
      <w:r>
        <w:t>主baseline与强简单对照</w:t>
      </w:r>
    </w:p>
    <w:p>
      <w:r>
        <w:t>主baseline是预算调优的SAILS。它学习投毒集合scorer，用真实oracle标签迭代选择候选，原生已有低标签预算和mini到full代理迁移。论文首发于2026年9月14日，作者代码可检查；其“同预算更强”不等于已经证明搜索成本十倍下降。[6]</w:t>
      </w:r>
    </w:p>
    <w:p>
      <w:r>
        <w:t>先确认原生复现，再适配到我们的固定最终任务。SAILS原生mini与full会改变数据规模、毒数量和训练方案，不是同轨迹的prefix续训；辅助代理可以保留，但成本全部计入，最终任务的毒数量和完整预算固定。</w:t>
      </w:r>
    </w:p>
    <w:p>
      <w:r>
        <w:t>强简单对照为相同提案模块加ASHA逐级评估器。这是本项目构造的适配控制，不是SAILS原文已发布的后门SOTA。它检验收益是否只是通用多保真淘汰已能提供。[7]</w:t>
      </w:r>
    </w:p>
    <w:p>
      <w:pPr>
        <w:pStyle w:val="Heading2"/>
      </w:pPr>
      <w:r>
        <w:t>输入与最终结果保持什么相同</w:t>
      </w:r>
    </w:p>
    <w:p>
      <w:r>
        <w:t>预先冻结初始候选池、提案模块、权限、终态任务，以及中间可见字段、探针频率和预算阶段。所有策略获得同样的信息；需要读取模型内部曲线时，结论限定为相应开权重oracle条件。</w:t>
      </w:r>
    </w:p>
    <w:p>
      <w:r>
        <w:t>自适应反馈可以改变后续候选序列，所以“相同提案模块”不表示逐候选相同。全流程比较允许各自提案；另用预先固定候选流做配对验证，分离提案质量与预算分配效果。</w:t>
      </w:r>
    </w:p>
    <w:p>
      <w:r>
        <w:t>暂停再继续必须完整保存模型、optimizer、scheduler、RNG和数据位置，学习率始终按完整预算运行。旧轨迹缺少这些state时，不能当作可直接严格续训的候选库。最终留出ASR、正常能力、无触发和near行为是质量约束；早期峰值不能替代终态。</w:t>
      </w:r>
    </w:p>
    <w:p>
      <w:pPr>
        <w:pStyle w:val="Heading2"/>
      </w:pPr>
      <w:r>
        <w:t>第一项验证与继续条件</w:t>
      </w:r>
    </w:p>
    <w:p>
      <w:r>
        <w:t>先检验cheap信号对未来终态是否有额外预测价值：与当前ASR、loss、margin及普通ASHA规则比较；决策只读当时validation。开发阶段确定晚跳候选的探索或保留规则，然后在未参与调参的投毒集合与训练seed上前瞻验证。现有seed曲线可用于开发，不能直接证明候选选择有效。</w:t>
      </w:r>
    </w:p>
    <w:p>
      <w:r>
        <w:t>十倍验收：在预登记终态质量非劣条件下，完整搜索GPU成本达到至少10倍改善，并胜过调优SAILS与ASHA对照的合格前沿。成本包含代理、scorer、加载、partial与完整训练、失败、探针、保存及最终验证；不能只比较SAILS昂贵默认预算。</w:t>
      </w:r>
    </w:p>
    <w:p>
      <w:r>
        <w:t>跃升后才可用的信号，也可以节省后续预算，但须按实际时刻核算。若只有未来终态信息才有用、持续错杀晚跳候选，或完整开销使同质量收益不足目标，就停止当前调度主张。短窗占1%不等于只训1%，已发生的归因也不自动成为事前预测器。</w:t>
      </w:r>
    </w:p>
    <w:p>
      <w:pPr>
        <w:pStyle w:val="Heading1"/>
        <w:pageBreakBefore/>
      </w:pPr>
      <w:r>
        <w:t>4 防御路线</w:t>
      </w:r>
    </w:p>
    <w:p>
      <w:pPr>
        <w:pStyle w:val="Heading2"/>
      </w:pPr>
      <w:r>
        <w:t>现象到假说到动作</w:t>
      </w:r>
    </w:p>
    <w:p>
      <w:r>
        <w:t>现象：风险可能短窗集中出现，也可能迅速回落。假说：廉价探针反映当时风险，让完整检查集中于高风险时段。动作：按当时证据安排完整评估、密测与确认，降低可靠发现成本。提前预警与事件发生后的及时发现分开报告。</w:t>
      </w:r>
    </w:p>
    <w:p>
      <w:r>
        <w:t>第一阶段做风险监测与确认；阻断、回滚或净化另设干预实验。已知触发器的oracle监测与未知触发器的通用后门检测，权限和任务不同，不能混称。</w:t>
      </w:r>
    </w:p>
    <w:p>
      <w:pPr>
        <w:pStyle w:val="Heading2"/>
      </w:pPr>
      <w:r>
        <w:t>主baseline与强简单对照</w:t>
      </w:r>
    </w:p>
    <w:p>
      <w:r>
        <w:t>主baseline是2E-CUSUM：切换便宜与昂贵观测、强制昂贵回访、积累证据报警。允许跳过采样时，事先选同篇DE2E-CUSUM。论文首发2025年9月、公开v2为2025年10月；选择依据是动作匹配。[8]</w:t>
      </w:r>
    </w:p>
    <w:p>
      <w:r>
        <w:t>理论保证依赖已知分布与持续变化等条件；重复probe的时间相关和ASR回落使保证不能直接迁移。官方代码未核到可直接使用的版本，后续按原文算法独立验算。</w:t>
      </w:r>
    </w:p>
    <w:p>
      <w:r>
        <w:t>强简单对照是同实际成本、随机初始相位的固定周期完整评估，之后做完全相同的确认。真实密集full用于事件参考，不能成为唯一被击败对象。“cheap触发full”已有先例，新贡献必须是短窗结构额外改善漏检延迟成本前沿。</w:t>
      </w:r>
    </w:p>
    <w:p>
      <w:pPr>
        <w:pStyle w:val="Heading2"/>
      </w:pPr>
      <w:r>
        <w:t>报警与科学确认怎样区分</w:t>
      </w:r>
    </w:p>
    <w:p>
      <w:r>
        <w:t>双方使用相同cheap与full内容、当时信息和trigger权限；阈值及分布只用开发轨迹冻结，不读测试未来。重置后监测整条训练属于共同适配，原论文首次持续变化保证不自动延伸。</w:t>
      </w:r>
    </w:p>
    <w:p>
      <w:r>
        <w:t>标签分三层：报警是候选；主probe满足1%宽度与50个百分点增幅是主事件；同pair独立确认通过是确认事件。确认低于50记已测未确认，缺输出记未知。误报漏检针对哪一层须预登记，不能把未确认改成主事件不存在。确认集不参与报警、选窗或重选。</w:t>
      </w:r>
    </w:p>
    <w:p>
      <w:r>
        <w:t>W50描述上升宽度，不是高ASR持续时间；另冻结可行动区间与确认截止。已回落后的报警可算在线漏检，保存旧checkpoint补证则单列事后审计。只在真实密测范围评估，不插值，也不把未覆盖处当阴性或误报真值。新策略选的点对缺140或900确认时记未知，实际补齐后才验收完整成本。</w:t>
      </w:r>
    </w:p>
    <w:p>
      <w:pPr>
        <w:pStyle w:val="Heading2"/>
      </w:pPr>
      <w:r>
        <w:t>第一项验证与继续条件</w:t>
      </w:r>
    </w:p>
    <w:p>
      <w:r>
        <w:t>先在开发用真实密窗逐时回放三种策略，检验cheap信号是否及时有用。统一统计误报、漏检和updates延迟；未报警及已回落后才报警按冻结规则计漏检，不能只平均成功检出的延迟。</w:t>
      </w:r>
    </w:p>
    <w:p>
      <w:r>
        <w:t>十倍验收：在留出轨迹的误报、漏检与延迟约束均满足时，实际完整监测加确认成本降至最便宜合格强对照的10%。包括校准、cheap检查、full回访、密测、checkpoint保留和实际独立确认；不把共同训练总成本称为十倍加速。</w:t>
      </w:r>
    </w:p>
    <w:p>
      <w:r>
        <w:t>若固定周期或2E-CUSUM已同样可靠且更便宜，或探针不能及时发现短峰，就停止当前监测提效主张。有效报警器可以继续连接干预实验，但报警效率本身不证明防御修复有效。</w:t>
      </w:r>
    </w:p>
    <w:p>
      <w:pPr>
        <w:pStyle w:val="Heading1"/>
        <w:pageBreakBefore/>
      </w:pPr>
      <w:r>
        <w:t>5 十倍效率怎样公平验收</w:t>
      </w:r>
    </w:p>
    <w:p>
      <w:pPr>
        <w:pStyle w:val="Heading2"/>
      </w:pPr>
      <w:r>
        <w:t>先定义完整任务再选主资源</w:t>
      </w:r>
    </w:p>
    <w:p>
      <w:r>
        <w:t>每条路线在看测试结果前选定一个主效率指标。机制建议采用完整定位GPU成本，攻击采用完整搜索GPU成本，防御采用完整监测与确认GPU成本；同时记录串行wall时间、样本与标签数、人工分钟和峰值内存。硬件计时尚未建立时，调用量与FLOPs只作代理，不能冒称实测GPU成本。</w:t>
      </w:r>
    </w:p>
    <w:p>
      <w:r>
        <w:t>倍数的定义是：最便宜合格强对照完成任务的成本，除以我们完成同一任务的成本。该值达到10或以上才满足目标。对照中的“合格”指其满足同一预登记质量与可靠性约束；不能挑最慢默认配置当分母。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35"/>
        <w:gridCol w:w="4320"/>
        <w:gridCol w:w="4795"/>
      </w:tblGrid>
      <w:tr>
        <w:trPr>
          <w:cantSplit/>
          <w:tblHeader/>
        </w:trPr>
        <w:tc>
          <w:tcPr>
            <w:tcW w:type="dxa" w:w="83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1"/>
              </w:rPr>
              <w:t>路线</w:t>
            </w:r>
          </w:p>
        </w:tc>
        <w:tc>
          <w:tcPr>
            <w:tcW w:type="dxa" w:w="43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不得牺牲的结果</w:t>
            </w:r>
          </w:p>
        </w:tc>
        <w:tc>
          <w:tcPr>
            <w:tcW w:type="dxa" w:w="479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成本边界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机制</w:t>
            </w:r>
          </w:p>
        </w:tc>
        <w:tc>
          <w:tcPr>
            <w:tcW w:type="dxa" w:w="43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留出干预效果 发现可靠性 正常能力</w:t>
            </w:r>
          </w:p>
        </w:tc>
        <w:tc>
          <w:tcPr>
            <w:tcW w:type="dxa" w:w="479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找窗或已给定条件 排序 干预 验证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攻击</w:t>
            </w:r>
          </w:p>
        </w:tc>
        <w:tc>
          <w:tcPr>
            <w:tcW w:type="dxa" w:w="43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终态ASR 正常能力 固定攻击权限</w:t>
            </w:r>
          </w:p>
        </w:tc>
        <w:tc>
          <w:tcPr>
            <w:tcW w:type="dxa" w:w="479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代理 标签 搜索 候选训练 最终验收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防御</w:t>
            </w:r>
          </w:p>
        </w:tc>
        <w:tc>
          <w:tcPr>
            <w:tcW w:type="dxa" w:w="43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误报 漏检 延迟 固定确认可靠性</w:t>
            </w:r>
          </w:p>
        </w:tc>
        <w:tc>
          <w:tcPr>
            <w:tcW w:type="dxa" w:w="4795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校准 探针 回访 密测 保留 确认</w:t>
            </w:r>
          </w:p>
        </w:tc>
      </w:tr>
    </w:tbl>
    <w:p>
      <w:pPr>
        <w:spacing w:after="0"/>
      </w:pPr>
    </w:p>
    <w:p>
      <w:pPr>
        <w:pStyle w:val="Heading2"/>
      </w:pPr>
      <w:r>
        <w:t>共同的公平规则</w:t>
      </w:r>
    </w:p>
    <w:p>
      <w:r>
        <w:t>开发、调参、确认与最终测试分开。轨迹级留出应隔离整个训练seed；攻击另留出投毒集合。已经用于发现窗口的原probe不能重新命名为独立确认集。各模型的数据规模、剂量、预算与原生判定规则分别保持，不强行合并成功率。</w:t>
      </w:r>
    </w:p>
    <w:p>
      <w:r>
        <w:t>先测baseline的低预算配置与质量成本前沿，再冻结双方调参额度。双方获得相同输入、资产复用、检查点与信息权限；由新策略需要的额外历史或内部量单独收费。共同上游成本可条件化比较，但必须同时给出包含实际必要上游工作的端到端口径。</w:t>
      </w:r>
    </w:p>
    <w:p>
      <w:r>
        <w:t>计入准备、采集、载入、候选生成、失败尝试、训练或归因、评估、保存及最终确认。父成本已包含的子过程不再相加；共享借用资产不重复计费。命令wall累计与无重叠总历时分开，未知项保留null，不能将未知当零。</w:t>
      </w:r>
    </w:p>
    <w:p>
      <w:pPr>
        <w:pStyle w:val="Heading2"/>
      </w:pPr>
      <w:r>
        <w:t>十倍目标的可行性闸门</w:t>
      </w:r>
    </w:p>
    <w:p>
      <w:r>
        <w:t>完整成本按“实际一次性准备成本＋实际使用次数×每次成本”报告，冷启动与复用情形分列。不能凭假设无限复用，把准备成本摊成零；也不能把并行缩短wall说成总计算量下降。若不可减少部分已占合格baseline成本10%以上，其他部分再快也不足以实现整体十倍，必须调整动作或目标。</w:t>
      </w:r>
    </w:p>
    <w:p>
      <w:r>
        <w:t>质量容许差、有效发现覆盖、误报率、最大延迟和漏检容许度仍需依据开发证据冻结，本文不编造数值。正式比较采用配对设计并报告不确定性；统计以独立训练或搜索运行为单位，不能把同seed数百测点当独立样本。样本不足时保留区间与未知。</w:t>
      </w:r>
    </w:p>
    <w:p>
      <w:r>
        <w:t>用户认可任何一种真实效率提升。若GPU十倍不可行，可在新测试前改登记为数据、标签或人工效率目标，并保留其他成本；不得看完测试后挑一个有利指标作为原先成功。</w:t>
      </w:r>
    </w:p>
    <w:p>
      <w:pPr>
        <w:pStyle w:val="Heading1"/>
        <w:pageBreakBefore/>
      </w:pPr>
      <w:r>
        <w:t>6 后续工作的顺序与交付</w:t>
      </w:r>
    </w:p>
    <w:p>
      <w:pPr>
        <w:pStyle w:val="Heading2"/>
      </w:pPr>
      <w:r>
        <w:t>先冻结三个任务再分阶段验证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4882"/>
        <w:gridCol w:w="4349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488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要完成的工作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DCE6F1"/>
          </w:tcPr>
          <w:p>
            <w:pPr>
              <w:spacing w:after="40" w:line="300" w:lineRule="exact"/>
            </w:pPr>
            <w:r>
              <w:rPr>
                <w:b/>
                <w:sz w:val="21"/>
              </w:rPr>
              <w:t>进入下一阶段的证据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一</w:t>
            </w:r>
          </w:p>
        </w:tc>
        <w:tc>
          <w:tcPr>
            <w:tcW w:type="dxa" w:w="488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冻结动作 baseline版本 输入权限 数据划分 主资源与质量约束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三份可执行比较合同 主张可被反驳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二</w:t>
            </w:r>
          </w:p>
        </w:tc>
        <w:tc>
          <w:tcPr>
            <w:tcW w:type="dxa" w:w="488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核原生baseline身份并测低预算成本 只读整理现有合法数据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原生复现合格 适配偏差与资产缺口清楚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三</w:t>
            </w:r>
          </w:p>
        </w:tc>
        <w:tc>
          <w:tcPr>
            <w:tcW w:type="dxa" w:w="488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小规模分别检验信号价值 定位效果 与预算收益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胜过对应简单规则且仍有十倍空间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四</w:t>
            </w:r>
          </w:p>
        </w:tc>
        <w:tc>
          <w:tcPr>
            <w:tcW w:type="dxa" w:w="488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冻结方法 后在独立轨迹与候选上前瞻比较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4F7FA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同质量下完整成本达目标并报告失败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  <w:jc w:val="center"/>
            </w:pPr>
            <w:r>
              <w:rPr>
                <w:b w:val="0"/>
                <w:sz w:val="21"/>
              </w:rPr>
              <w:t>五</w:t>
            </w:r>
          </w:p>
        </w:tc>
        <w:tc>
          <w:tcPr>
            <w:tcW w:type="dxa" w:w="4882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扩展到能改变结论的另一模型或任务</w:t>
            </w:r>
          </w:p>
        </w:tc>
        <w:tc>
          <w:tcPr>
            <w:tcW w:type="dxa" w:w="4349"/>
            <w:vAlign w:val="center"/>
            <w:tcMar>
              <w:top w:w="90" w:type="dxa"/>
              <w:left w:w="115" w:type="dxa"/>
              <w:bottom w:w="90" w:type="dxa"/>
              <w:right w:w="115" w:type="dxa"/>
            </w:tcMar>
            <w:shd w:fill="FFFFFF"/>
          </w:tcPr>
          <w:p>
            <w:pPr>
              <w:spacing w:after="40" w:line="300" w:lineRule="exact"/>
            </w:pPr>
            <w:r>
              <w:rPr>
                <w:b w:val="0"/>
                <w:sz w:val="21"/>
              </w:rPr>
              <w:t>确定适用边界而非继续堆模型数量</w:t>
            </w:r>
          </w:p>
        </w:tc>
      </w:tr>
    </w:tbl>
    <w:p>
      <w:pPr>
        <w:spacing w:after="0"/>
      </w:pPr>
    </w:p>
    <w:p>
      <w:pPr>
        <w:pStyle w:val="Heading2"/>
      </w:pPr>
      <w:r>
        <w:t>三个最近的具体交付</w:t>
      </w:r>
    </w:p>
    <w:p>
      <w:r>
        <w:t>机制：给定一对已验收跃升检查点，确定共同参数粒度，形成MAttr、梯度简单对照和窗口筛选的干预质量成本曲线。先问“有没有更便宜的可靠定位”，再问形成原因。</w:t>
      </w:r>
    </w:p>
    <w:p>
      <w:r>
        <w:t>攻击：建立严格可续训的小型候选oracle与固定候选流，用SAILS和ASHA获得可比较成本；验证当时曲线是否提供超出普通指标的晋级价值。晚跳错杀与短峰错收必须出现于报告。</w:t>
      </w:r>
    </w:p>
    <w:p>
      <w:r>
        <w:t>防御：用现有真实密测段做逐时回放，先交付候选报警成本、漏检和延迟。对于各策略新点对缺少的独立确认，明确登记缺口；实际补齐后才出完整效率结论。</w:t>
      </w:r>
    </w:p>
    <w:p>
      <w:pPr>
        <w:pStyle w:val="Heading2"/>
      </w:pPr>
      <w:r>
        <w:t>并行设计与计算投入</w:t>
      </w:r>
    </w:p>
    <w:p>
      <w:r>
        <w:t>三条设计并行，共用已有身份收据、实际测点和成本字段。计算投入按闸门推进：先做便宜的离线判断与baseline成本剖析，任何一条过不了强简单对照就暂停该主张，其他路线继续。优先防御离线验证是资源顺序，不是预先断言它最有价值。</w:t>
      </w:r>
    </w:p>
    <w:p>
      <w:r>
        <w:t>每次记录研究路线、模型与任务、seed与投毒集、数据角色、当时可见信息、代码与资产版本、baseline配置、质量结果、唯一成本ID、失败和继续决定。每次扩展都要回答“下一项结果会改变哪个判断”。</w:t>
      </w:r>
    </w:p>
    <w:p>
      <w:pPr>
        <w:pStyle w:val="Heading2"/>
      </w:pPr>
      <w:r>
        <w:t>执行与范围</w:t>
      </w:r>
    </w:p>
    <w:p>
      <w:r>
        <w:t>已有实验补测与最终组合验收已完成；本文不重跑旧任务、不修改原结果与科学门槛。后续新GPU工作需形成具体设计与资源预算；若沿用当前授权资源，只使用物理GPU1、原共享jobq和原worker，保持原空闲与续接规则，不使用GPU0或另开worker。任何新删除另需授权。</w:t>
      </w:r>
    </w:p>
    <w:p>
      <w:r>
        <w:t>研究文件与发布内容分开。只读资产、内部配置、原QA、逐提示输出和图片保持私有；科研源码与必要聚合结果按既有白名单另行审核同步。本文没有创建新排队任务或对外发布事务。</w:t>
      </w:r>
    </w:p>
    <w:p>
      <w:pPr>
        <w:pStyle w:val="Heading1"/>
        <w:pageBreakBefore/>
      </w:pPr>
      <w:r>
        <w:t>7 依据与版本</w:t>
      </w:r>
    </w:p>
    <w:p>
      <w:r>
        <w:t>以下是本工作指南的证据入口。现象以已经验收的最终报告为准；baseline方法与资格沿用本轮原文及作者实现核验。三者尚未在本项目完成实测，新方法也未取得十倍收益。</w:t>
      </w:r>
    </w:p>
    <w:p>
      <w:pPr>
        <w:spacing w:after="120"/>
      </w:pPr>
      <w:hyperlink r:id="rId9">
        <w:r>
          <w:rPr>
            <w:color w:val="174B7A"/>
            <w:rFonts w:eastAsia="Heiti SC" w:ascii="Heiti SC" w:hAnsi="Heiti SC"/>
          </w:rPr>
          <w:t>[1] 本项目 百分之一步数横向比较补测最终报告 2026年10月10日</w:t>
        </w:r>
      </w:hyperlink>
    </w:p>
    <w:p>
      <w:pPr>
        <w:spacing w:after="120"/>
      </w:pPr>
      <w:hyperlink r:id="rId10">
        <w:r>
          <w:rPr>
            <w:color w:val="174B7A"/>
            <w:rFonts w:eastAsia="Heiti SC" w:ascii="Heiti SC" w:hAnsi="Heiti SC"/>
          </w:rPr>
          <w:t>[2] StreamingLLM Efficient Streaming Language Models with Attention Sinks</w:t>
        </w:r>
      </w:hyperlink>
    </w:p>
    <w:p>
      <w:pPr>
        <w:spacing w:after="120"/>
      </w:pPr>
      <w:hyperlink r:id="rId11">
        <w:r>
          <w:rPr>
            <w:color w:val="174B7A"/>
            <w:rFonts w:eastAsia="Heiti SC" w:ascii="Heiti SC" w:hAnsi="Heiti SC"/>
          </w:rPr>
          <w:t>[3] AWQ Activation aware Weight Quantization for LLM Compression and Acceleration</w:t>
        </w:r>
      </w:hyperlink>
    </w:p>
    <w:p>
      <w:pPr>
        <w:spacing w:after="120"/>
      </w:pPr>
      <w:hyperlink r:id="rId12">
        <w:r>
          <w:rPr>
            <w:color w:val="174B7A"/>
            <w:rFonts w:eastAsia="Heiti SC" w:ascii="Heiti SC" w:hAnsi="Heiti SC"/>
          </w:rPr>
          <w:t>[4] XAttention Block Sparse Attention with Antidiagonal Scoring ICML 2025</w:t>
        </w:r>
      </w:hyperlink>
    </w:p>
    <w:p>
      <w:pPr>
        <w:spacing w:after="120"/>
      </w:pPr>
      <w:hyperlink r:id="rId13">
        <w:r>
          <w:rPr>
            <w:color w:val="174B7A"/>
            <w:rFonts w:eastAsia="Heiti SC" w:ascii="Heiti SC" w:hAnsi="Heiti SC"/>
          </w:rPr>
          <w:t>[5] MAttr Matryoshka attribution 原文 2026年9月22日首发 v1</w:t>
        </w:r>
      </w:hyperlink>
    </w:p>
    <w:p>
      <w:pPr>
        <w:spacing w:after="120"/>
      </w:pPr>
      <w:hyperlink r:id="rId14">
        <w:r>
          <w:rPr>
            <w:color w:val="174B7A"/>
            <w:rFonts w:eastAsia="Heiti SC" w:ascii="Heiti SC" w:hAnsi="Heiti SC"/>
          </w:rPr>
          <w:t>MAttr 作者算法实现</w:t>
        </w:r>
      </w:hyperlink>
    </w:p>
    <w:p>
      <w:pPr>
        <w:spacing w:after="120"/>
      </w:pPr>
      <w:hyperlink r:id="rId15">
        <w:r>
          <w:rPr>
            <w:color w:val="174B7A"/>
            <w:rFonts w:eastAsia="Heiti SC" w:ascii="Heiti SC" w:hAnsi="Heiti SC"/>
          </w:rPr>
          <w:t>MAttr 作者参数归因实现</w:t>
        </w:r>
      </w:hyperlink>
    </w:p>
    <w:p>
      <w:pPr>
        <w:spacing w:after="120"/>
      </w:pPr>
      <w:hyperlink r:id="rId16">
        <w:r>
          <w:rPr>
            <w:color w:val="174B7A"/>
            <w:rFonts w:eastAsia="Heiti SC" w:ascii="Heiti SC" w:hAnsi="Heiti SC"/>
          </w:rPr>
          <w:t>[6] SAILS Pick Your Poison 原文 2026年9月14日首发 v1</w:t>
        </w:r>
      </w:hyperlink>
    </w:p>
    <w:p>
      <w:pPr>
        <w:spacing w:after="120"/>
      </w:pPr>
      <w:hyperlink r:id="rId17">
        <w:r>
          <w:rPr>
            <w:color w:val="174B7A"/>
            <w:rFonts w:eastAsia="Heiti SC" w:ascii="Heiti SC" w:hAnsi="Heiti SC"/>
          </w:rPr>
          <w:t>SAILS 作者实现</w:t>
        </w:r>
      </w:hyperlink>
    </w:p>
    <w:p>
      <w:pPr>
        <w:spacing w:after="120"/>
      </w:pPr>
      <w:hyperlink r:id="rId18">
        <w:r>
          <w:rPr>
            <w:color w:val="174B7A"/>
            <w:rFonts w:eastAsia="Heiti SC" w:ascii="Heiti SC" w:hAnsi="Heiti SC"/>
          </w:rPr>
          <w:t>[7] ASHA Massively Parallel Hyperparameter Tuning 原文</w:t>
        </w:r>
      </w:hyperlink>
    </w:p>
    <w:p>
      <w:pPr>
        <w:spacing w:after="120"/>
      </w:pPr>
      <w:hyperlink r:id="rId19">
        <w:r>
          <w:rPr>
            <w:color w:val="174B7A"/>
            <w:rFonts w:eastAsia="Heiti SC" w:ascii="Heiti SC" w:hAnsi="Heiti SC"/>
          </w:rPr>
          <w:t>ASHA Ray 官方实现与参数说明</w:t>
        </w:r>
      </w:hyperlink>
    </w:p>
    <w:p>
      <w:pPr>
        <w:spacing w:after="120"/>
      </w:pPr>
      <w:hyperlink r:id="rId20">
        <w:r>
          <w:rPr>
            <w:color w:val="174B7A"/>
            <w:rFonts w:eastAsia="Heiti SC" w:ascii="Heiti SC" w:hAnsi="Heiti SC"/>
          </w:rPr>
          <w:t>[8] 2E CUSUM Quickest Change Detection with Cost Constrained Experiment Design 原文 v2</w:t>
        </w:r>
      </w:hyperlink>
    </w:p>
    <w:p>
      <w:r>
        <w:t>2E-CUSUM首发2025年9月17日、v2更新2025年10月6日；作者主页将期刊版本列于IEEE Transactions on Information Theory 2026年10月。期刊年份不等于算法首次公开年份。</w:t>
      </w:r>
    </w:p>
    <w:p>
      <w:pPr>
        <w:spacing w:after="120"/>
      </w:pPr>
      <w:hyperlink r:id="rId21">
        <w:r>
          <w:rPr>
            <w:color w:val="174B7A"/>
            <w:rFonts w:eastAsia="Heiti SC" w:ascii="Heiti SC" w:hAnsi="Heiti SC"/>
          </w:rPr>
          <w:t>2E CUSUM 作者研究与发表列表</w:t>
        </w:r>
      </w:hyperlink>
    </w:p>
    <w:p>
      <w:r>
        <w:t>HanLab方法论依据为本项目既有HanLab论文策略报告及上述公开论文。这里提炼的是公开实验论证方式，不是HanLab内部官方选题或baseline手册。机制的旧解释文献、静态攻击与参数修复方法仍可作背景；它们不替代当前三个动作的直接对手。</w:t>
      </w:r>
    </w:p>
    <w:sectPr w:rsidR="00FC693F" w:rsidRPr="0006063C" w:rsidSect="00034616">
      <w:footerReference w:type="default" r:id="rId22"/>
      <w:pgSz w:w="12240" w:h="15840"/>
      <w:pgMar w:top="1008" w:right="1094" w:bottom="936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20" w:lineRule="exact" w:after="120"/>
    </w:pPr>
    <w:rPr>
      <w:rFonts w:ascii="Heiti SC" w:hAnsi="Heiti SC" w:eastAsia="Heiti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480" w:lineRule="exact"/>
      <w:outlineLvl w:val="0"/>
      <w:snapToGrid w:val="0"/>
    </w:pPr>
    <w:rPr>
      <w:rFonts w:ascii="Heiti SC" w:hAnsi="Heiti SC" w:eastAsia="Heiti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400" w:lineRule="exact"/>
      <w:outlineLvl w:val="1"/>
      <w:snapToGrid w:val="0"/>
    </w:pPr>
    <w:rPr>
      <w:rFonts w:ascii="Heiti SC" w:hAnsi="Heiti SC" w:eastAsia="Hei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="Heiti SC" w:hAnsi="Heiti SC" w:eastAsia="Heiti SC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80" w:lineRule="exact"/>
      <w:contextualSpacing/>
      <w:snapToGrid w:val="0"/>
    </w:pPr>
    <w:rPr>
      <w:rFonts w:ascii="Heiti SC" w:hAnsi="Heiti SC" w:eastAsia="Heiti SC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360" w:lineRule="exact" w:after="280"/>
    </w:pPr>
    <w:rPr>
      <w:rFonts w:ascii="Heiti SC" w:hAnsi="Heiti SC" w:eastAsia="Heiti S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uxiexiong/stealthiness/blob/c14a83045a9155adf38dc04739d2f60984cb8216/attribution-microscope/supplement/jump/cross_model/results/20261010_uncertainty_followup_final/README_ZH.md" TargetMode="External"/><Relationship Id="rId10" Type="http://schemas.openxmlformats.org/officeDocument/2006/relationships/hyperlink" Target="https://arxiv.org/html/2309.17453v1" TargetMode="External"/><Relationship Id="rId11" Type="http://schemas.openxmlformats.org/officeDocument/2006/relationships/hyperlink" Target="https://arxiv.org/html/2306.00978v1" TargetMode="External"/><Relationship Id="rId12" Type="http://schemas.openxmlformats.org/officeDocument/2006/relationships/hyperlink" Target="https://proceedings.mlr.press/v267/xu25ag.html" TargetMode="External"/><Relationship Id="rId13" Type="http://schemas.openxmlformats.org/officeDocument/2006/relationships/hyperlink" Target="https://arxiv.org/html/2609.25518v1" TargetMode="External"/><Relationship Id="rId14" Type="http://schemas.openxmlformats.org/officeDocument/2006/relationships/hyperlink" Target="https://github.com/aryamanarora/matryoshka-attribution" TargetMode="External"/><Relationship Id="rId15" Type="http://schemas.openxmlformats.org/officeDocument/2006/relationships/hyperlink" Target="https://github.com/aryamanarora/matryoshka-attribution-parameters" TargetMode="External"/><Relationship Id="rId16" Type="http://schemas.openxmlformats.org/officeDocument/2006/relationships/hyperlink" Target="https://arxiv.org/html/2609.15029v1" TargetMode="External"/><Relationship Id="rId17" Type="http://schemas.openxmlformats.org/officeDocument/2006/relationships/hyperlink" Target="https://github.com/aashiqmuhamed/poison-set-selection" TargetMode="External"/><Relationship Id="rId18" Type="http://schemas.openxmlformats.org/officeDocument/2006/relationships/hyperlink" Target="https://arxiv.org/abs/1810.05934" TargetMode="External"/><Relationship Id="rId19" Type="http://schemas.openxmlformats.org/officeDocument/2006/relationships/hyperlink" Target="https://docs.ray.io/en/latest/tune/api/doc/ray.tune.schedulers.AsyncHyperBandScheduler.html" TargetMode="External"/><Relationship Id="rId20" Type="http://schemas.openxmlformats.org/officeDocument/2006/relationships/hyperlink" Target="https://arxiv.org/html/2509.14186v2" TargetMode="External"/><Relationship Id="rId21" Type="http://schemas.openxmlformats.org/officeDocument/2006/relationships/hyperlink" Target="https://sites.google.com/view/taposhbanerjee/research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ASR短窗口跃升研究工作指南</dc:title>
  <dc:subject>从现象到动作到baseline的机制攻击防御研究路线</dc:subject>
  <dc:creator>ASR研究项目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