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1.png" ContentType="image/png"/>
  <Override PartName="/word/media/rId64.png" ContentType="image/png"/>
  <Override PartName="/word/media/rId5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a83f0a50215dd99b2a0e46de05e4f04c1d0bd71"/>
    <w:p>
      <w:pPr>
        <w:pStyle w:val="Heading1"/>
      </w:pPr>
      <w:r>
        <w:t xml:space="preserve">How Does the Civil Engineering Industry Economy Change under an AI Shock? The United Kingdom’s Service Links with India and China</w:t>
      </w:r>
    </w:p>
    <w:p>
      <w:pPr>
        <w:pStyle w:val="FirstParagraph"/>
      </w:pPr>
      <w:r>
        <w:t xml:space="preserve">This article uses retrieved official series without interpolating country, industry or trade cells. The preferred shock is Eurostat enterprise use of AI for natural-language generation (</w:t>
      </w:r>
      <w:r>
        <w:rPr>
          <w:rStyle w:val="VerbatimChar"/>
        </w:rPr>
        <w:t xml:space="preserve">E_AI_TNLG</w:t>
      </w:r>
      <w:r>
        <w:t xml:space="preserve">); industry outcomes are Eurostat NACE M71; trade is OECD–WTO BaTIS.</w:t>
      </w:r>
    </w:p>
    <w:p>
      <w:pPr>
        <w:pStyle w:val="BodyText"/>
      </w:pPr>
      <w:r>
        <w:rPr>
          <w:bCs/>
          <w:b/>
        </w:rPr>
        <w:t xml:space="preserve">Claim boundary.</w:t>
      </w:r>
      <w:r>
        <w:t xml:space="preserve"> </w:t>
      </w:r>
      <w:r>
        <w:t xml:space="preserve">UK–India and UK–China trade trends are descriptive because the United Kingdom is outside the harmonised Eurostat NLG panel. The EU-importer panel identifies conditional associations with Indian and Chinese service flows; it does not identify bilateral civil-engineer employment or GDP effects.</w:t>
      </w:r>
    </w:p>
    <w:p>
      <w:r>
        <w:pict>
          <v:rect style="width:0;height:1.5pt" o:hralign="center" o:hrstd="t" o:hr="t"/>
        </w:pict>
      </w:r>
    </w:p>
    <w:bookmarkStart w:id="20" w:name="abstract"/>
    <w:p>
      <w:pPr>
        <w:pStyle w:val="Heading2"/>
      </w:pPr>
      <w:r>
        <w:t xml:space="preserve">Abstract</w:t>
      </w:r>
    </w:p>
    <w:p>
      <w:pPr>
        <w:pStyle w:val="FirstParagraph"/>
      </w:pPr>
      <w:r>
        <w:t xml:space="preserve">This paper studies the civil-engineering economy under a generative-AI shock through two relationships centred on the United Kingdom: UK–India and UK–China. The bilateral evidence covers technical and other business services (SJ3), construction services (SE), and computer and information services (SI). A panel of 17 EU importers provides harmonised variation in enterprise use of natural-language-generation AI. The UK trends are interpreted descriptively, while the panel tests whether importer adoption is associated with Indian Mode-1 services or Chinese project-based construction services.</w:t>
      </w:r>
    </w:p>
    <w:p>
      <w:pPr>
        <w:pStyle w:val="BodyText"/>
      </w:pPr>
      <w:r>
        <w:t xml:space="preserve">The shock is the 2023–24 change in Eurostat natural-language-generation use among professional-service enterprises. Domestic outcomes are turnover, employment, wages and value added in NACE M71 architectural and engineering activities. Cross-border outcomes come from OECD–WTO BaTIS. SJ3 technical and other business services imported from India approximate the digitally deliverable margin, while SE construction services from China capture project-based delivery.</w:t>
      </w:r>
    </w:p>
    <w:p>
      <w:pPr>
        <w:pStyle w:val="BodyText"/>
      </w:pPr>
      <w:r>
        <w:t xml:space="preserve">Between 2019 and 2024, UK imports of Indian SJ3 rose 127.7% and Indian imports from the UK rose 97.3%. UK imports of Chinese SJ3 rose 99.3%, while Chinese imports from the UK rose 29.2%. The UK purchased substantially more Indian than Chinese SJ3 in 2024 (USD 4.98 billion versus USD 1.55 billion). Computer services grew strongly in the UK–India relationship, while Chinese construction services remained much smaller than the technical and computer flows.</w:t>
      </w:r>
    </w:p>
    <w:p>
      <w:pPr>
        <w:pStyle w:val="BodyText"/>
      </w:pPr>
      <w:r>
        <w:t xml:space="preserve">Professional-service NLG use in the EU-27 rose from 4.55% in 2023 to 11.51% in 2024. In the importer panel, the India-only coefficient for SJ3 is 0.021 (s.e. 0.008), whereas Chinese construction services are unrelated to importer NLG adoption (−0.008, 0.009). Domestic M71 turnover and wages grew more slowly in higher-adoption economies, while employment was unchanged.</w:t>
      </w:r>
    </w:p>
    <w:p>
      <w:pPr>
        <w:pStyle w:val="BodyText"/>
      </w:pPr>
      <w:r>
        <w:t xml:space="preserve">The evidence is consistent with generative tools changing the coordination of digitally deliverable services, especially between the UK and India. It does not show that AI caused the bilateral changes: SJ3 is broader than engineering, computer services also expanded, and UK enterprise adoption is not measured on the same basis as the EU treatment. The contribution is therefore a bounded comparison of observed UK trade and panel associations, not an estimate of outsourcing or national output.</w:t>
      </w:r>
    </w:p>
    <w:p>
      <w:pPr>
        <w:pStyle w:val="BodyText"/>
      </w:pPr>
      <w:r>
        <w:rPr>
          <w:bCs/>
          <w:b/>
        </w:rPr>
        <w:t xml:space="preserve">Keywords:</w:t>
      </w:r>
      <w:r>
        <w:t xml:space="preserve"> </w:t>
      </w:r>
      <w:r>
        <w:t xml:space="preserve">generative AI; civil engineering; India; China; Mode 1; Mode 3; NACE M71; services trade.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pPr>
      <w: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pPr>
      <w: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pPr>
      <w: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pPr>
      <w: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mode-specific comparison of domestic M71 outcomes and cross-border adjustment during the first observable generative-AI adoption wave.</w:t>
      </w:r>
    </w:p>
    <w:p>
      <w:pPr>
        <w:pStyle w:val="BodyText"/>
      </w:pPr>
      <w:r>
        <w:t xml:space="preserve">Replication materials, including data, code, figures and supplementary tables, are available to the editor and will be deposited in an appropriate public repository on acceptance. Missing series are documented in the supplementary material.</w:t>
      </w:r>
    </w:p>
    <w:p>
      <w:r>
        <w:pict>
          <v:rect style="width:0;height:1.5pt" o:hralign="center" o:hrstd="t" o:hr="t"/>
        </w:pict>
      </w:r>
    </w:p>
    <w:bookmarkEnd w:id="21"/>
    <w:bookmarkStart w:id="29" w:name="literature-review"/>
    <w:p>
      <w:pPr>
        <w:pStyle w:val="Heading2"/>
      </w:pPr>
      <w:r>
        <w:t xml:space="preserve">2. Literature review</w:t>
      </w:r>
    </w:p>
    <w:bookmarkStart w:id="22" w:name="tasks-firms-and-industry-outcomes"/>
    <w:p>
      <w:pPr>
        <w:pStyle w:val="Heading3"/>
      </w:pPr>
      <w:r>
        <w:t xml:space="preserve">2.1 Tasks, firms and industry outcomes</w:t>
      </w:r>
    </w:p>
    <w:p>
      <w:pPr>
        <w:pStyle w:val="FirstParagraph"/>
      </w:pPr>
      <w: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pPr>
      <w: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pPr>
      <w:r>
        <w:t xml:space="preserve">2.2 Measuring the generative shock</w:t>
      </w:r>
    </w:p>
    <w:p>
      <w:pPr>
        <w:pStyle w:val="FirstParagraph"/>
      </w:pPr>
      <w: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pPr>
      <w: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pPr>
      <w:r>
        <w:t xml:space="preserve">2.3 Generative AI as a labour-market shock</w:t>
      </w:r>
    </w:p>
    <w:p>
      <w:pPr>
        <w:pStyle w:val="FirstParagraph"/>
      </w:pPr>
      <w: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w:t>
      </w:r>
      <w:r>
        <w:t xml:space="preserve"> </w:t>
      </w:r>
      <w:r>
        <w:t xml:space="preserve">“</w:t>
      </w:r>
      <w:r>
        <w:t xml:space="preserve">jagged frontier</w:t>
      </w:r>
      <w:r>
        <w:t xml:space="preserve">”</w:t>
      </w:r>
      <w:r>
        <w:t xml:space="preserve">: AI helps some knowledge tasks and fails on others inside the same job. Hui, Reshef and Zhou (2024) study freelance coding after Copilot.</w:t>
      </w:r>
    </w:p>
    <w:p>
      <w:pPr>
        <w:pStyle w:val="BodyText"/>
      </w:pPr>
      <w: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pPr>
      <w:r>
        <w:t xml:space="preserve">Agrawal, Gans and Goldfarb (2018, 2022) frame AI as cheaper prediction. Korinek and Stiglitz (2021) and Acemoglu (2025, policy writing on complementary AI) warn that the distribution of gains depends on whether AI automates or augments. This paper does not estimate welfare. It asks which</w:t>
      </w:r>
      <w:r>
        <w:t xml:space="preserve"> </w:t>
      </w:r>
      <w:r>
        <w:rPr>
          <w:iCs/>
          <w:i/>
        </w:rPr>
        <w:t xml:space="preserve">measured</w:t>
      </w:r>
      <w:r>
        <w:t xml:space="preserve"> </w:t>
      </w:r>
      <w:r>
        <w:t xml:space="preserve">industry aggregates moved.</w:t>
      </w:r>
    </w:p>
    <w:bookmarkEnd w:id="24"/>
    <w:bookmarkStart w:id="25" w:name="X564b86f8e20bea7c1f319e88e9e6aa84733eeab"/>
    <w:p>
      <w:pPr>
        <w:pStyle w:val="Heading3"/>
      </w:pPr>
      <w:r>
        <w:t xml:space="preserve">2.4 Tradable tasks and the UK’s partner relationships</w:t>
      </w:r>
    </w:p>
    <w:p>
      <w:pPr>
        <w:pStyle w:val="FirstParagraph"/>
      </w:pPr>
      <w:r>
        <w:t xml:space="preserve">Blinder (2006) argued that whatever can be delivered down a wire is potentially offshorable. Grossman and Rossi-Hansberg (2008) model trade in</w:t>
      </w:r>
      <w:r>
        <w:t xml:space="preserve"> </w:t>
      </w:r>
      <w:r>
        <w:rPr>
          <w:iCs/>
          <w:i/>
        </w:rPr>
        <w:t xml:space="preserve">tasks</w:t>
      </w:r>
      <w: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pPr>
      <w:r>
        <w:t xml:space="preserve">For civil engineering, the mode split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margins to be compared.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pPr>
      <w: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pPr>
      <w:r>
        <w:t xml:space="preserve">2.5 Construction economics versus professional engineering</w:t>
      </w:r>
    </w:p>
    <w:p>
      <w:pPr>
        <w:pStyle w:val="FirstParagraph"/>
      </w:pPr>
      <w: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t xml:space="preserve"> </w:t>
      </w:r>
      <w:r>
        <w:rPr>
          <w:iCs/>
          <w:i/>
        </w:rPr>
        <w:t xml:space="preserve">design and coordination</w:t>
      </w:r>
      <w:r>
        <w:t xml:space="preserve">, which live in NACE M71 and related consultancies, not necessarily in NACE F. Whyte and colleagues on digital delivery similarly locate the information model in professional organisations.</w:t>
      </w:r>
    </w:p>
    <w:p>
      <w:pPr>
        <w:pStyle w:val="BodyText"/>
      </w:pPr>
      <w:r>
        <w:t xml:space="preserve">Eurostat confirms the split. Professional-service enterprises adopted natural-language-generation tools much more rapidly than construction enterprises (Table 2, Figure 3). Felten’s industry exposure scores for highway and heavy-civil contractors are also low. On-site construction is therefore a comparison industry rather than the treated professional industry.</w:t>
      </w:r>
    </w:p>
    <w:bookmarkEnd w:id="26"/>
    <w:bookmarkStart w:id="27" w:name="the-empirical-gap"/>
    <w:p>
      <w:pPr>
        <w:pStyle w:val="Heading3"/>
      </w:pPr>
      <w:r>
        <w:t xml:space="preserve">2.6 The empirical gap</w:t>
      </w:r>
    </w:p>
    <w:p>
      <w:pPr>
        <w:pStyle w:val="FirstParagraph"/>
      </w:pPr>
      <w: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pPr>
      <w:r>
        <w:t xml:space="preserve">2.7 Why the two UK relationships are informative</w:t>
      </w:r>
    </w:p>
    <w:p>
      <w:pPr>
        <w:pStyle w:val="FirstParagraph"/>
      </w:pPr>
      <w: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pPr>
      <w: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w:t>
      </w:r>
      <w:r>
        <w:t xml:space="preserve"> </w:t>
      </w:r>
      <w:r>
        <w:t xml:space="preserve">“</w:t>
      </w:r>
      <w:r>
        <w:t xml:space="preserve">services trade</w:t>
      </w:r>
      <w:r>
        <w:t xml:space="preserve">”</w:t>
      </w:r>
      <w:r>
        <w:t xml:space="preserve"> </w:t>
      </w:r>
      <w:r>
        <w:t xml:space="preserve">from being mistaken for a civil-engineering response.</w:t>
      </w:r>
    </w:p>
    <w:p>
      <w:pPr>
        <w:pStyle w:val="BodyText"/>
      </w:pPr>
      <w: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pPr>
      <w: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r>
        <w:pict>
          <v:rect style="width:0;height:1.5pt" o:hralign="center" o:hrstd="t" o:hr="t"/>
        </w:pict>
      </w:r>
    </w:p>
    <w:bookmarkEnd w:id="28"/>
    <w:bookmarkEnd w:id="29"/>
    <w:bookmarkStart w:id="35" w:name="data"/>
    <w:p>
      <w:pPr>
        <w:pStyle w:val="Heading2"/>
      </w:pPr>
      <w:r>
        <w:t xml:space="preserve">3. Data</w:t>
      </w:r>
    </w:p>
    <w:p>
      <w:pPr>
        <w:pStyle w:val="FirstParagraph"/>
      </w:pPr>
      <w:r>
        <w:t xml:space="preserve">All files are in</w:t>
      </w:r>
      <w:r>
        <w:t xml:space="preserve"> </w:t>
      </w:r>
      <w:r>
        <w:rPr>
          <w:rStyle w:val="VerbatimChar"/>
        </w:rPr>
        <w:t xml:space="preserve">data/</w:t>
      </w:r>
      <w:r>
        <w:t xml:space="preserve"> </w:t>
      </w:r>
      <w:r>
        <w:t xml:space="preserve">of the replication package. Retrieval dates are in</w:t>
      </w:r>
      <w:r>
        <w:t xml:space="preserve"> </w:t>
      </w:r>
      <w:r>
        <w:rPr>
          <w:rStyle w:val="VerbatimChar"/>
        </w:rPr>
        <w:t xml:space="preserve">DATA_SOURCES.md</w:t>
      </w:r>
      <w:r>
        <w:t xml:space="preserve">. Table A in the inventory file records failed pulls (OWID ChatGPT CSVs, IMF AIPI empty JSON, OECD ICT_BUS 404, ILO M71 404). Failed pulls are not filled.</w:t>
      </w:r>
    </w:p>
    <w:bookmarkStart w:id="30" w:name="country-pair-design"/>
    <w:p>
      <w:pPr>
        <w:pStyle w:val="Heading3"/>
      </w:pPr>
      <w:r>
        <w:t xml:space="preserve">3.1 Country-pair design</w:t>
      </w:r>
    </w:p>
    <w:p>
      <w:pPr>
        <w:pStyle w:val="FirstParagraph"/>
      </w:pPr>
      <w: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pPr>
      <w: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pPr>
      <w:r>
        <w:t xml:space="preserve">3.2 AI shock</w:t>
      </w:r>
    </w:p>
    <w:p>
      <w:pPr>
        <w:pStyle w:val="FirstParagraph"/>
      </w:pPr>
      <w:r>
        <w:t xml:space="preserve">Eurostat</w:t>
      </w:r>
      <w:r>
        <w:t xml:space="preserve"> </w:t>
      </w:r>
      <w:r>
        <w:rPr>
          <w:rStyle w:val="VerbatimChar"/>
        </w:rPr>
        <w:t xml:space="preserve">isoc_eb_ain2</w:t>
      </w:r>
      <w:r>
        <w:t xml:space="preserve">, enterprises with 10+ persons, percent using AI:</w:t>
      </w:r>
    </w:p>
    <w:p>
      <w:pPr>
        <w:numPr>
          <w:ilvl w:val="0"/>
          <w:numId w:val="1001"/>
        </w:numPr>
        <w:pStyle w:val="Compact"/>
      </w:pPr>
      <w:r>
        <w:t xml:space="preserve">E_AI_TANY, NACE F and M: generic comparison (</w:t>
      </w:r>
      <w:r>
        <w:rPr>
          <w:rStyle w:val="VerbatimChar"/>
        </w:rPr>
        <w:t xml:space="preserve">eurostat_ai_raw.csv</w:t>
      </w:r>
      <w:r>
        <w:t xml:space="preserve">).</w:t>
      </w:r>
    </w:p>
    <w:p>
      <w:pPr>
        <w:numPr>
          <w:ilvl w:val="0"/>
          <w:numId w:val="1001"/>
        </w:numPr>
        <w:pStyle w:val="Compact"/>
      </w:pPr>
      <w:r>
        <w:t xml:space="preserve">E_AI_TNLG, TML, TTM, TIR, TPVSG, NACE F and M: generative and technology placebos (</w:t>
      </w:r>
      <w:r>
        <w:rPr>
          <w:rStyle w:val="VerbatimChar"/>
        </w:rPr>
        <w:t xml:space="preserve">eurostat_ai_genai_types.csv</w:t>
      </w:r>
      <w:r>
        <w:t xml:space="preserve">). TPVSG (pictures/video/sound) exists for</w:t>
      </w:r>
      <w:r>
        <w:t xml:space="preserve"> </w:t>
      </w:r>
      <w:r>
        <w:rPr>
          <w:bCs/>
          <w:b/>
        </w:rPr>
        <w:t xml:space="preserve">2025 only</w:t>
      </w:r>
      <w:r>
        <w:t xml:space="preserve">.</w:t>
      </w:r>
    </w:p>
    <w:p>
      <w:pPr>
        <w:numPr>
          <w:ilvl w:val="0"/>
          <w:numId w:val="1001"/>
        </w:numPr>
        <w:pStyle w:val="Compact"/>
      </w:pPr>
      <w:r>
        <w:t xml:space="preserve">Same indicators, NACE C, J, N: sector placebos (</w:t>
      </w:r>
      <w:r>
        <w:rPr>
          <w:rStyle w:val="VerbatimChar"/>
        </w:rPr>
        <w:t xml:space="preserve">eurostat_ai_nace_placebos.csv</w:t>
      </w:r>
      <w:r>
        <w:t xml:space="preserve">). NACE K (finance) is empty.</w:t>
      </w:r>
      <w:r>
        <w:t xml:space="preserve"> </w:t>
      </w:r>
      <w:r>
        <w:rPr>
          <w:bCs/>
          <w:b/>
        </w:rPr>
        <w:t xml:space="preserve">NACE M71 is not in the survey</w:t>
      </w:r>
      <w:r>
        <w:t xml:space="preserve"> </w:t>
      </w:r>
      <w:r>
        <w:t xml:space="preserve">(HTTP 400). NACE M is the finest cell that contains M71 firms.</w:t>
      </w:r>
    </w:p>
    <w:p>
      <w:pPr>
        <w:pStyle w:val="FirstParagraph"/>
      </w:pPr>
      <w:r>
        <w:rPr>
          <w:bCs/>
          <w:b/>
        </w:rPr>
        <w:t xml:space="preserve">Preferred shock:</w:t>
      </w:r>
      <w:r>
        <w:t xml:space="preserve"> </w:t>
      </w:r>
      <w:r>
        <w:t xml:space="preserve">ΔTNLG in NACE M, 2024 minus 2023. EU-27 M: 2.60 (2021), 4.55 (2023), 11.51 (2024), 17.74 (2025). Construction: 0.99, 0.58, 2.42, 3.25.</w:t>
      </w:r>
    </w:p>
    <w:bookmarkEnd w:id="31"/>
    <w:bookmarkStart w:id="32" w:name="civil-industry-economy"/>
    <w:p>
      <w:pPr>
        <w:pStyle w:val="Heading3"/>
      </w:pPr>
      <w:r>
        <w:t xml:space="preserve">3.3 Civil industry economy</w:t>
      </w:r>
    </w:p>
    <w:p>
      <w:pPr>
        <w:numPr>
          <w:ilvl w:val="0"/>
          <w:numId w:val="1002"/>
        </w:numPr>
        <w:pStyle w:val="Compact"/>
      </w:pPr>
      <w:r>
        <w:t xml:space="preserve">National accounts</w:t>
      </w:r>
      <w:r>
        <w:t xml:space="preserve"> </w:t>
      </w:r>
      <w:r>
        <w:rPr>
          <w:rStyle w:val="VerbatimChar"/>
        </w:rPr>
        <w:t xml:space="preserve">nama_10_a64</w:t>
      </w:r>
      <w:r>
        <w:t xml:space="preserve"> </w:t>
      </w:r>
      <w:r>
        <w:t xml:space="preserve">/</w:t>
      </w:r>
      <w:r>
        <w:t xml:space="preserve"> </w:t>
      </w:r>
      <w:r>
        <w:rPr>
          <w:rStyle w:val="VerbatimChar"/>
        </w:rPr>
        <w:t xml:space="preserve">_e</w:t>
      </w:r>
      <w:r>
        <w:t xml:space="preserve">: GVA, employment, compensation (D1), output (P1) for M71, F, M. UK M71 GVA/D1 stop in</w:t>
      </w:r>
      <w:r>
        <w:t xml:space="preserve"> </w:t>
      </w:r>
      <w:r>
        <w:rPr>
          <w:bCs/>
          <w:b/>
        </w:rPr>
        <w:t xml:space="preserve">2018</w:t>
      </w:r>
      <w:r>
        <w:t xml:space="preserve">.</w:t>
      </w:r>
    </w:p>
    <w:p>
      <w:pPr>
        <w:numPr>
          <w:ilvl w:val="0"/>
          <w:numId w:val="1002"/>
        </w:numPr>
        <w:pStyle w:val="Compact"/>
      </w:pPr>
      <w:r>
        <w:t xml:space="preserve">Structural business statistics</w:t>
      </w:r>
      <w:r>
        <w:t xml:space="preserve"> </w:t>
      </w:r>
      <w:r>
        <w:rPr>
          <w:rStyle w:val="VerbatimChar"/>
        </w:rPr>
        <w:t xml:space="preserve">sbs_ovw_act</w:t>
      </w:r>
      <w:r>
        <w:t xml:space="preserve"> </w:t>
      </w:r>
      <w:r>
        <w:t xml:space="preserve">and</w:t>
      </w:r>
      <w:r>
        <w:t xml:space="preserve"> </w:t>
      </w:r>
      <w:r>
        <w:rPr>
          <w:rStyle w:val="VerbatimChar"/>
        </w:rPr>
        <w:t xml:space="preserve">sbs_sc_ovw</w:t>
      </w:r>
      <w:r>
        <w:t xml:space="preserve">: M71 vs F vs M, 2021–</w:t>
      </w:r>
      <w:r>
        <w:rPr>
          <w:bCs/>
          <w:b/>
        </w:rPr>
        <w:t xml:space="preserve">2024</w:t>
      </w:r>
      <w:r>
        <w:t xml:space="preserve">, net turnover, persons employed, wages, value added, GOS. This is the industry-economy file that overlaps the 2024 NLG year.</w:t>
      </w:r>
    </w:p>
    <w:p>
      <w:pPr>
        <w:numPr>
          <w:ilvl w:val="0"/>
          <w:numId w:val="1002"/>
        </w:numPr>
        <w:pStyle w:val="Compact"/>
      </w:pPr>
      <w:r>
        <w:t xml:space="preserve">ILOSTAT employment ISIC F vs M (</w:t>
      </w:r>
      <w:r>
        <w:rPr>
          <w:rStyle w:val="VerbatimChar"/>
        </w:rPr>
        <w:t xml:space="preserve">ilo_emp_FM.csv</w:t>
      </w:r>
      <w:r>
        <w:t xml:space="preserve">). China is empty. ISIC M71 is not published (404).</w:t>
      </w:r>
    </w:p>
    <w:p>
      <w:pPr>
        <w:numPr>
          <w:ilvl w:val="0"/>
          <w:numId w:val="1002"/>
        </w:numPr>
        <w:pStyle w:val="Compact"/>
      </w:pPr>
      <w:r>
        <w:t xml:space="preserve">The US BLS series returned NAICS 54 rather than engineering-specific 54133 and is retained only in the supplementary data.</w:t>
      </w:r>
    </w:p>
    <w:p>
      <w:pPr>
        <w:pStyle w:val="FirstParagraph"/>
      </w:pPr>
      <w:r>
        <w:t xml:space="preserve">Values are</w:t>
      </w:r>
      <w:r>
        <w:t xml:space="preserve"> </w:t>
      </w:r>
      <w:r>
        <w:rPr>
          <w:bCs/>
          <w:b/>
        </w:rPr>
        <w:t xml:space="preserve">current prices</w:t>
      </w:r>
      <w:r>
        <w:t xml:space="preserve"> </w:t>
      </w:r>
      <w:r>
        <w:t xml:space="preserve">where applicable. Nominal growth is not a GenAI effect; the DiD asks whether high-NLG countries grew</w:t>
      </w:r>
      <w:r>
        <w:t xml:space="preserve"> </w:t>
      </w:r>
      <w:r>
        <w:rPr>
          <w:iCs/>
          <w:i/>
        </w:rPr>
        <w:t xml:space="preserve">faster</w:t>
      </w:r>
      <w:r>
        <w:t xml:space="preserve">.</w:t>
      </w:r>
    </w:p>
    <w:bookmarkEnd w:id="32"/>
    <w:bookmarkStart w:id="33" w:name="ukindia-and-ukchina-trade-outcomes"/>
    <w:p>
      <w:pPr>
        <w:pStyle w:val="Heading3"/>
      </w:pPr>
      <w:r>
        <w:t xml:space="preserve">3.4 UK–India and UK–China trade outcomes</w:t>
      </w:r>
    </w:p>
    <w:p>
      <w:pPr>
        <w:pStyle w:val="FirstParagraph"/>
      </w:pPr>
      <w:r>
        <w:t xml:space="preserve">OECD–WTO BaTIS, adjustment B, supplies annual bilateral values in USD million from 2015 to 2024.</w:t>
      </w:r>
      <w:r>
        <w:t xml:space="preserve"> </w:t>
      </w:r>
      <w:r>
        <w:rPr>
          <w:rStyle w:val="VerbatimChar"/>
        </w:rPr>
        <w:t xml:space="preserve">batis_uk_india_china.csv</w:t>
      </w:r>
      <w:r>
        <w:t xml:space="preserve"> </w:t>
      </w:r>
      <w:r>
        <w:t xml:space="preserve">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pPr>
      <w:r>
        <w:t xml:space="preserve">For the panel analysis, the headline outcome remains SJ3 imported from India. Chinese SE construction services are the project-delivery comparison. A pooled Mode-1 sample containing two additional exporters is retained as a robustness exercise but is not part of the bilateral narrative.</w:t>
      </w:r>
    </w:p>
    <w:p>
      <w:pPr>
        <w:pStyle w:val="BodyText"/>
      </w:pPr>
      <w:r>
        <w:t xml:space="preserve">World Bank GDP and sector shares are background only (</w:t>
      </w:r>
      <w:r>
        <w:rPr>
          <w:rStyle w:val="VerbatimChar"/>
        </w:rPr>
        <w:t xml:space="preserve">wb_*.json</w:t>
      </w:r>
      <w:r>
        <w:t xml:space="preserve">). Construction value-added indicator</w:t>
      </w:r>
      <w:r>
        <w:t xml:space="preserve"> </w:t>
      </w:r>
      <w:r>
        <w:rPr>
          <w:rStyle w:val="VerbatimChar"/>
        </w:rPr>
        <w:t xml:space="preserve">NV.IND.CONS.ZS</w:t>
      </w:r>
      <w:r>
        <w:t xml:space="preserve"> </w:t>
      </w:r>
      <w:r>
        <w:t xml:space="preserve">is invalid (API 120) and is not invented.</w:t>
      </w:r>
    </w:p>
    <w:bookmarkEnd w:id="33"/>
    <w:bookmarkStart w:id="34" w:name="comparability-and-data-quality"/>
    <w:p>
      <w:pPr>
        <w:pStyle w:val="Heading3"/>
      </w:pPr>
      <w:r>
        <w:t xml:space="preserve">3.5 Comparability and data quality</w:t>
      </w:r>
    </w:p>
    <w:p>
      <w:pPr>
        <w:pStyle w:val="FirstParagraph"/>
      </w:pPr>
      <w: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pPr>
      <w: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pPr>
      <w: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r>
        <w:pict>
          <v:rect style="width:0;height:1.5pt" o:hralign="center" o:hrstd="t" o:hr="t"/>
        </w:pict>
      </w:r>
    </w:p>
    <w:bookmarkEnd w:id="34"/>
    <w:bookmarkEnd w:id="35"/>
    <w:bookmarkStart w:id="40" w:name="empirical-design"/>
    <w:p>
      <w:pPr>
        <w:pStyle w:val="Heading2"/>
      </w:pPr>
      <w:r>
        <w:t xml:space="preserve">4. Empirical design</w:t>
      </w:r>
    </w:p>
    <w:bookmarkStart w:id="36" w:name="trade-equation"/>
    <w:p>
      <w:pPr>
        <w:pStyle w:val="Heading3"/>
      </w:pPr>
      <w:r>
        <w:t xml:space="preserve">4.1 Trade equation</w:t>
      </w:r>
    </w:p>
    <w:p>
      <w:pPr>
        <w:pStyle w:val="FirstParagraph"/>
      </w:pPr>
      <w:r>
        <w:t xml:space="preserve">For EU importers (i), the preferred India specification for (t = 2018,</w:t>
      </w:r>
      <w:r>
        <w:t xml:space="preserve">,2024) is:</w:t>
      </w:r>
    </w:p>
    <w:p>
      <w:pPr>
        <w:pStyle w:val="BodyText"/>
      </w:pPr>
      <w:r>
        <w:t xml:space="preserve">[</w:t>
      </w:r>
      <w:r>
        <w:t xml:space="preserve"> </w:t>
      </w:r>
      <w:r>
        <w:t xml:space="preserve">M^{SJ3,IND}_{it}=</w:t>
      </w:r>
      <w:r>
        <w:t xml:space="preserve">_i+</w:t>
      </w:r>
      <w:r>
        <w:rPr>
          <w:iCs/>
          <w:i/>
        </w:rPr>
        <w:t xml:space="preserve">t+</w:t>
      </w:r>
      <w:r>
        <w:rPr>
          <w:iCs/>
          <w:i/>
        </w:rPr>
        <w:t xml:space="preserve">(</w:t>
      </w:r>
      <w:r>
        <w:rPr>
          <w:iCs/>
          <w:i/>
        </w:rPr>
        <w:t xml:space="preserve">[t</w:t>
      </w:r>
      <w:r>
        <w:rPr>
          <w:iCs/>
          <w:i/>
        </w:rPr>
        <w:t xml:space="preserve">t_0]</w:t>
      </w:r>
      <w:r>
        <w:rPr>
          <w:iCs/>
          <w:i/>
        </w:rPr>
        <w:t xml:space="preserve">TNLG_i</w:t>
      </w:r>
      <w:r>
        <w:rPr>
          <w:iCs/>
          <w:i/>
        </w:rPr>
        <w:t xml:space="preserve">)+</w:t>
      </w:r>
      <w:r>
        <w:t xml:space="preserve">{it}.</w:t>
      </w:r>
      <w:r>
        <w:t xml:space="preserve"> </w:t>
      </w:r>
      <w:r>
        <w:t xml:space="preserve">]</w:t>
      </w:r>
    </w:p>
    <w:p>
      <w:pPr>
        <w:pStyle w:val="BodyText"/>
      </w:pPr>
      <w:r>
        <w:t xml:space="preserve">Standard errors are clustered by importer after an iterative within transformation. (t_0=2023) is reported; (t_0=2024) matches the year BaTIS still covers after the NLG jump. The India-only panel contains 119 importer-year observations. The pooled Mode-1 robustness model adds partner fixed effects and has 357 observations.</w:t>
      </w:r>
    </w:p>
    <w:p>
      <w:pPr>
        <w:pStyle w:val="BodyText"/>
      </w:pPr>
      <w:r>
        <w:t xml:space="preserve">Comparisons replace Indian SJ3 with Indian SI, Chinese SE or Chinese SJ3, or replace ΔTNLG-M with generic any-AI and other technology measures. Event studies interact year dummies with ΔTNLG, omitting 2022.</w:t>
      </w:r>
    </w:p>
    <w:p>
      <w:pPr>
        <w:pStyle w:val="BodyText"/>
      </w:pPr>
      <w: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pPr>
      <w:r>
        <w:t xml:space="preserve">4.2 Industry-economy equation</w:t>
      </w:r>
    </w:p>
    <w:p>
      <w:pPr>
        <w:pStyle w:val="FirstParagraph"/>
      </w:pPr>
      <w:r>
        <w:t xml:space="preserve">[</w:t>
      </w:r>
      <w:r>
        <w:t xml:space="preserve"> </w:t>
      </w:r>
      <w:r>
        <w:t xml:space="preserve">Y^{M71}_{it}=</w:t>
      </w:r>
      <w:r>
        <w:t xml:space="preserve">_i+</w:t>
      </w:r>
      <w:r>
        <w:rPr>
          <w:iCs/>
          <w:i/>
        </w:rPr>
        <w:t xml:space="preserve">t+</w:t>
      </w:r>
      <w:r>
        <w:rPr>
          <w:iCs/>
          <w:i/>
        </w:rPr>
        <w:t xml:space="preserve">(</w:t>
      </w:r>
      <w:r>
        <w:rPr>
          <w:iCs/>
          <w:i/>
        </w:rPr>
        <w:t xml:space="preserve">[t</w:t>
      </w:r>
      <w:r>
        <w:rPr>
          <w:iCs/>
          <w:i/>
        </w:rPr>
        <w:t xml:space="preserve">]</w:t>
      </w:r>
      <w:r>
        <w:rPr>
          <w:iCs/>
          <w:i/>
        </w:rPr>
        <w:t xml:space="preserve">TNLG_i</w:t>
      </w:r>
      <w:r>
        <w:rPr>
          <w:iCs/>
          <w:i/>
        </w:rPr>
        <w:t xml:space="preserve">)+u</w:t>
      </w:r>
      <w:r>
        <w:t xml:space="preserve">{it},</w:t>
      </w:r>
      <w:r>
        <w:t xml:space="preserve"> </w:t>
      </w:r>
      <w:r>
        <w:t xml:space="preserve">]</w:t>
      </w:r>
    </w:p>
    <w:p>
      <w:pPr>
        <w:pStyle w:val="BodyText"/>
      </w:pPr>
      <w:r>
        <w:t xml:space="preserve">(Y</w:t>
      </w:r>
      <w:r>
        <w:t xml:space="preserve"> </w:t>
      </w:r>
      <w:r>
        <w:t xml:space="preserve">{</w:t>
      </w:r>
      <w:r>
        <w:t xml:space="preserve">}), SBS 2021–2024, 17 countries ((N=68)). Construction F and all-professional M are placebos. National-accounts GVA/D1/P1 use post-2023 because those series largely end in 2023.</w:t>
      </w:r>
    </w:p>
    <w:bookmarkEnd w:id="37"/>
    <w:bookmarkStart w:id="38" w:name="what-is-not-identified"/>
    <w:p>
      <w:pPr>
        <w:pStyle w:val="Heading3"/>
      </w:pPr>
      <w:r>
        <w:t xml:space="preserve">4.3 What is not identified</w:t>
      </w:r>
    </w:p>
    <w:p>
      <w:pPr>
        <w:pStyle w:val="FirstParagraph"/>
      </w:pPr>
      <w: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w:t>
      </w:r>
    </w:p>
    <w:bookmarkEnd w:id="38"/>
    <w:bookmarkStart w:id="39" w:name="interpreting-the-two-empirical-layers"/>
    <w:p>
      <w:pPr>
        <w:pStyle w:val="Heading3"/>
      </w:pPr>
      <w:r>
        <w:t xml:space="preserve">4.4 Interpreting the two empirical layers</w:t>
      </w:r>
    </w:p>
    <w:p>
      <w:pPr>
        <w:pStyle w:val="FirstParagraph"/>
      </w:pPr>
      <w: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pPr>
      <w: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pPr>
      <w: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pPr>
      <w: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r>
        <w:pict>
          <v:rect style="width:0;height:1.5pt" o:hralign="center" o:hrstd="t" o:hr="t"/>
        </w:pict>
      </w:r>
    </w:p>
    <w:bookmarkEnd w:id="39"/>
    <w:bookmarkEnd w:id="40"/>
    <w:bookmarkStart w:id="47" w:name="results"/>
    <w:p>
      <w:pPr>
        <w:pStyle w:val="Heading2"/>
      </w:pPr>
      <w:r>
        <w:t xml:space="preserve">5. Results</w:t>
      </w:r>
    </w:p>
    <w:bookmarkStart w:id="41" w:name="X8228d7849e047ca85d40660cfc044a4a8ef1ddf"/>
    <w:p>
      <w:pPr>
        <w:pStyle w:val="Heading3"/>
      </w:pPr>
      <w:r>
        <w:t xml:space="preserve">5.1 The UK–China relationship (Figures 1–2, Table 1)</w:t>
      </w:r>
    </w:p>
    <w:p>
      <w:pPr>
        <w:pStyle w:val="FirstParagraph"/>
      </w:pPr>
      <w: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pPr>
      <w: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pPr>
      <w:r>
        <w:t xml:space="preserve">5.2 The UK–India relationship (Figures 1–2, Table 1)</w:t>
      </w:r>
    </w:p>
    <w:p>
      <w:pPr>
        <w:pStyle w:val="FirstParagraph"/>
      </w:pPr>
      <w: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pPr>
      <w: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pPr>
      <w: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3a4013f46837979d325d8e59d7ed2ca09716231"/>
    <w:p>
      <w:pPr>
        <w:pStyle w:val="Heading3"/>
      </w:pPr>
      <w:r>
        <w:t xml:space="preserve">5.3 Generic any-AI is the wrong shock (Table 2)</w:t>
      </w:r>
    </w:p>
    <w:p>
      <w:pPr>
        <w:pStyle w:val="FirstParagraph"/>
      </w:pPr>
      <w:r>
        <w:t xml:space="preserve">The generic any-AI measure produces little evidence of a trade relationship. In the 16-member sample, the post-shock interaction between the change in NACE M</w:t>
      </w:r>
      <w:r>
        <w:t xml:space="preserve"> </w:t>
      </w:r>
      <w:r>
        <w:t xml:space="preserve">“</w:t>
      </w:r>
      <w:r>
        <w:t xml:space="preserve">any AI</w:t>
      </w:r>
      <w:r>
        <w:t xml:space="preserve">”</w:t>
      </w:r>
      <w:r>
        <w:t xml:space="preserve"> </w:t>
      </w:r>
      <w:r>
        <w:t xml:space="preserve">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pPr>
      <w:r>
        <w:t xml:space="preserve">5.4 Preferred shock and Indian SJ3 (Figures 3–4, Tables 2–3)</w:t>
      </w:r>
    </w:p>
    <w:p>
      <w:pPr>
        <w:pStyle w:val="FirstParagraph"/>
      </w:pPr>
      <w:r>
        <w:t xml:space="preserve">NLG use in professional services rose sharply between 2023 and 2024, although the size of the change differed substantially across EU members (Figure 3). This cross-sectional variation identifies the preferred specification. In the pooled Mode-1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pPr>
      <w: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pPr>
      <w: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Mode-1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pPr>
      <w:r>
        <w:t xml:space="preserve">5.5 Domestic M71 industry economy (Figure 5, Table 4)</w:t>
      </w:r>
    </w:p>
    <w:p>
      <w:pPr>
        <w:pStyle w:val="FirstParagraph"/>
      </w:pPr>
      <w: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pPr>
      <w: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pPr>
      <w: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98b516b74e56e31c48b2e7f0101a67b4d8a105b"/>
    <w:p>
      <w:pPr>
        <w:pStyle w:val="Heading3"/>
      </w:pPr>
      <w:r>
        <w:t xml:space="preserve">5.6 India and China in the importer panel (Tables 2–3)</w:t>
      </w:r>
    </w:p>
    <w:p>
      <w:pPr>
        <w:pStyle w:val="FirstParagraph"/>
      </w:pPr>
      <w:r>
        <w:t xml:space="preserve">The panel comparison helps distinguish the bilateral trends from the NLG association. Indian SJ3 has a positive post-shock coefficient of 0.021 (0.008), while Chinese construction services have a coefficient of −0.008 (0.009). Chinese SJ3 is also null. When Chinese construction exports are divided by destination adoption, exports to lower-TNLG destinations increased by 65% between 2019 and 2024, compared with 47% for higher-TNLG destinations. Project-based Chinese services did not reorient toward the importers with the largest NLG increase.</w:t>
      </w:r>
    </w:p>
    <w:p>
      <w:pPr>
        <w:pStyle w:val="BodyText"/>
      </w:pPr>
      <w: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r>
        <w:pict>
          <v:rect style="width:0;height:1.5pt" o:hralign="center" o:hrstd="t" o:hr="t"/>
        </w:pict>
      </w:r>
    </w:p>
    <w:bookmarkEnd w:id="46"/>
    <w:bookmarkEnd w:id="47"/>
    <w:bookmarkStart w:id="48" w:name="discussion"/>
    <w:p>
      <w:pPr>
        <w:pStyle w:val="Heading2"/>
      </w:pPr>
      <w:r>
        <w:t xml:space="preserve">6. Discussion</w:t>
      </w:r>
    </w:p>
    <w:p>
      <w:pPr>
        <w:pStyle w:val="FirstParagraph"/>
      </w:pPr>
      <w: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pPr>
      <w: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pPr>
      <w: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pPr>
      <w: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pPr>
      <w: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pPr>
      <w: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pPr>
      <w: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pPr>
      <w: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pPr>
      <w:r>
        <w:t xml:space="preserve">The results therefore support a restrained interpretation.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r>
        <w:pict>
          <v:rect style="width:0;height:1.5pt" o:hralign="center" o:hrstd="t" o:hr="t"/>
        </w:pict>
      </w:r>
    </w:p>
    <w:bookmarkEnd w:id="48"/>
    <w:bookmarkStart w:id="49" w:name="limitations"/>
    <w:p>
      <w:pPr>
        <w:pStyle w:val="Heading2"/>
      </w:pPr>
      <w:r>
        <w:t xml:space="preserve">7. Limitations</w:t>
      </w:r>
    </w:p>
    <w:p>
      <w:pPr>
        <w:pStyle w:val="FirstParagraph"/>
      </w:pPr>
      <w: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pPr>
      <w: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pPr>
      <w: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 APS estimates are subject to sampling variation and are used descriptively.</w:t>
      </w:r>
    </w:p>
    <w:p>
      <w:pPr>
        <w:pStyle w:val="BodyText"/>
      </w:pPr>
      <w: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r>
        <w:pict>
          <v:rect style="width:0;height:1.5pt" o:hralign="center" o:hrstd="t" o:hr="t"/>
        </w:pict>
      </w:r>
    </w:p>
    <w:bookmarkEnd w:id="49"/>
    <w:bookmarkStart w:id="50" w:name="conclusion"/>
    <w:p>
      <w:pPr>
        <w:pStyle w:val="Heading2"/>
      </w:pPr>
      <w:r>
        <w:t xml:space="preserve">8. Conclusion</w:t>
      </w:r>
    </w:p>
    <w:p>
      <w:pPr>
        <w:pStyle w:val="FirstParagraph"/>
      </w:pPr>
      <w: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pPr>
      <w: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pPr>
      <w: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Acemoglu, D., &amp; Restrepo, P. (2018). The race between man and machine: Implications of technology for growth, factor shares, and employment.</w:t>
      </w:r>
      <w:r>
        <w:t xml:space="preserve"> </w:t>
      </w:r>
      <w:r>
        <w:rPr>
          <w:iCs/>
          <w:i/>
        </w:rPr>
        <w:t xml:space="preserve">American Economic Review</w:t>
      </w:r>
      <w:r>
        <w:t xml:space="preserve">, 108(6), 1488–1542.</w:t>
      </w:r>
    </w:p>
    <w:p>
      <w:pPr>
        <w:pStyle w:val="BodyText"/>
      </w:pPr>
      <w:r>
        <w:t xml:space="preserve">Acemoglu, D., &amp; Restrepo, P. (2019). Automation and new tasks: How technology displaces and reinstates labor.</w:t>
      </w:r>
      <w:r>
        <w:t xml:space="preserve"> </w:t>
      </w:r>
      <w:r>
        <w:rPr>
          <w:iCs/>
          <w:i/>
        </w:rPr>
        <w:t xml:space="preserve">Journal of Economic Perspectives</w:t>
      </w:r>
      <w:r>
        <w:t xml:space="preserve">, 33(2), 3–30.</w:t>
      </w:r>
    </w:p>
    <w:p>
      <w:pPr>
        <w:pStyle w:val="BodyText"/>
      </w:pPr>
      <w:r>
        <w:t xml:space="preserve">Acemoglu, D., &amp; Restrepo, P. (2020). Robots and jobs: Evidence from US labor markets.</w:t>
      </w:r>
      <w:r>
        <w:t xml:space="preserve"> </w:t>
      </w:r>
      <w:r>
        <w:rPr>
          <w:iCs/>
          <w:i/>
        </w:rPr>
        <w:t xml:space="preserve">Journal of Political Economy</w:t>
      </w:r>
      <w:r>
        <w:t xml:space="preserve">, 128(6), 2188–2244.</w:t>
      </w:r>
    </w:p>
    <w:p>
      <w:pPr>
        <w:pStyle w:val="BodyText"/>
      </w:pPr>
      <w:r>
        <w:t xml:space="preserve">Acemoglu, D., Autor, D., Hazell, J., &amp; Restrepo, P. (2022). Artificial intelligence and jobs: Evidence from online vacancies.</w:t>
      </w:r>
      <w:r>
        <w:t xml:space="preserve"> </w:t>
      </w:r>
      <w:r>
        <w:rPr>
          <w:iCs/>
          <w:i/>
        </w:rPr>
        <w:t xml:space="preserve">Journal of Labor Economics</w:t>
      </w:r>
      <w:r>
        <w:t xml:space="preserve">, 40(S1), S293–S340.</w:t>
      </w:r>
    </w:p>
    <w:p>
      <w:pPr>
        <w:pStyle w:val="BodyText"/>
      </w:pPr>
      <w:r>
        <w:t xml:space="preserve">Agrawal, A., Gans, J., &amp; Goldfarb, A. (2018).</w:t>
      </w:r>
      <w:r>
        <w:t xml:space="preserve"> </w:t>
      </w:r>
      <w:r>
        <w:rPr>
          <w:iCs/>
          <w:i/>
        </w:rPr>
        <w:t xml:space="preserve">Prediction machines: The simple economics of artificial intelligence</w:t>
      </w:r>
      <w:r>
        <w:t xml:space="preserve">. Harvard Business Review Press.</w:t>
      </w:r>
    </w:p>
    <w:p>
      <w:pPr>
        <w:pStyle w:val="BodyText"/>
      </w:pPr>
      <w:r>
        <w:t xml:space="preserve">Agrawal, A., Gans, J., &amp; Goldfarb, A. (2022).</w:t>
      </w:r>
      <w:r>
        <w:t xml:space="preserve"> </w:t>
      </w:r>
      <w:r>
        <w:rPr>
          <w:iCs/>
          <w:i/>
        </w:rPr>
        <w:t xml:space="preserve">Power and prediction: The disruptive economics of artificial intelligence</w:t>
      </w:r>
      <w:r>
        <w:t xml:space="preserve">. Harvard Business Review Press.</w:t>
      </w:r>
    </w:p>
    <w:p>
      <w:pPr>
        <w:pStyle w:val="BodyText"/>
      </w:pPr>
      <w:r>
        <w:t xml:space="preserve">Autor, D. H. (2015). Why are there still so many jobs? The history and future of workplace automation.</w:t>
      </w:r>
      <w:r>
        <w:t xml:space="preserve"> </w:t>
      </w:r>
      <w:r>
        <w:rPr>
          <w:iCs/>
          <w:i/>
        </w:rPr>
        <w:t xml:space="preserve">Journal of Economic Perspectives</w:t>
      </w:r>
      <w:r>
        <w:t xml:space="preserve">, 29(3), 3–30.</w:t>
      </w:r>
    </w:p>
    <w:p>
      <w:pPr>
        <w:pStyle w:val="BodyText"/>
      </w:pPr>
      <w:r>
        <w:t xml:space="preserve">Autor, D. H., Levy, F., &amp; Murnane, R. J. (2003). The skill content of recent technological change: An empirical exploration.</w:t>
      </w:r>
      <w:r>
        <w:t xml:space="preserve"> </w:t>
      </w:r>
      <w:r>
        <w:rPr>
          <w:iCs/>
          <w:i/>
        </w:rPr>
        <w:t xml:space="preserve">Quarterly Journal of Economics</w:t>
      </w:r>
      <w:r>
        <w:t xml:space="preserve">, 118(4), 1279–1333.</w:t>
      </w:r>
    </w:p>
    <w:p>
      <w:pPr>
        <w:pStyle w:val="BodyText"/>
      </w:pPr>
      <w:r>
        <w:t xml:space="preserve">Autor, D., Mindell, D., &amp; Reynolds, E. (2022).</w:t>
      </w:r>
      <w:r>
        <w:t xml:space="preserve"> </w:t>
      </w:r>
      <w:r>
        <w:rPr>
          <w:iCs/>
          <w:i/>
        </w:rPr>
        <w:t xml:space="preserve">The work of the future: Building better jobs in an age of intelligent machines</w:t>
      </w:r>
      <w:r>
        <w:t xml:space="preserve">. MIT Press.</w:t>
      </w:r>
    </w:p>
    <w:p>
      <w:pPr>
        <w:pStyle w:val="BodyText"/>
      </w:pPr>
      <w:r>
        <w:t xml:space="preserve">Baldwin, R. (2016).</w:t>
      </w:r>
      <w:r>
        <w:t xml:space="preserve"> </w:t>
      </w:r>
      <w:r>
        <w:rPr>
          <w:iCs/>
          <w:i/>
        </w:rPr>
        <w:t xml:space="preserve">The great convergence: Information technology and the new globalization</w:t>
      </w:r>
      <w:r>
        <w:t xml:space="preserve">. Harvard University Press.</w:t>
      </w:r>
    </w:p>
    <w:p>
      <w:pPr>
        <w:pStyle w:val="BodyText"/>
      </w:pPr>
      <w:r>
        <w:t xml:space="preserve">Baldwin, R. (2019).</w:t>
      </w:r>
      <w:r>
        <w:t xml:space="preserve"> </w:t>
      </w:r>
      <w:r>
        <w:rPr>
          <w:iCs/>
          <w:i/>
        </w:rPr>
        <w:t xml:space="preserve">The globotics upheaval: Globalization, robotics, and the future of work</w:t>
      </w:r>
      <w:r>
        <w:t xml:space="preserve">. Oxford University Press.</w:t>
      </w:r>
    </w:p>
    <w:p>
      <w:pPr>
        <w:pStyle w:val="BodyText"/>
      </w:pPr>
      <w:r>
        <w:t xml:space="preserve">Blinder, A. S. (2006). Offshoring: The next industrial revolution?</w:t>
      </w:r>
      <w:r>
        <w:t xml:space="preserve"> </w:t>
      </w:r>
      <w:r>
        <w:rPr>
          <w:iCs/>
          <w:i/>
        </w:rPr>
        <w:t xml:space="preserve">Foreign Affairs</w:t>
      </w:r>
      <w:r>
        <w:t xml:space="preserve">, 85(2), 113–128.</w:t>
      </w:r>
    </w:p>
    <w:p>
      <w:pPr>
        <w:pStyle w:val="BodyText"/>
      </w:pPr>
      <w:r>
        <w:t xml:space="preserve">Brynjolfsson, E., Li, D., &amp; Raymond, L. (2025). Generative AI at work.</w:t>
      </w:r>
      <w:r>
        <w:t xml:space="preserve"> </w:t>
      </w:r>
      <w:r>
        <w:rPr>
          <w:iCs/>
          <w:i/>
        </w:rPr>
        <w:t xml:space="preserve">Quarterly Journal of Economics</w:t>
      </w:r>
      <w:r>
        <w:t xml:space="preserve">, 140(2), 889–942.</w:t>
      </w:r>
    </w:p>
    <w:p>
      <w:pPr>
        <w:pStyle w:val="BodyText"/>
      </w:pPr>
      <w:r>
        <w:t xml:space="preserve">Dell’Acqua, F., McFowland, E., Mollick, E.,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BodyText"/>
      </w:pPr>
      <w:r>
        <w:t xml:space="preserve">Eastman, C., Teicholz, P., Sacks, R., &amp; Liston, K. (2011).</w:t>
      </w:r>
      <w:r>
        <w:t xml:space="preserve"> </w:t>
      </w:r>
      <w:r>
        <w:rPr>
          <w:iCs/>
          <w:i/>
        </w:rPr>
        <w:t xml:space="preserve">BIM handbook: A guide to building information modeling</w:t>
      </w:r>
      <w:r>
        <w:t xml:space="preserve"> </w:t>
      </w:r>
      <w:r>
        <w:t xml:space="preserve">(2nd ed.). Wiley.</w:t>
      </w:r>
    </w:p>
    <w:p>
      <w:pPr>
        <w:pStyle w:val="BodyText"/>
      </w:pPr>
      <w:r>
        <w:t xml:space="preserve">Eloundou, T., Manning, S., Mishkin, P., &amp; Rock, D. (2023). GPTs are GPTs: An early look at the labor market impact potential of large language models. arXiv:2303.10130.</w:t>
      </w:r>
    </w:p>
    <w:p>
      <w:pPr>
        <w:pStyle w:val="BodyText"/>
      </w:pPr>
      <w:r>
        <w:t xml:space="preserve">Eloundou, T., Manning, S., Mishkin, P., &amp; Rock, D. (2024). GPTs are GPTs: Labor market impact potential of LLMs.</w:t>
      </w:r>
      <w:r>
        <w:t xml:space="preserve"> </w:t>
      </w:r>
      <w:r>
        <w:rPr>
          <w:iCs/>
          <w:i/>
        </w:rPr>
        <w:t xml:space="preserve">Science</w:t>
      </w:r>
      <w:r>
        <w:t xml:space="preserve">, 384(6702), 1306–1308.</w:t>
      </w:r>
    </w:p>
    <w:p>
      <w:pPr>
        <w:pStyle w:val="BodyText"/>
      </w:pPr>
      <w:r>
        <w:t xml:space="preserve">Eurostat. (2024–2026). ICT usage in enterprises: Artificial intelligence (</w:t>
      </w:r>
      <w:r>
        <w:rPr>
          <w:rStyle w:val="VerbatimChar"/>
        </w:rPr>
        <w:t xml:space="preserve">isoc_eb_ain2</w:t>
      </w:r>
      <w:r>
        <w:t xml:space="preserve">); national accounts (</w:t>
      </w:r>
      <w:r>
        <w:rPr>
          <w:rStyle w:val="VerbatimChar"/>
        </w:rPr>
        <w:t xml:space="preserve">nama_10_a64</w:t>
      </w:r>
      <w:r>
        <w:t xml:space="preserve">); structural business statistics (</w:t>
      </w:r>
      <w:r>
        <w:rPr>
          <w:rStyle w:val="VerbatimChar"/>
        </w:rPr>
        <w:t xml:space="preserve">sbs_ovw_act</w:t>
      </w:r>
      <w:r>
        <w:t xml:space="preserve">,</w:t>
      </w:r>
      <w:r>
        <w:t xml:space="preserve"> </w:t>
      </w:r>
      <w:r>
        <w:rPr>
          <w:rStyle w:val="VerbatimChar"/>
        </w:rPr>
        <w:t xml:space="preserve">sbs_sc_ovw</w:t>
      </w:r>
      <w:r>
        <w:t xml:space="preserve">). Luxembourg: European Commission.</w:t>
      </w:r>
    </w:p>
    <w:p>
      <w:pPr>
        <w:pStyle w:val="BodyText"/>
      </w:pPr>
      <w:r>
        <w:t xml:space="preserve">Felten, E., Raj, M., &amp; Seamans, R. (2018). A method to link advances in artificial intelligence to occupational abilities.</w:t>
      </w:r>
      <w:r>
        <w:t xml:space="preserve"> </w:t>
      </w:r>
      <w:r>
        <w:rPr>
          <w:iCs/>
          <w:i/>
        </w:rPr>
        <w:t xml:space="preserve">AEA Papers and Proceedings</w:t>
      </w:r>
      <w:r>
        <w:t xml:space="preserve">, 108, 54–57.</w:t>
      </w:r>
    </w:p>
    <w:p>
      <w:pPr>
        <w:pStyle w:val="BodyText"/>
      </w:pPr>
      <w:r>
        <w:t xml:space="preserve">Felten, E., Raj, M., &amp; Seamans, R. (2021). Occupational, industry, and geographic exposure to artificial intelligence: A novel dataset and its potential uses.</w:t>
      </w:r>
      <w:r>
        <w:t xml:space="preserve"> </w:t>
      </w:r>
      <w:r>
        <w:rPr>
          <w:iCs/>
          <w:i/>
        </w:rPr>
        <w:t xml:space="preserve">Strategic Management Journal</w:t>
      </w:r>
      <w:r>
        <w:t xml:space="preserve">, 42(12), 2195–2217.</w:t>
      </w:r>
    </w:p>
    <w:p>
      <w:pPr>
        <w:pStyle w:val="BodyText"/>
      </w:pPr>
      <w:r>
        <w:t xml:space="preserve">Fortanier, F., Liberatore, A., Maurer, A., &amp; Pilgrim, G. (2017). The OECD–WTO Balanced Trade in Services database. OECD/WTO.</w:t>
      </w:r>
    </w:p>
    <w:p>
      <w:pPr>
        <w:pStyle w:val="BodyText"/>
      </w:pPr>
      <w:r>
        <w:t xml:space="preserve">Francois, J., &amp; Hoekman, B. (2010). Services trade and policy.</w:t>
      </w:r>
      <w:r>
        <w:t xml:space="preserve"> </w:t>
      </w:r>
      <w:r>
        <w:rPr>
          <w:iCs/>
          <w:i/>
        </w:rPr>
        <w:t xml:space="preserve">Journal of Economic Literature</w:t>
      </w:r>
      <w:r>
        <w:t xml:space="preserve">, 48(3), 642–692.</w:t>
      </w:r>
    </w:p>
    <w:p>
      <w:pPr>
        <w:pStyle w:val="BodyText"/>
      </w:pPr>
      <w:r>
        <w:t xml:space="preserve">Gann, D. M., &amp; Salter, A. J. (2000). Innovation in project-based, service-enhanced firms: The construction of complex products and systems.</w:t>
      </w:r>
      <w:r>
        <w:t xml:space="preserve"> </w:t>
      </w:r>
      <w:r>
        <w:rPr>
          <w:iCs/>
          <w:i/>
        </w:rPr>
        <w:t xml:space="preserve">Research Policy</w:t>
      </w:r>
      <w:r>
        <w:t xml:space="preserve">, 29(7–8), 955–972.</w:t>
      </w:r>
    </w:p>
    <w:p>
      <w:pPr>
        <w:pStyle w:val="BodyText"/>
      </w:pPr>
      <w:r>
        <w:t xml:space="preserve">Goldfarb, A., Taska, B., &amp; Teodoridis, F. (2023). Could machine learning be a general purpose technology? A comparison of emerging methods and technology categories.</w:t>
      </w:r>
      <w:r>
        <w:t xml:space="preserve"> </w:t>
      </w:r>
      <w:r>
        <w:rPr>
          <w:iCs/>
          <w:i/>
        </w:rPr>
        <w:t xml:space="preserve">Research Policy</w:t>
      </w:r>
      <w:r>
        <w:t xml:space="preserve"> </w:t>
      </w:r>
      <w:r>
        <w:t xml:space="preserve">(related vacancy/AI-skill work).</w:t>
      </w:r>
    </w:p>
    <w:p>
      <w:pPr>
        <w:pStyle w:val="BodyText"/>
      </w:pPr>
      <w:r>
        <w:t xml:space="preserve">Grossman, G. M., &amp; Rossi-Hansberg, E. (2008). Trading tasks: A simple theory of offshoring.</w:t>
      </w:r>
      <w:r>
        <w:t xml:space="preserve"> </w:t>
      </w:r>
      <w:r>
        <w:rPr>
          <w:iCs/>
          <w:i/>
        </w:rPr>
        <w:t xml:space="preserve">American Economic Review</w:t>
      </w:r>
      <w:r>
        <w:t xml:space="preserve">, 98(5), 1978–1997.</w:t>
      </w:r>
    </w:p>
    <w:p>
      <w:pPr>
        <w:pStyle w:val="BodyTex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w:t>
      </w:r>
    </w:p>
    <w:p>
      <w:pPr>
        <w:pStyle w:val="BodyText"/>
      </w:pPr>
      <w:r>
        <w:t xml:space="preserve">ILO &amp; NASK. (2023).</w:t>
      </w:r>
      <w:r>
        <w:t xml:space="preserve"> </w:t>
      </w:r>
      <w:r>
        <w:rPr>
          <w:iCs/>
          <w:i/>
        </w:rPr>
        <w:t xml:space="preserve">Generative AI and jobs: A global analysis of potential effects on job quantity and quality</w:t>
      </w:r>
      <w:r>
        <w:t xml:space="preserve"> </w:t>
      </w:r>
      <w:r>
        <w:t xml:space="preserve">(ILO Working Paper 140). Geneva: International Labour Organization.</w:t>
      </w:r>
    </w:p>
    <w:p>
      <w:pPr>
        <w:pStyle w:val="BodyText"/>
      </w:pPr>
      <w:r>
        <w:t xml:space="preserve">Korinek, A., &amp; Stiglitz, J. E. (2021). Artificial intelligence, globalization, and strategies for economic development. NBER Working Paper 28453.</w:t>
      </w:r>
    </w:p>
    <w:p>
      <w:pPr>
        <w:pStyle w:val="BodyText"/>
      </w:pPr>
      <w:r>
        <w:t xml:space="preserve">Loungani, P., Mishra, S., Papageorgiou, C., &amp; Wang, K. (2017). World trade in services: Evidence from a new dataset. IMF Working Paper 17/77.</w:t>
      </w:r>
    </w:p>
    <w:p>
      <w:pPr>
        <w:pStyle w:val="BodyText"/>
      </w:pPr>
      <w:r>
        <w:t xml:space="preserve">Microsoft. (2026).</w:t>
      </w:r>
      <w:r>
        <w:t xml:space="preserve"> </w:t>
      </w:r>
      <w:r>
        <w:rPr>
          <w:iCs/>
          <w:i/>
        </w:rPr>
        <w:t xml:space="preserve">AI Diffusion Report</w:t>
      </w:r>
      <w:r>
        <w:t xml:space="preserve">, Q1 2026 update (user-share snapshot; not used as 2015–24 shock).</w:t>
      </w:r>
    </w:p>
    <w:p>
      <w:pPr>
        <w:pStyle w:val="BodyTex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pStyle w:val="BodyText"/>
      </w:pPr>
      <w:r>
        <w:t xml:space="preserve">OECD &amp; WTO. BaTIS: Balanced Trade in Services dataset, BPM6, adjustment B.</w:t>
      </w:r>
    </w:p>
    <w:p>
      <w:pPr>
        <w:pStyle w:val="BodyText"/>
      </w:pPr>
      <w:r>
        <w:t xml:space="preserve">Office for National Statistics. (2019). Which occupations are at highest risk of being automated? (Table 9, SOC 2010). APS SOC 2020 employment extracts used in the supplementary materials.</w:t>
      </w:r>
    </w:p>
    <w:p>
      <w:pPr>
        <w:pStyle w:val="BodyText"/>
      </w:pPr>
      <w:r>
        <w:t xml:space="preserve">Peng, S., Kalliamvakou, E., Cihon, P., &amp; Demirer, M. (2023). The impact of AI on developer productivity: Evidence from GitHub Copilot. arXiv:2302.06590.</w:t>
      </w:r>
    </w:p>
    <w:p>
      <w:pPr>
        <w:pStyle w:val="BodyText"/>
      </w:pPr>
      <w:r>
        <w:t xml:space="preserve">Sacks, R., Eastman, C., Lee, G., &amp; Teicholz, P. (2018).</w:t>
      </w:r>
      <w:r>
        <w:t xml:space="preserve"> </w:t>
      </w:r>
      <w:r>
        <w:rPr>
          <w:iCs/>
          <w:i/>
        </w:rPr>
        <w:t xml:space="preserve">BIM handbook</w:t>
      </w:r>
      <w:r>
        <w:t xml:space="preserve"> </w:t>
      </w:r>
      <w:r>
        <w:t xml:space="preserve">(3rd ed.). Wiley.</w:t>
      </w:r>
    </w:p>
    <w:p>
      <w:pPr>
        <w:pStyle w:val="BodyText"/>
      </w:pPr>
      <w:r>
        <w:t xml:space="preserve">Webb, M. (2020). The impact of artificial intelligence on the labor market. Stanford mimeo.</w:t>
      </w:r>
    </w:p>
    <w:p>
      <w:pPr>
        <w:pStyle w:val="BodyText"/>
      </w:pPr>
      <w:r>
        <w:t xml:space="preserve">Winch, G. M. (2010).</w:t>
      </w:r>
      <w:r>
        <w:t xml:space="preserve"> </w:t>
      </w:r>
      <w:r>
        <w:rPr>
          <w:iCs/>
          <w:i/>
        </w:rPr>
        <w:t xml:space="preserve">Managing construction projects</w:t>
      </w:r>
      <w:r>
        <w:t xml:space="preserve"> </w:t>
      </w:r>
      <w:r>
        <w:t xml:space="preserve">(2nd ed.). Wiley-Blackwell.</w:t>
      </w:r>
    </w:p>
    <w:p>
      <w:pPr>
        <w:pStyle w:val="BodyText"/>
      </w:pPr>
      <w:r>
        <w:t xml:space="preserve">WTO. (1994).</w:t>
      </w:r>
      <w:r>
        <w:t xml:space="preserve"> </w:t>
      </w:r>
      <w:r>
        <w:rPr>
          <w:iCs/>
          <w:i/>
        </w:rPr>
        <w:t xml:space="preserve">General Agreement on Trade in Services</w:t>
      </w:r>
      <w:r>
        <w:t xml:space="preserve">. Geneva: World Trade Organization.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67" w:name="main-text-figures"/>
    <w:p>
      <w:pPr>
        <w:pStyle w:val="Heading2"/>
      </w:pPr>
      <w:r>
        <w:t xml:space="preserve">Main-text figures</w:t>
      </w:r>
    </w:p>
    <w:p>
      <w:pPr>
        <w:pStyle w:val="FirstParagraph"/>
      </w:pPr>
      <w:r>
        <w:t xml:space="preserve">Only five figures are retained in the article. The remaining replication graphics stay in</w:t>
      </w:r>
      <w:r>
        <w:t xml:space="preserve"> </w:t>
      </w:r>
      <w:r>
        <w:rPr>
          <w:rStyle w:val="VerbatimChar"/>
        </w:rPr>
        <w:t xml:space="preserve">figures/</w:t>
      </w:r>
      <w:r>
        <w:t xml:space="preserve"> </w:t>
      </w:r>
      <w:r>
        <w:t xml:space="preserve">but are not embedded in the manuscript.</w:t>
      </w:r>
    </w:p>
    <w:p>
      <w:pPr>
        <w:pStyle w:val="BodyText"/>
      </w:pPr>
      <w:r>
        <w:rPr>
          <w:bCs/>
          <w:b/>
        </w:rPr>
        <w:t xml:space="preserve">Figure 1. The United Kingdom’s SJ3 service corridors with India and China, 2015–2024 (2019 = 100).</w:t>
      </w:r>
    </w:p>
    <w:p>
      <w:pPr>
        <w:pStyle w:val="CaptionedFigure"/>
      </w:pPr>
      <w:r>
        <w:drawing>
          <wp:inline>
            <wp:extent cx="5943600" cy="3553239"/>
            <wp:effectExtent b="0" l="0" r="0" t="0"/>
            <wp:docPr descr="Figure 1" title="" id="53" name="Picture"/>
            <a:graphic>
              <a:graphicData uri="http://schemas.openxmlformats.org/drawingml/2006/picture">
                <pic:pic>
                  <pic:nvPicPr>
                    <pic:cNvPr descr="figures/figure22_uk_india_china_sj3.png" id="54" name="Picture"/>
                    <pic:cNvPicPr>
                      <a:picLocks noChangeArrowheads="1" noChangeAspect="1"/>
                    </pic:cNvPicPr>
                  </pic:nvPicPr>
                  <pic:blipFill>
                    <a:blip r:embed="rId52"/>
                    <a:stretch>
                      <a:fillRect/>
                    </a:stretch>
                  </pic:blipFill>
                  <pic:spPr bwMode="auto">
                    <a:xfrm>
                      <a:off x="0" y="0"/>
                      <a:ext cx="5943600" cy="3553239"/>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2. Growth in UK–India and UK–China services trade by category, 2019–2024.</w:t>
      </w:r>
    </w:p>
    <w:p>
      <w:pPr>
        <w:pStyle w:val="CaptionedFigure"/>
      </w:pPr>
      <w:r>
        <w:drawing>
          <wp:inline>
            <wp:extent cx="5943600" cy="2377440"/>
            <wp:effectExtent b="0" l="0" r="0" t="0"/>
            <wp:docPr descr="Figure 2" title="" id="56" name="Picture"/>
            <a:graphic>
              <a:graphicData uri="http://schemas.openxmlformats.org/drawingml/2006/picture">
                <pic:pic>
                  <pic:nvPicPr>
                    <pic:cNvPr descr="figures/figure23_uk_india_china_service_growth.png" id="57" name="Picture"/>
                    <pic:cNvPicPr>
                      <a:picLocks noChangeArrowheads="1" noChangeAspect="1"/>
                    </pic:cNvPicPr>
                  </pic:nvPicPr>
                  <pic:blipFill>
                    <a:blip r:embed="rId55"/>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3. EU-27 professional-service NLG adoption and technology comparisons.</w:t>
      </w:r>
    </w:p>
    <w:p>
      <w:pPr>
        <w:pStyle w:val="CaptionedFigure"/>
      </w:pPr>
      <w:r>
        <w:drawing>
          <wp:inline>
            <wp:extent cx="5943600" cy="3396342"/>
            <wp:effectExtent b="0" l="0" r="0" t="0"/>
            <wp:docPr descr="Figure 3" title="" id="59" name="Picture"/>
            <a:graphic>
              <a:graphicData uri="http://schemas.openxmlformats.org/drawingml/2006/picture">
                <pic:pic>
                  <pic:nvPicPr>
                    <pic:cNvPr descr="figures/figure12_tnlg_vs_tml.png" id="60" name="Picture"/>
                    <pic:cNvPicPr>
                      <a:picLocks noChangeArrowheads="1" noChangeAspect="1"/>
                    </pic:cNvPicPr>
                  </pic:nvPicPr>
                  <pic:blipFill>
                    <a:blip r:embed="rId58"/>
                    <a:stretch>
                      <a:fillRect/>
                    </a:stretch>
                  </pic:blipFill>
                  <pic:spPr bwMode="auto">
                    <a:xfrm>
                      <a:off x="0" y="0"/>
                      <a:ext cx="5943600" cy="3396342"/>
                    </a:xfrm>
                    <a:prstGeom prst="rect">
                      <a:avLst/>
                    </a:prstGeom>
                    <a:noFill/>
                    <a:ln w="9525">
                      <a:noFill/>
                      <a:headEnd/>
                      <a:tailEnd/>
                    </a:ln>
                  </pic:spPr>
                </pic:pic>
              </a:graphicData>
            </a:graphic>
          </wp:inline>
        </w:drawing>
      </w:r>
    </w:p>
    <w:p>
      <w:pPr>
        <w:pStyle w:val="ImageCaption"/>
      </w:pPr>
      <w:r>
        <w:t xml:space="preserve">Figure 3</w:t>
      </w:r>
    </w:p>
    <w:p>
      <w:pPr>
        <w:pStyle w:val="BodyText"/>
      </w:pPr>
      <w:r>
        <w:rPr>
          <w:bCs/>
          <w:b/>
        </w:rPr>
        <w:t xml:space="preserve">Figure 4. Importer ΔTNLG and the change in Indian SJ3 imports.</w:t>
      </w:r>
    </w:p>
    <w:p>
      <w:pPr>
        <w:pStyle w:val="CaptionedFigure"/>
      </w:pPr>
      <w:r>
        <w:drawing>
          <wp:inline>
            <wp:extent cx="5943600" cy="4195482"/>
            <wp:effectExtent b="0" l="0" r="0" t="0"/>
            <wp:docPr descr="Figure 4" title="" id="62" name="Picture"/>
            <a:graphic>
              <a:graphicData uri="http://schemas.openxmlformats.org/drawingml/2006/picture">
                <pic:pic>
                  <pic:nvPicPr>
                    <pic:cNvPr descr="figures/figure15_cross_section_tnlg.png" id="63" name="Picture"/>
                    <pic:cNvPicPr>
                      <a:picLocks noChangeArrowheads="1" noChangeAspect="1"/>
                    </pic:cNvPicPr>
                  </pic:nvPicPr>
                  <pic:blipFill>
                    <a:blip r:embed="rId61"/>
                    <a:stretch>
                      <a:fillRect/>
                    </a:stretch>
                  </pic:blipFill>
                  <pic:spPr bwMode="auto">
                    <a:xfrm>
                      <a:off x="0" y="0"/>
                      <a:ext cx="5943600" cy="4195482"/>
                    </a:xfrm>
                    <a:prstGeom prst="rect">
                      <a:avLst/>
                    </a:prstGeom>
                    <a:noFill/>
                    <a:ln w="9525">
                      <a:noFill/>
                      <a:headEnd/>
                      <a:tailEnd/>
                    </a:ln>
                  </pic:spPr>
                </pic:pic>
              </a:graphicData>
            </a:graphic>
          </wp:inline>
        </w:drawing>
      </w:r>
    </w:p>
    <w:p>
      <w:pPr>
        <w:pStyle w:val="ImageCaption"/>
      </w:pPr>
      <w:r>
        <w:t xml:space="preserve">Figure 4</w:t>
      </w:r>
    </w:p>
    <w:p>
      <w:pPr>
        <w:pStyle w:val="BodyText"/>
      </w:pPr>
      <w:r>
        <w:rPr>
          <w:bCs/>
          <w:b/>
        </w:rPr>
        <w:t xml:space="preserve">Figure 5. M71 and construction turnover growth, 2021–2024.</w:t>
      </w:r>
    </w:p>
    <w:p>
      <w:pPr>
        <w:pStyle w:val="CaptionedFigure"/>
      </w:pPr>
      <w:r>
        <w:drawing>
          <wp:inline>
            <wp:extent cx="5943600" cy="3820885"/>
            <wp:effectExtent b="0" l="0" r="0" t="0"/>
            <wp:docPr descr="Figure 5" title="" id="65" name="Picture"/>
            <a:graphic>
              <a:graphicData uri="http://schemas.openxmlformats.org/drawingml/2006/picture">
                <pic:pic>
                  <pic:nvPicPr>
                    <pic:cNvPr descr="figures/figure17_sbs_turnover_m71_vs_F.png" id="66" name="Picture"/>
                    <pic:cNvPicPr>
                      <a:picLocks noChangeArrowheads="1" noChangeAspect="1"/>
                    </pic:cNvPicPr>
                  </pic:nvPicPr>
                  <pic:blipFill>
                    <a:blip r:embed="rId64"/>
                    <a:stretch>
                      <a:fillRect/>
                    </a:stretch>
                  </pic:blipFill>
                  <pic:spPr bwMode="auto">
                    <a:xfrm>
                      <a:off x="0" y="0"/>
                      <a:ext cx="5943600" cy="3820885"/>
                    </a:xfrm>
                    <a:prstGeom prst="rect">
                      <a:avLst/>
                    </a:prstGeom>
                    <a:noFill/>
                    <a:ln w="9525">
                      <a:noFill/>
                      <a:headEnd/>
                      <a:tailEnd/>
                    </a:ln>
                  </pic:spPr>
                </pic:pic>
              </a:graphicData>
            </a:graphic>
          </wp:inline>
        </w:drawing>
      </w:r>
    </w:p>
    <w:p>
      <w:pPr>
        <w:pStyle w:val="ImageCaption"/>
      </w:pPr>
      <w:r>
        <w:t xml:space="preserve">Figure 5</w:t>
      </w:r>
    </w:p>
    <w:p>
      <w:r>
        <w:pict>
          <v:rect style="width:0;height:1.5pt" o:hralign="center" o:hrstd="t" o:hr="t"/>
        </w:pict>
      </w:r>
    </w:p>
    <w:bookmarkEnd w:id="67"/>
    <w:bookmarkStart w:id="74" w:name="main-text-tables"/>
    <w:p>
      <w:pPr>
        <w:pStyle w:val="Heading2"/>
      </w:pPr>
      <w:r>
        <w:t xml:space="preserve">Main-text tables</w:t>
      </w:r>
    </w:p>
    <w:p>
      <w:pPr>
        <w:pStyle w:val="FirstParagraph"/>
      </w:pPr>
      <w:r>
        <w:t xml:space="preserve">Detailed country and robustness tables remain in</w:t>
      </w:r>
      <w:r>
        <w:t xml:space="preserve"> </w:t>
      </w:r>
      <w:r>
        <w:rPr>
          <w:rStyle w:val="VerbatimChar"/>
        </w:rPr>
        <w:t xml:space="preserve">tables_for_article.md</w:t>
      </w:r>
      <w:r>
        <w:t xml:space="preserve"> </w:t>
      </w:r>
      <w:r>
        <w:t xml:space="preserve">and</w:t>
      </w:r>
      <w:r>
        <w:t xml:space="preserve"> </w:t>
      </w:r>
      <w:r>
        <w:rPr>
          <w:rStyle w:val="VerbatimChar"/>
        </w:rPr>
        <w:t xml:space="preserve">tables/</w:t>
      </w:r>
      <w:r>
        <w:t xml:space="preserve">.</w:t>
      </w:r>
    </w:p>
    <w:bookmarkStart w:id="68" w:name="X794d3b5ab497c7a72dcb93a7a2731e8e8976547"/>
    <w:p>
      <w:pPr>
        <w:pStyle w:val="Heading3"/>
      </w:pPr>
      <w:r>
        <w:t xml:space="preserve">Table 1. UK–India and UK–China service corridors</w:t>
      </w:r>
    </w:p>
    <w:tbl>
      <w:tblPr>
        <w:tblStyle w:val="Table"/>
        <w:tblW w:type="pct" w:w="5000"/>
        <w:tblLook w:firstRow="1" w:lastRow="0" w:firstColumn="0" w:lastColumn="0" w:noHBand="0" w:noVBand="0" w:val="0020"/>
        <w:jc w:val="start"/>
      </w:tblPr>
      <w:tblGrid>
        <w:gridCol w:w="1320"/>
        <w:gridCol w:w="1320"/>
        <w:gridCol w:w="1760"/>
        <w:gridCol w:w="1760"/>
        <w:gridCol w:w="1760"/>
      </w:tblGrid>
      <w:tr>
        <w:trPr>
          <w:tblHeader w:val="true"/>
        </w:trPr>
        <w:tc>
          <w:tcPr/>
          <w:p>
            <w:pPr>
              <w:pStyle w:val="Compact"/>
              <w:jc w:val="left"/>
            </w:pPr>
            <w:r>
              <w:t xml:space="preserve">Import flow</w:t>
            </w:r>
          </w:p>
        </w:tc>
        <w:tc>
          <w:tcPr/>
          <w:p>
            <w:pPr>
              <w:pStyle w:val="Compact"/>
              <w:jc w:val="left"/>
            </w:pPr>
            <w:r>
              <w:t xml:space="preserve">Service</w:t>
            </w:r>
          </w:p>
        </w:tc>
        <w:tc>
          <w:tcPr/>
          <w:p>
            <w:pPr>
              <w:pStyle w:val="Compact"/>
              <w:jc w:val="right"/>
            </w:pPr>
            <w:r>
              <w:t xml:space="preserve">2019 (USD m)</w:t>
            </w:r>
          </w:p>
        </w:tc>
        <w:tc>
          <w:tcPr/>
          <w:p>
            <w:pPr>
              <w:pStyle w:val="Compact"/>
              <w:jc w:val="right"/>
            </w:pPr>
            <w:r>
              <w:t xml:space="preserve">2024 (USD m)</w:t>
            </w:r>
          </w:p>
        </w:tc>
        <w:tc>
          <w:tcPr/>
          <w:p>
            <w:pPr>
              <w:pStyle w:val="Compact"/>
              <w:jc w:val="right"/>
            </w:pPr>
            <w:r>
              <w:t xml:space="preserve">Change</w:t>
            </w:r>
          </w:p>
        </w:tc>
      </w:tr>
      <w:tr>
        <w:tc>
          <w:tcPr/>
          <w:p>
            <w:pPr>
              <w:pStyle w:val="Compact"/>
              <w:jc w:val="left"/>
            </w:pPr>
            <w:r>
              <w:t xml:space="preserve">UK imports from India</w:t>
            </w:r>
          </w:p>
        </w:tc>
        <w:tc>
          <w:tcPr/>
          <w:p>
            <w:pPr>
              <w:pStyle w:val="Compact"/>
              <w:jc w:val="left"/>
            </w:pPr>
            <w:r>
              <w:t xml:space="preserve">SJ3 technical and other business services</w:t>
            </w:r>
          </w:p>
        </w:tc>
        <w:tc>
          <w:tcPr/>
          <w:p>
            <w:pPr>
              <w:pStyle w:val="Compact"/>
              <w:jc w:val="right"/>
            </w:pPr>
            <w:r>
              <w:t xml:space="preserve">2,186.6</w:t>
            </w:r>
          </w:p>
        </w:tc>
        <w:tc>
          <w:tcPr/>
          <w:p>
            <w:pPr>
              <w:pStyle w:val="Compact"/>
              <w:jc w:val="right"/>
            </w:pPr>
            <w:r>
              <w:t xml:space="preserve">4,979.3</w:t>
            </w:r>
          </w:p>
        </w:tc>
        <w:tc>
          <w:tcPr/>
          <w:p>
            <w:pPr>
              <w:pStyle w:val="Compact"/>
              <w:jc w:val="right"/>
            </w:pPr>
            <w:r>
              <w:t xml:space="preserve">127.7%</w:t>
            </w:r>
          </w:p>
        </w:tc>
      </w:tr>
      <w:tr>
        <w:tc>
          <w:tcPr/>
          <w:p>
            <w:pPr>
              <w:pStyle w:val="Compact"/>
              <w:jc w:val="left"/>
            </w:pPr>
            <w:r>
              <w:t xml:space="preserve">India imports from UK</w:t>
            </w:r>
          </w:p>
        </w:tc>
        <w:tc>
          <w:tcPr/>
          <w:p>
            <w:pPr>
              <w:pStyle w:val="Compact"/>
              <w:jc w:val="left"/>
            </w:pPr>
            <w:r>
              <w:t xml:space="preserve">SJ3 technical and other business services</w:t>
            </w:r>
          </w:p>
        </w:tc>
        <w:tc>
          <w:tcPr/>
          <w:p>
            <w:pPr>
              <w:pStyle w:val="Compact"/>
              <w:jc w:val="right"/>
            </w:pPr>
            <w:r>
              <w:t xml:space="preserve">787.6</w:t>
            </w:r>
          </w:p>
        </w:tc>
        <w:tc>
          <w:tcPr/>
          <w:p>
            <w:pPr>
              <w:pStyle w:val="Compact"/>
              <w:jc w:val="right"/>
            </w:pPr>
            <w:r>
              <w:t xml:space="preserve">1,554.2</w:t>
            </w:r>
          </w:p>
        </w:tc>
        <w:tc>
          <w:tcPr/>
          <w:p>
            <w:pPr>
              <w:pStyle w:val="Compact"/>
              <w:jc w:val="right"/>
            </w:pPr>
            <w:r>
              <w:t xml:space="preserve">97.3%</w:t>
            </w:r>
          </w:p>
        </w:tc>
      </w:tr>
      <w:tr>
        <w:tc>
          <w:tcPr/>
          <w:p>
            <w:pPr>
              <w:pStyle w:val="Compact"/>
              <w:jc w:val="left"/>
            </w:pPr>
            <w:r>
              <w:t xml:space="preserve">UK imports from China</w:t>
            </w:r>
          </w:p>
        </w:tc>
        <w:tc>
          <w:tcPr/>
          <w:p>
            <w:pPr>
              <w:pStyle w:val="Compact"/>
              <w:jc w:val="left"/>
            </w:pPr>
            <w:r>
              <w:t xml:space="preserve">SJ3 technical and other business services</w:t>
            </w:r>
          </w:p>
        </w:tc>
        <w:tc>
          <w:tcPr/>
          <w:p>
            <w:pPr>
              <w:pStyle w:val="Compact"/>
              <w:jc w:val="right"/>
            </w:pPr>
            <w:r>
              <w:t xml:space="preserve">775.5</w:t>
            </w:r>
          </w:p>
        </w:tc>
        <w:tc>
          <w:tcPr/>
          <w:p>
            <w:pPr>
              <w:pStyle w:val="Compact"/>
              <w:jc w:val="right"/>
            </w:pPr>
            <w:r>
              <w:t xml:space="preserve">1,546.0</w:t>
            </w:r>
          </w:p>
        </w:tc>
        <w:tc>
          <w:tcPr/>
          <w:p>
            <w:pPr>
              <w:pStyle w:val="Compact"/>
              <w:jc w:val="right"/>
            </w:pPr>
            <w:r>
              <w:t xml:space="preserve">99.3%</w:t>
            </w:r>
          </w:p>
        </w:tc>
      </w:tr>
      <w:tr>
        <w:tc>
          <w:tcPr/>
          <w:p>
            <w:pPr>
              <w:pStyle w:val="Compact"/>
              <w:jc w:val="left"/>
            </w:pPr>
            <w:r>
              <w:t xml:space="preserve">China imports from UK</w:t>
            </w:r>
          </w:p>
        </w:tc>
        <w:tc>
          <w:tcPr/>
          <w:p>
            <w:pPr>
              <w:pStyle w:val="Compact"/>
              <w:jc w:val="left"/>
            </w:pPr>
            <w:r>
              <w:t xml:space="preserve">SJ3 technical and other business services</w:t>
            </w:r>
          </w:p>
        </w:tc>
        <w:tc>
          <w:tcPr/>
          <w:p>
            <w:pPr>
              <w:pStyle w:val="Compact"/>
              <w:jc w:val="right"/>
            </w:pPr>
            <w:r>
              <w:t xml:space="preserve">739.0</w:t>
            </w:r>
          </w:p>
        </w:tc>
        <w:tc>
          <w:tcPr/>
          <w:p>
            <w:pPr>
              <w:pStyle w:val="Compact"/>
              <w:jc w:val="right"/>
            </w:pPr>
            <w:r>
              <w:t xml:space="preserve">954.6</w:t>
            </w:r>
          </w:p>
        </w:tc>
        <w:tc>
          <w:tcPr/>
          <w:p>
            <w:pPr>
              <w:pStyle w:val="Compact"/>
              <w:jc w:val="right"/>
            </w:pPr>
            <w:r>
              <w:t xml:space="preserve">29.2%</w:t>
            </w:r>
          </w:p>
        </w:tc>
      </w:tr>
      <w:tr>
        <w:tc>
          <w:tcPr/>
          <w:p>
            <w:pPr>
              <w:pStyle w:val="Compact"/>
              <w:jc w:val="left"/>
            </w:pPr>
            <w:r>
              <w:t xml:space="preserve">UK imports from India</w:t>
            </w:r>
          </w:p>
        </w:tc>
        <w:tc>
          <w:tcPr/>
          <w:p>
            <w:pPr>
              <w:pStyle w:val="Compact"/>
              <w:jc w:val="left"/>
            </w:pPr>
            <w:r>
              <w:t xml:space="preserve">SE construction services</w:t>
            </w:r>
          </w:p>
        </w:tc>
        <w:tc>
          <w:tcPr/>
          <w:p>
            <w:pPr>
              <w:pStyle w:val="Compact"/>
              <w:jc w:val="right"/>
            </w:pPr>
            <w:r>
              <w:t xml:space="preserve">41.9</w:t>
            </w:r>
          </w:p>
        </w:tc>
        <w:tc>
          <w:tcPr/>
          <w:p>
            <w:pPr>
              <w:pStyle w:val="Compact"/>
              <w:jc w:val="right"/>
            </w:pPr>
            <w:r>
              <w:t xml:space="preserve">72.8</w:t>
            </w:r>
          </w:p>
        </w:tc>
        <w:tc>
          <w:tcPr/>
          <w:p>
            <w:pPr>
              <w:pStyle w:val="Compact"/>
              <w:jc w:val="right"/>
            </w:pPr>
            <w:r>
              <w:t xml:space="preserve">73.7%</w:t>
            </w:r>
          </w:p>
        </w:tc>
      </w:tr>
      <w:tr>
        <w:tc>
          <w:tcPr/>
          <w:p>
            <w:pPr>
              <w:pStyle w:val="Compact"/>
              <w:jc w:val="left"/>
            </w:pPr>
            <w:r>
              <w:t xml:space="preserve">India imports from UK</w:t>
            </w:r>
          </w:p>
        </w:tc>
        <w:tc>
          <w:tcPr/>
          <w:p>
            <w:pPr>
              <w:pStyle w:val="Compact"/>
              <w:jc w:val="left"/>
            </w:pPr>
            <w:r>
              <w:t xml:space="preserve">SE construction services</w:t>
            </w:r>
          </w:p>
        </w:tc>
        <w:tc>
          <w:tcPr/>
          <w:p>
            <w:pPr>
              <w:pStyle w:val="Compact"/>
              <w:jc w:val="right"/>
            </w:pPr>
            <w:r>
              <w:t xml:space="preserve">39.3</w:t>
            </w:r>
          </w:p>
        </w:tc>
        <w:tc>
          <w:tcPr/>
          <w:p>
            <w:pPr>
              <w:pStyle w:val="Compact"/>
              <w:jc w:val="right"/>
            </w:pPr>
            <w:r>
              <w:t xml:space="preserve">72.6</w:t>
            </w:r>
          </w:p>
        </w:tc>
        <w:tc>
          <w:tcPr/>
          <w:p>
            <w:pPr>
              <w:pStyle w:val="Compact"/>
              <w:jc w:val="right"/>
            </w:pPr>
            <w:r>
              <w:t xml:space="preserve">84.8%</w:t>
            </w:r>
          </w:p>
        </w:tc>
      </w:tr>
      <w:tr>
        <w:tc>
          <w:tcPr/>
          <w:p>
            <w:pPr>
              <w:pStyle w:val="Compact"/>
              <w:jc w:val="left"/>
            </w:pPr>
            <w:r>
              <w:t xml:space="preserve">UK imports from China</w:t>
            </w:r>
          </w:p>
        </w:tc>
        <w:tc>
          <w:tcPr/>
          <w:p>
            <w:pPr>
              <w:pStyle w:val="Compact"/>
              <w:jc w:val="left"/>
            </w:pPr>
            <w:r>
              <w:t xml:space="preserve">SE construction services</w:t>
            </w:r>
          </w:p>
        </w:tc>
        <w:tc>
          <w:tcPr/>
          <w:p>
            <w:pPr>
              <w:pStyle w:val="Compact"/>
              <w:jc w:val="right"/>
            </w:pPr>
            <w:r>
              <w:t xml:space="preserve">118.5</w:t>
            </w:r>
          </w:p>
        </w:tc>
        <w:tc>
          <w:tcPr/>
          <w:p>
            <w:pPr>
              <w:pStyle w:val="Compact"/>
              <w:jc w:val="right"/>
            </w:pPr>
            <w:r>
              <w:t xml:space="preserve">179.8</w:t>
            </w:r>
          </w:p>
        </w:tc>
        <w:tc>
          <w:tcPr/>
          <w:p>
            <w:pPr>
              <w:pStyle w:val="Compact"/>
              <w:jc w:val="right"/>
            </w:pPr>
            <w:r>
              <w:t xml:space="preserve">51.7%</w:t>
            </w:r>
          </w:p>
        </w:tc>
      </w:tr>
      <w:tr>
        <w:tc>
          <w:tcPr/>
          <w:p>
            <w:pPr>
              <w:pStyle w:val="Compact"/>
              <w:jc w:val="left"/>
            </w:pPr>
            <w:r>
              <w:t xml:space="preserve">China imports from UK</w:t>
            </w:r>
          </w:p>
        </w:tc>
        <w:tc>
          <w:tcPr/>
          <w:p>
            <w:pPr>
              <w:pStyle w:val="Compact"/>
              <w:jc w:val="left"/>
            </w:pPr>
            <w:r>
              <w:t xml:space="preserve">SE construction services</w:t>
            </w:r>
          </w:p>
        </w:tc>
        <w:tc>
          <w:tcPr/>
          <w:p>
            <w:pPr>
              <w:pStyle w:val="Compact"/>
              <w:jc w:val="right"/>
            </w:pPr>
            <w:r>
              <w:t xml:space="preserve">54.8</w:t>
            </w:r>
          </w:p>
        </w:tc>
        <w:tc>
          <w:tcPr/>
          <w:p>
            <w:pPr>
              <w:pStyle w:val="Compact"/>
              <w:jc w:val="right"/>
            </w:pPr>
            <w:r>
              <w:t xml:space="preserve">70.8</w:t>
            </w:r>
          </w:p>
        </w:tc>
        <w:tc>
          <w:tcPr/>
          <w:p>
            <w:pPr>
              <w:pStyle w:val="Compact"/>
              <w:jc w:val="right"/>
            </w:pPr>
            <w:r>
              <w:t xml:space="preserve">29.2%</w:t>
            </w:r>
          </w:p>
        </w:tc>
      </w:tr>
      <w:tr>
        <w:tc>
          <w:tcPr/>
          <w:p>
            <w:pPr>
              <w:pStyle w:val="Compact"/>
              <w:jc w:val="left"/>
            </w:pPr>
            <w:r>
              <w:t xml:space="preserve">UK imports from India</w:t>
            </w:r>
          </w:p>
        </w:tc>
        <w:tc>
          <w:tcPr/>
          <w:p>
            <w:pPr>
              <w:pStyle w:val="Compact"/>
              <w:jc w:val="left"/>
            </w:pPr>
            <w:r>
              <w:t xml:space="preserve">SI computer and information services</w:t>
            </w:r>
          </w:p>
        </w:tc>
        <w:tc>
          <w:tcPr/>
          <w:p>
            <w:pPr>
              <w:pStyle w:val="Compact"/>
              <w:jc w:val="right"/>
            </w:pPr>
            <w:r>
              <w:t xml:space="preserve">2,215.3</w:t>
            </w:r>
          </w:p>
        </w:tc>
        <w:tc>
          <w:tcPr/>
          <w:p>
            <w:pPr>
              <w:pStyle w:val="Compact"/>
              <w:jc w:val="right"/>
            </w:pPr>
            <w:r>
              <w:t xml:space="preserve">4,723.0</w:t>
            </w:r>
          </w:p>
        </w:tc>
        <w:tc>
          <w:tcPr/>
          <w:p>
            <w:pPr>
              <w:pStyle w:val="Compact"/>
              <w:jc w:val="right"/>
            </w:pPr>
            <w:r>
              <w:t xml:space="preserve">113.2%</w:t>
            </w:r>
          </w:p>
        </w:tc>
      </w:tr>
      <w:tr>
        <w:tc>
          <w:tcPr/>
          <w:p>
            <w:pPr>
              <w:pStyle w:val="Compact"/>
              <w:jc w:val="left"/>
            </w:pPr>
            <w:r>
              <w:t xml:space="preserve">India imports from UK</w:t>
            </w:r>
          </w:p>
        </w:tc>
        <w:tc>
          <w:tcPr/>
          <w:p>
            <w:pPr>
              <w:pStyle w:val="Compact"/>
              <w:jc w:val="left"/>
            </w:pPr>
            <w:r>
              <w:t xml:space="preserve">SI computer and information services</w:t>
            </w:r>
          </w:p>
        </w:tc>
        <w:tc>
          <w:tcPr/>
          <w:p>
            <w:pPr>
              <w:pStyle w:val="Compact"/>
              <w:jc w:val="right"/>
            </w:pPr>
            <w:r>
              <w:t xml:space="preserve">389.2</w:t>
            </w:r>
          </w:p>
        </w:tc>
        <w:tc>
          <w:tcPr/>
          <w:p>
            <w:pPr>
              <w:pStyle w:val="Compact"/>
              <w:jc w:val="right"/>
            </w:pPr>
            <w:r>
              <w:t xml:space="preserve">707.6</w:t>
            </w:r>
          </w:p>
        </w:tc>
        <w:tc>
          <w:tcPr/>
          <w:p>
            <w:pPr>
              <w:pStyle w:val="Compact"/>
              <w:jc w:val="right"/>
            </w:pPr>
            <w:r>
              <w:t xml:space="preserve">81.8%</w:t>
            </w:r>
          </w:p>
        </w:tc>
      </w:tr>
      <w:tr>
        <w:tc>
          <w:tcPr/>
          <w:p>
            <w:pPr>
              <w:pStyle w:val="Compact"/>
              <w:jc w:val="left"/>
            </w:pPr>
            <w:r>
              <w:t xml:space="preserve">UK imports from China</w:t>
            </w:r>
          </w:p>
        </w:tc>
        <w:tc>
          <w:tcPr/>
          <w:p>
            <w:pPr>
              <w:pStyle w:val="Compact"/>
              <w:jc w:val="left"/>
            </w:pPr>
            <w:r>
              <w:t xml:space="preserve">SI computer and information services</w:t>
            </w:r>
          </w:p>
        </w:tc>
        <w:tc>
          <w:tcPr/>
          <w:p>
            <w:pPr>
              <w:pStyle w:val="Compact"/>
              <w:jc w:val="right"/>
            </w:pPr>
            <w:r>
              <w:t xml:space="preserve">724.7</w:t>
            </w:r>
          </w:p>
        </w:tc>
        <w:tc>
          <w:tcPr/>
          <w:p>
            <w:pPr>
              <w:pStyle w:val="Compact"/>
              <w:jc w:val="right"/>
            </w:pPr>
            <w:r>
              <w:t xml:space="preserve">1,054.5</w:t>
            </w:r>
          </w:p>
        </w:tc>
        <w:tc>
          <w:tcPr/>
          <w:p>
            <w:pPr>
              <w:pStyle w:val="Compact"/>
              <w:jc w:val="right"/>
            </w:pPr>
            <w:r>
              <w:t xml:space="preserve">45.5%</w:t>
            </w:r>
          </w:p>
        </w:tc>
      </w:tr>
      <w:tr>
        <w:tc>
          <w:tcPr/>
          <w:p>
            <w:pPr>
              <w:pStyle w:val="Compact"/>
              <w:jc w:val="left"/>
            </w:pPr>
            <w:r>
              <w:t xml:space="preserve">China imports from UK</w:t>
            </w:r>
          </w:p>
        </w:tc>
        <w:tc>
          <w:tcPr/>
          <w:p>
            <w:pPr>
              <w:pStyle w:val="Compact"/>
              <w:jc w:val="left"/>
            </w:pPr>
            <w:r>
              <w:t xml:space="preserve">SI computer and information services</w:t>
            </w:r>
          </w:p>
        </w:tc>
        <w:tc>
          <w:tcPr/>
          <w:p>
            <w:pPr>
              <w:pStyle w:val="Compact"/>
              <w:jc w:val="right"/>
            </w:pPr>
            <w:r>
              <w:t xml:space="preserve">1,639.3</w:t>
            </w:r>
          </w:p>
        </w:tc>
        <w:tc>
          <w:tcPr/>
          <w:p>
            <w:pPr>
              <w:pStyle w:val="Compact"/>
              <w:jc w:val="right"/>
            </w:pPr>
            <w:r>
              <w:t xml:space="preserve">2,404.1</w:t>
            </w:r>
          </w:p>
        </w:tc>
        <w:tc>
          <w:tcPr/>
          <w:p>
            <w:pPr>
              <w:pStyle w:val="Compact"/>
              <w:jc w:val="right"/>
            </w:pPr>
            <w:r>
              <w:t xml:space="preserve">46.7%</w:t>
            </w:r>
          </w:p>
        </w:tc>
      </w:tr>
    </w:tbl>
    <w:p>
      <w:pPr>
        <w:pStyle w:val="BodyText"/>
      </w:pPr>
      <w:r>
        <w:t xml:space="preserve">Source: OECD–WTO BaTIS, adjustment B. Values are balanced imports in current USD million.</w:t>
      </w:r>
    </w:p>
    <w:bookmarkEnd w:id="68"/>
    <w:bookmarkStart w:id="69" w:name="Xec53b027e70765491b13bd70f47c5af4c13f196"/>
    <w:p>
      <w:pPr>
        <w:pStyle w:val="Heading3"/>
      </w:pPr>
      <w:r>
        <w:t xml:space="preserve">Table 2. 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Industry</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2025</w:t>
            </w:r>
          </w:p>
        </w:tc>
      </w:tr>
      <w:tr>
        <w:tc>
          <w:tcPr/>
          <w:p>
            <w:pPr>
              <w:pStyle w:val="Compact"/>
              <w:jc w:val="left"/>
            </w:pPr>
            <w:r>
              <w:t xml:space="preserve">NACE M professional services</w:t>
            </w:r>
          </w:p>
        </w:tc>
        <w:tc>
          <w:tcPr/>
          <w:p>
            <w:pPr>
              <w:pStyle w:val="Compact"/>
              <w:jc w:val="right"/>
            </w:pPr>
            <w:r>
              <w:t xml:space="preserve">4.55%</w:t>
            </w:r>
          </w:p>
        </w:tc>
        <w:tc>
          <w:tcPr/>
          <w:p>
            <w:pPr>
              <w:pStyle w:val="Compact"/>
              <w:jc w:val="right"/>
            </w:pPr>
            <w:r>
              <w:t xml:space="preserve">11.51%</w:t>
            </w:r>
          </w:p>
        </w:tc>
        <w:tc>
          <w:tcPr/>
          <w:p>
            <w:pPr>
              <w:pStyle w:val="Compact"/>
              <w:jc w:val="right"/>
            </w:pPr>
            <w:r>
              <w:t xml:space="preserve">17.74%</w:t>
            </w:r>
          </w:p>
        </w:tc>
      </w:tr>
      <w:tr>
        <w:tc>
          <w:tcPr/>
          <w:p>
            <w:pPr>
              <w:pStyle w:val="Compact"/>
              <w:jc w:val="left"/>
            </w:pPr>
            <w:r>
              <w:t xml:space="preserve">NACE F construction</w:t>
            </w:r>
          </w:p>
        </w:tc>
        <w:tc>
          <w:tcPr/>
          <w:p>
            <w:pPr>
              <w:pStyle w:val="Compact"/>
              <w:jc w:val="right"/>
            </w:pPr>
            <w:r>
              <w:t xml:space="preserve">0.58%</w:t>
            </w:r>
          </w:p>
        </w:tc>
        <w:tc>
          <w:tcPr/>
          <w:p>
            <w:pPr>
              <w:pStyle w:val="Compact"/>
              <w:jc w:val="right"/>
            </w:pPr>
            <w:r>
              <w:t xml:space="preserve">2.42%</w:t>
            </w:r>
          </w:p>
        </w:tc>
        <w:tc>
          <w:tcPr/>
          <w:p>
            <w:pPr>
              <w:pStyle w:val="Compact"/>
              <w:jc w:val="right"/>
            </w:pPr>
            <w:r>
              <w:t xml:space="preserve">3.25%</w:t>
            </w:r>
          </w:p>
        </w:tc>
      </w:tr>
    </w:tbl>
    <w:p>
      <w:pPr>
        <w:pStyle w:val="BodyText"/>
      </w:pPr>
      <w:r>
        <w:t xml:space="preserve">Source: Eurostat</w:t>
      </w:r>
      <w:r>
        <w:t xml:space="preserve"> </w:t>
      </w:r>
      <w:r>
        <w:rPr>
          <w:rStyle w:val="VerbatimChar"/>
        </w:rPr>
        <w:t xml:space="preserve">isoc_eb_ain2</w:t>
      </w:r>
      <w:r>
        <w:t xml:space="preserve">, enterprises with at least ten persons.</w:t>
      </w:r>
    </w:p>
    <w:bookmarkEnd w:id="69"/>
    <w:bookmarkStart w:id="70" w:name="X1dcf0cf0bab6a90cb385b2662cf754b013df4d8"/>
    <w:p>
      <w:pPr>
        <w:pStyle w:val="Heading3"/>
      </w:pPr>
      <w:r>
        <w:t xml:space="preserve">Table 3. 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Outcome/specification</w:t>
            </w:r>
          </w:p>
        </w:tc>
        <w:tc>
          <w:tcPr/>
          <w:p>
            <w:pPr>
              <w:pStyle w:val="Compact"/>
              <w:jc w:val="right"/>
            </w:pPr>
            <w:r>
              <w:t xml:space="preserve">Coefficient (s.e.)</w:t>
            </w:r>
          </w:p>
        </w:tc>
        <w:tc>
          <w:tcPr/>
          <w:p>
            <w:pPr>
              <w:pStyle w:val="Compact"/>
              <w:jc w:val="right"/>
            </w:pPr>
            <w:r>
              <w:t xml:space="preserve">N</w:t>
            </w:r>
          </w:p>
        </w:tc>
      </w:tr>
      <w:tr>
        <w:tc>
          <w:tcPr/>
          <w:p>
            <w:pPr>
              <w:pStyle w:val="Compact"/>
              <w:jc w:val="left"/>
            </w:pPr>
            <w:r>
              <w:t xml:space="preserve">Indian SJ3, Post × ΔM TNLG</w:t>
            </w:r>
          </w:p>
        </w:tc>
        <w:tc>
          <w:tcPr/>
          <w:p>
            <w:pPr>
              <w:pStyle w:val="Compact"/>
              <w:jc w:val="right"/>
            </w:pPr>
            <w:r>
              <w:t xml:space="preserve">0.021*** (0.008)</w:t>
            </w:r>
          </w:p>
        </w:tc>
        <w:tc>
          <w:tcPr/>
          <w:p>
            <w:pPr>
              <w:pStyle w:val="Compact"/>
              <w:jc w:val="right"/>
            </w:pPr>
            <w:r>
              <w:t xml:space="preserve">119</w:t>
            </w:r>
          </w:p>
        </w:tc>
      </w:tr>
      <w:tr>
        <w:tc>
          <w:tcPr/>
          <w:p>
            <w:pPr>
              <w:pStyle w:val="Compact"/>
              <w:jc w:val="left"/>
            </w:pPr>
            <w:r>
              <w:t xml:space="preserve">Pooled Mode-1 SJ3, Post-2024 × ΔM TNLG</w:t>
            </w:r>
          </w:p>
        </w:tc>
        <w:tc>
          <w:tcPr/>
          <w:p>
            <w:pPr>
              <w:pStyle w:val="Compact"/>
              <w:jc w:val="right"/>
            </w:pPr>
            <w:r>
              <w:t xml:space="preserve">0.007** (0.003)</w:t>
            </w:r>
          </w:p>
        </w:tc>
        <w:tc>
          <w:tcPr/>
          <w:p>
            <w:pPr>
              <w:pStyle w:val="Compact"/>
              <w:jc w:val="right"/>
            </w:pPr>
            <w:r>
              <w:t xml:space="preserve">357</w:t>
            </w:r>
          </w:p>
        </w:tc>
      </w:tr>
      <w:tr>
        <w:tc>
          <w:tcPr/>
          <w:p>
            <w:pPr>
              <w:pStyle w:val="Compact"/>
              <w:jc w:val="left"/>
            </w:pPr>
            <w:r>
              <w:t xml:space="preserve">Chinese construction services (SE)</w:t>
            </w:r>
          </w:p>
        </w:tc>
        <w:tc>
          <w:tcPr/>
          <w:p>
            <w:pPr>
              <w:pStyle w:val="Compact"/>
              <w:jc w:val="right"/>
            </w:pPr>
            <w:r>
              <w:t xml:space="preserve">−0.008 (0.009)</w:t>
            </w:r>
          </w:p>
        </w:tc>
        <w:tc>
          <w:tcPr/>
          <w:p>
            <w:pPr>
              <w:pStyle w:val="Compact"/>
              <w:jc w:val="right"/>
            </w:pPr>
            <w:r>
              <w:t xml:space="preserve">119</w:t>
            </w:r>
          </w:p>
        </w:tc>
      </w:tr>
      <w:tr>
        <w:tc>
          <w:tcPr/>
          <w:p>
            <w:pPr>
              <w:pStyle w:val="Compact"/>
              <w:jc w:val="left"/>
            </w:pPr>
            <w:r>
              <w:t xml:space="preserve">Chinese SJ3</w:t>
            </w:r>
          </w:p>
        </w:tc>
        <w:tc>
          <w:tcPr/>
          <w:p>
            <w:pPr>
              <w:pStyle w:val="Compact"/>
              <w:jc w:val="right"/>
            </w:pPr>
            <w:r>
              <w:t xml:space="preserve">0.005 (0.010)</w:t>
            </w:r>
          </w:p>
        </w:tc>
        <w:tc>
          <w:tcPr/>
          <w:p>
            <w:pPr>
              <w:pStyle w:val="Compact"/>
              <w:jc w:val="right"/>
            </w:pPr>
            <w:r>
              <w:t xml:space="preserve">119</w:t>
            </w:r>
          </w:p>
        </w:tc>
      </w:tr>
      <w:tr>
        <w:tc>
          <w:tcPr/>
          <w:p>
            <w:pPr>
              <w:pStyle w:val="Compact"/>
              <w:jc w:val="left"/>
            </w:pPr>
            <w:r>
              <w:t xml:space="preserve">Indian computer services comparison</w:t>
            </w:r>
          </w:p>
        </w:tc>
        <w:tc>
          <w:tcPr/>
          <w:p>
            <w:pPr>
              <w:pStyle w:val="Compact"/>
              <w:jc w:val="right"/>
            </w:pPr>
            <w:r>
              <w:t xml:space="preserve">−0.002 (0.006)</w:t>
            </w:r>
          </w:p>
        </w:tc>
        <w:tc>
          <w:tcPr/>
          <w:p>
            <w:pPr>
              <w:pStyle w:val="Compact"/>
              <w:jc w:val="right"/>
            </w:pPr>
            <w:r>
              <w:t xml:space="preserve">357</w:t>
            </w:r>
          </w:p>
        </w:tc>
      </w:tr>
      <w:tr>
        <w:tc>
          <w:tcPr/>
          <w:p>
            <w:pPr>
              <w:pStyle w:val="Compact"/>
              <w:jc w:val="left"/>
            </w:pPr>
            <w:r>
              <w:t xml:space="preserve">Generic any-AI comparison</w:t>
            </w:r>
          </w:p>
        </w:tc>
        <w:tc>
          <w:tcPr/>
          <w:p>
            <w:pPr>
              <w:pStyle w:val="Compact"/>
              <w:jc w:val="right"/>
            </w:pPr>
            <w:r>
              <w:t xml:space="preserve">0.000 (0.006)</w:t>
            </w:r>
          </w:p>
        </w:tc>
        <w:tc>
          <w:tcPr/>
          <w:p>
            <w:pPr>
              <w:pStyle w:val="Compact"/>
              <w:jc w:val="right"/>
            </w:pPr>
            <w:r>
              <w:t xml:space="preserve">336</w:t>
            </w:r>
          </w:p>
        </w:tc>
      </w:tr>
    </w:tbl>
    <w:p>
      <w:pPr>
        <w:pStyle w:val="BodyText"/>
      </w:pPr>
      <w:r>
        <w:t xml:space="preserve">Importer and year fixed effects; standard errors clustered by importer. The pooled model also contains partner fixed effects.</w:t>
      </w:r>
    </w:p>
    <w:bookmarkEnd w:id="70"/>
    <w:bookmarkStart w:id="71" w:name="Xffe4f5aa72a920291bea4b304301ae0fc1bcc11"/>
    <w:p>
      <w:pPr>
        <w:pStyle w:val="Heading3"/>
      </w:pPr>
      <w:r>
        <w:t xml:space="preserve">Table 4. 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right"/>
            </w:pPr>
            <w:r>
              <w:t xml:space="preserve">Post-2024 × ΔTNLG (s.e.)</w:t>
            </w:r>
          </w:p>
        </w:tc>
        <w:tc>
          <w:tcPr/>
          <w:p>
            <w:pPr>
              <w:pStyle w:val="Compact"/>
              <w:jc w:val="right"/>
            </w:pPr>
            <w:r>
              <w:t xml:space="preserve">N</w:t>
            </w:r>
          </w:p>
        </w:tc>
      </w:tr>
      <w:tr>
        <w:tc>
          <w:tcPr/>
          <w:p>
            <w:pPr>
              <w:pStyle w:val="Compact"/>
              <w:jc w:val="left"/>
            </w:pPr>
            <w:r>
              <w:t xml:space="preserve">Log M71 turnover</w:t>
            </w:r>
          </w:p>
        </w:tc>
        <w:tc>
          <w:tcPr/>
          <w:p>
            <w:pPr>
              <w:pStyle w:val="Compact"/>
              <w:jc w:val="right"/>
            </w:pPr>
            <w:r>
              <w:t xml:space="preserve">−0.007** (0.003)</w:t>
            </w:r>
          </w:p>
        </w:tc>
        <w:tc>
          <w:tcPr/>
          <w:p>
            <w:pPr>
              <w:pStyle w:val="Compact"/>
              <w:jc w:val="right"/>
            </w:pPr>
            <w:r>
              <w:t xml:space="preserve">68</w:t>
            </w:r>
          </w:p>
        </w:tc>
      </w:tr>
      <w:tr>
        <w:tc>
          <w:tcPr/>
          <w:p>
            <w:pPr>
              <w:pStyle w:val="Compact"/>
              <w:jc w:val="left"/>
            </w:pPr>
            <w:r>
              <w:t xml:space="preserve">Log M71 employment</w:t>
            </w:r>
          </w:p>
        </w:tc>
        <w:tc>
          <w:tcPr/>
          <w:p>
            <w:pPr>
              <w:pStyle w:val="Compact"/>
              <w:jc w:val="right"/>
            </w:pPr>
            <w:r>
              <w:t xml:space="preserve">−0.000 (0.002)</w:t>
            </w:r>
          </w:p>
        </w:tc>
        <w:tc>
          <w:tcPr/>
          <w:p>
            <w:pPr>
              <w:pStyle w:val="Compact"/>
              <w:jc w:val="right"/>
            </w:pPr>
            <w:r>
              <w:t xml:space="preserve">68</w:t>
            </w:r>
          </w:p>
        </w:tc>
      </w:tr>
      <w:tr>
        <w:tc>
          <w:tcPr/>
          <w:p>
            <w:pPr>
              <w:pStyle w:val="Compact"/>
              <w:jc w:val="left"/>
            </w:pPr>
            <w:r>
              <w:t xml:space="preserve">Log M71 wages</w:t>
            </w:r>
          </w:p>
        </w:tc>
        <w:tc>
          <w:tcPr/>
          <w:p>
            <w:pPr>
              <w:pStyle w:val="Compact"/>
              <w:jc w:val="right"/>
            </w:pPr>
            <w:r>
              <w:t xml:space="preserve">−0.009*** (0.003)</w:t>
            </w:r>
          </w:p>
        </w:tc>
        <w:tc>
          <w:tcPr/>
          <w:p>
            <w:pPr>
              <w:pStyle w:val="Compact"/>
              <w:jc w:val="right"/>
            </w:pPr>
            <w:r>
              <w:t xml:space="preserve">68</w:t>
            </w:r>
          </w:p>
        </w:tc>
      </w:tr>
      <w:tr>
        <w:tc>
          <w:tcPr/>
          <w:p>
            <w:pPr>
              <w:pStyle w:val="Compact"/>
              <w:jc w:val="left"/>
            </w:pPr>
            <w:r>
              <w:t xml:space="preserve">Log M71 value added</w:t>
            </w:r>
          </w:p>
        </w:tc>
        <w:tc>
          <w:tcPr/>
          <w:p>
            <w:pPr>
              <w:pStyle w:val="Compact"/>
              <w:jc w:val="right"/>
            </w:pPr>
            <w:r>
              <w:t xml:space="preserve">−0.006*** (0.002)</w:t>
            </w:r>
          </w:p>
        </w:tc>
        <w:tc>
          <w:tcPr/>
          <w:p>
            <w:pPr>
              <w:pStyle w:val="Compact"/>
              <w:jc w:val="right"/>
            </w:pPr>
            <w:r>
              <w:t xml:space="preserve">68</w:t>
            </w:r>
          </w:p>
        </w:tc>
      </w:tr>
      <w:tr>
        <w:tc>
          <w:tcPr/>
          <w:p>
            <w:pPr>
              <w:pStyle w:val="Compact"/>
              <w:jc w:val="left"/>
            </w:pPr>
            <w:r>
              <w:t xml:space="preserve">Log construction turnover (comparison)</w:t>
            </w:r>
          </w:p>
        </w:tc>
        <w:tc>
          <w:tcPr/>
          <w:p>
            <w:pPr>
              <w:pStyle w:val="Compact"/>
              <w:jc w:val="right"/>
            </w:pPr>
            <w:r>
              <w:t xml:space="preserve">−0.010*** (0.003)</w:t>
            </w:r>
          </w:p>
        </w:tc>
        <w:tc>
          <w:tcPr/>
          <w:p>
            <w:pPr>
              <w:pStyle w:val="Compact"/>
              <w:jc w:val="right"/>
            </w:pPr>
            <w:r>
              <w:t xml:space="preserve">68</w:t>
            </w:r>
          </w:p>
        </w:tc>
      </w:tr>
    </w:tbl>
    <w:bookmarkEnd w:id="71"/>
    <w:bookmarkStart w:id="72" w:name="X336603d0880a1e92ef65a236f3d7248c672dca2"/>
    <w:p>
      <w:pPr>
        <w:pStyle w:val="Heading3"/>
      </w:pPr>
      <w:r>
        <w:t xml:space="preserve">Table 5. 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EU destination group</w:t>
            </w:r>
          </w:p>
        </w:tc>
        <w:tc>
          <w:tcPr/>
          <w:p>
            <w:pPr>
              <w:pStyle w:val="Compact"/>
              <w:jc w:val="right"/>
            </w:pPr>
            <w:r>
              <w:t xml:space="preserve">2019 (USD m)</w:t>
            </w:r>
          </w:p>
        </w:tc>
        <w:tc>
          <w:tcPr/>
          <w:p>
            <w:pPr>
              <w:pStyle w:val="Compact"/>
              <w:jc w:val="right"/>
            </w:pPr>
            <w:r>
              <w:t xml:space="preserve">2024 (USD m)</w:t>
            </w:r>
          </w:p>
        </w:tc>
        <w:tc>
          <w:tcPr/>
          <w:p>
            <w:pPr>
              <w:pStyle w:val="Compact"/>
              <w:jc w:val="right"/>
            </w:pPr>
            <w:r>
              <w:t xml:space="preserve">Change</w:t>
            </w:r>
          </w:p>
        </w:tc>
      </w:tr>
      <w:tr>
        <w:tc>
          <w:tcPr/>
          <w:p>
            <w:pPr>
              <w:pStyle w:val="Compact"/>
              <w:jc w:val="left"/>
            </w:pPr>
            <w:r>
              <w:t xml:space="preserve">Lower ΔTNLG</w:t>
            </w:r>
          </w:p>
        </w:tc>
        <w:tc>
          <w:tcPr/>
          <w:p>
            <w:pPr>
              <w:pStyle w:val="Compact"/>
              <w:jc w:val="right"/>
            </w:pPr>
            <w:r>
              <w:t xml:space="preserve">571.9</w:t>
            </w:r>
          </w:p>
        </w:tc>
        <w:tc>
          <w:tcPr/>
          <w:p>
            <w:pPr>
              <w:pStyle w:val="Compact"/>
              <w:jc w:val="right"/>
            </w:pPr>
            <w:r>
              <w:t xml:space="preserve">946.2</w:t>
            </w:r>
          </w:p>
        </w:tc>
        <w:tc>
          <w:tcPr/>
          <w:p>
            <w:pPr>
              <w:pStyle w:val="Compact"/>
              <w:jc w:val="right"/>
            </w:pPr>
            <w:r>
              <w:t xml:space="preserve">65.4%</w:t>
            </w:r>
          </w:p>
        </w:tc>
      </w:tr>
      <w:tr>
        <w:tc>
          <w:tcPr/>
          <w:p>
            <w:pPr>
              <w:pStyle w:val="Compact"/>
              <w:jc w:val="left"/>
            </w:pPr>
            <w:r>
              <w:t xml:space="preserve">Higher ΔTNLG</w:t>
            </w:r>
          </w:p>
        </w:tc>
        <w:tc>
          <w:tcPr/>
          <w:p>
            <w:pPr>
              <w:pStyle w:val="Compact"/>
              <w:jc w:val="right"/>
            </w:pPr>
            <w:r>
              <w:t xml:space="preserve">679.9</w:t>
            </w:r>
          </w:p>
        </w:tc>
        <w:tc>
          <w:tcPr/>
          <w:p>
            <w:pPr>
              <w:pStyle w:val="Compact"/>
              <w:jc w:val="right"/>
            </w:pPr>
            <w:r>
              <w:t xml:space="preserve">1,002.6</w:t>
            </w:r>
          </w:p>
        </w:tc>
        <w:tc>
          <w:tcPr/>
          <w:p>
            <w:pPr>
              <w:pStyle w:val="Compact"/>
              <w:jc w:val="right"/>
            </w:pPr>
            <w:r>
              <w:t xml:space="preserve">47.5%</w:t>
            </w:r>
          </w:p>
        </w:tc>
      </w:tr>
    </w:tbl>
    <w:p>
      <w:pPr>
        <w:pStyle w:val="BodyText"/>
      </w:pPr>
      <w:r>
        <w:t xml:space="preserve">Source: OECD–WTO BaTIS SE. Groups split at the importer median change in NACE M TNLG.</w:t>
      </w:r>
    </w:p>
    <w:bookmarkEnd w:id="72"/>
    <w:bookmarkStart w:id="73" w:name="table-6.-interpretation-boundary"/>
    <w:p>
      <w:pPr>
        <w:pStyle w:val="Heading3"/>
      </w:pPr>
      <w:r>
        <w:t xml:space="preserve">Table 6. Interpretation boundary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Supported by the data</w:t>
            </w:r>
          </w:p>
        </w:tc>
        <w:tc>
          <w:tcPr/>
          <w:p>
            <w:pPr>
              <w:pStyle w:val="Compact"/>
              <w:jc w:val="left"/>
            </w:pPr>
            <w:r>
              <w:t xml:space="preserve">Not identified</w:t>
            </w:r>
          </w:p>
        </w:tc>
      </w:tr>
      <w:tr>
        <w:tc>
          <w:tcPr/>
          <w:p>
            <w:pPr>
              <w:pStyle w:val="Compact"/>
              <w:jc w:val="left"/>
            </w:pPr>
            <w:r>
              <w:t xml:space="preserve">Two-way UK–India and UK–China service trends</w:t>
            </w:r>
          </w:p>
        </w:tc>
        <w:tc>
          <w:tcPr/>
          <w:p>
            <w:pPr>
              <w:pStyle w:val="Compact"/>
              <w:jc w:val="left"/>
            </w:pPr>
            <w:r>
              <w:t xml:space="preserve">AI causing those bilateral changes</w:t>
            </w:r>
          </w:p>
        </w:tc>
      </w:tr>
      <w:tr>
        <w:tc>
          <w:tcPr/>
          <w:p>
            <w:pPr>
              <w:pStyle w:val="Compact"/>
              <w:jc w:val="left"/>
            </w:pPr>
            <w:r>
              <w:t xml:space="preserve">EU importer NLG associated with Indian SJ3</w:t>
            </w:r>
          </w:p>
        </w:tc>
        <w:tc>
          <w:tcPr/>
          <w:p>
            <w:pPr>
              <w:pStyle w:val="Compact"/>
              <w:jc w:val="left"/>
            </w:pPr>
            <w:r>
              <w:t xml:space="preserve">Civil-specific SJ312 invoices</w:t>
            </w:r>
          </w:p>
        </w:tc>
      </w:tr>
      <w:tr>
        <w:tc>
          <w:tcPr/>
          <w:p>
            <w:pPr>
              <w:pStyle w:val="Compact"/>
              <w:jc w:val="left"/>
            </w:pPr>
            <w:r>
              <w:t xml:space="preserve">Null Chinese construction-service comparison</w:t>
            </w:r>
          </w:p>
        </w:tc>
        <w:tc>
          <w:tcPr/>
          <w:p>
            <w:pPr>
              <w:pStyle w:val="Compact"/>
              <w:jc w:val="left"/>
            </w:pPr>
            <w:r>
              <w:t xml:space="preserve">India replacing Chinese or UK civil engineers</w:t>
            </w:r>
          </w:p>
        </w:tc>
      </w:tr>
      <w:tr>
        <w:tc>
          <w:tcPr/>
          <w:p>
            <w:pPr>
              <w:pStyle w:val="Compact"/>
              <w:jc w:val="left"/>
            </w:pPr>
            <w:r>
              <w:t xml:space="preserve">M71 outcomes associated with importer NLG</w:t>
            </w:r>
          </w:p>
        </w:tc>
        <w:tc>
          <w:tcPr/>
          <w:p>
            <w:pPr>
              <w:pStyle w:val="Compact"/>
              <w:jc w:val="left"/>
            </w:pPr>
            <w:r>
              <w:t xml:space="preserve">Bilateral employment or GDP effects</w:t>
            </w:r>
          </w:p>
        </w:tc>
      </w:tr>
    </w:tbl>
    <w:bookmarkEnd w:id="73"/>
    <w:bookmarkEnd w:id="74"/>
    <w:bookmarkEnd w:id="7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52" Target="media/rId5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2026-09-18T11:34:22Z</dcterms:created>
  <dcterms:modified xsi:type="dcterms:W3CDTF">2026-09-18T11:34:22Z</dcterms:modified>
</cp:coreProperties>
</file>

<file path=docProps/custom.xml><?xml version="1.0" encoding="utf-8"?>
<Properties xmlns="http://schemas.openxmlformats.org/officeDocument/2006/custom-properties" xmlns:vt="http://schemas.openxmlformats.org/officeDocument/2006/docPropsVTypes"/>
</file>