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How Does the Civil Engineering Industry Economy Change under an AI Shock? The United Kingdom’s Service Links with India and China</w:t>
      </w:r>
    </w:p>
    <w:p/>
    <w:p>
      <w:pPr>
        <w:pStyle w:val="Heading1"/>
      </w:pPr>
      <w:r>
        <w:t>Yuxuan Chai</w:t>
      </w:r>
    </w:p>
    <w:p>
      <w:r>
        <w:t>University of Strathclyde</w:t>
      </w:r>
    </w:p>
    <w:p>
      <w:r>
        <w:t>Corresponding author: Yuxuan Chai</w:t>
      </w:r>
    </w:p>
    <w:p>
      <w:r>
        <w:t>Email: yuxuanchai98@outlook.com</w:t>
      </w:r>
    </w:p>
    <w:p>
      <w:r>
        <w:t>Journal: International Journal of Construction Management</w:t>
      </w:r>
    </w:p>
    <w:p>
      <w:r>
        <w:br w:type="page"/>
      </w:r>
    </w:p>
    <w:p>
      <w:pPr>
        <w:pStyle w:val="Heading1"/>
      </w:pPr>
      <w:r>
        <w:t>Declarations for the editor</w:t>
      </w:r>
    </w:p>
    <w:p>
      <w:r>
        <w:t>Author contribution: Yuxuan Chai is the sole author of this manuscript.</w:t>
      </w:r>
    </w:p>
    <w:p>
      <w:r>
        <w:t>Data and code availability: The replication package includes retrieved Eurostat and OECD–WTO BaTIS series, generated tables and figures, and analysis scripts. Third-party source material remains subject to the publishers’ terms.</w:t>
      </w:r>
    </w:p>
    <w:p>
      <w:r>
        <w:t>Ethics: This study analyses published aggregate statistical series and does not involve human participants, personal data or animal subjects.</w:t>
      </w:r>
    </w:p>
    <w:p>
      <w:r>
        <w:t>Funding and competing interests: These declarations must be confirmed by the corresponding author in the journal’s submission system before submission; no funding or conflict statement was supplied in the repository materials.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