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Editor,</w:t>
      </w:r>
    </w:p>
    <w:p>
      <w:r>
        <w:t>I am submitting the manuscript “How Does the Civil Engineering Industry Economy Change under an AI Shock? The United Kingdom’s Service Links with India and China” for consideration in the International Journal of Construction Management.</w:t>
      </w:r>
    </w:p>
    <w:p>
      <w:r>
        <w:t>The manuscript examines how the initial diffusion of natural-language generation is associated with architectural and engineering activity and with the United Kingdom’s services relationships with India and China. It distinguishes NACE M71 engineering consultancies from construction and separates technical-business, construction and computer service flows. The evidence uses retrieved Eurostat and OECD–WTO BaTIS data, with full replication materials supplied.</w:t>
      </w:r>
    </w:p>
    <w:p>
      <w:r>
        <w:t>The corresponding author must confirm in the submission portal that the work is original, is not under consideration elsewhere, that all authors approve submission, and that funding and competing-interest declarations are complete. Those confirmations are not inferred or made by this file.</w:t>
      </w:r>
    </w:p>
    <w:p>
      <w:r>
        <w:t>Sincerely,</w:t>
      </w:r>
    </w:p>
    <w:p>
      <w:r>
        <w:t>Yuxuan Chai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