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CN_Concise_Manuscript</w:t>
      </w:r>
    </w:p>
    <w:bookmarkStart w:id="54" w:name="生成式-ai-冲击下土木工程行业经济如何变动一项聚焦型跨国研究"/>
    <w:p>
      <w:pPr>
        <w:pStyle w:val="Heading1"/>
      </w:pPr>
      <w:r>
        <w:t xml:space="preserve">生成式 AI 冲击下，土木工程行业经济如何变动？一项聚焦型跨国研究</w:t>
      </w:r>
    </w:p>
    <w:p>
      <w:pPr>
        <w:pStyle w:val="FirstParagraph"/>
      </w:pPr>
      <w:r>
        <w:t xml:space="preserve">柴宇轩 · 斯特拉斯克莱德大学 ·</w:t>
      </w:r>
      <w:r>
        <w:t xml:space="preserve"> </w:t>
      </w:r>
      <w:r>
        <w:rPr>
          <w:rStyle w:val="VerbatimChar"/>
        </w:rPr>
        <w:t xml:space="preserve">yuxuanchai98@outlook.com</w:t>
      </w:r>
      <w:r>
        <w:br/>
      </w:r>
      <w:r>
        <w:t xml:space="preserve">精简稿 · 2026 年 9 月 17 日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本文研究生成式 AI 采用是否改变本国及跨境的土木工程行业经济。为控制篇幅，正文只讨论三个具有不同识别作用的案例：英国用于观察土木职业调整，印度用于观察模式一跨境服务，中国用于提供模式三建筑服务对照。欧盟 17 国仍作为估计样本，以提供 AI 采用强度与 M71 行业结果的跨国差异，但不逐国展开。</w:t>
      </w:r>
    </w:p>
    <w:p>
      <w:pPr>
        <w:pStyle w:val="BodyText"/>
      </w:pPr>
      <w:r>
        <w:t xml:space="preserve">本文的首选冲击是 Eurostat 专业服务业（NACE M）自然语言生成 AI 使用率</w:t>
      </w:r>
      <w:r>
        <w:t xml:space="preserve"> </w:t>
      </w:r>
      <w:r>
        <w:rPr>
          <w:rStyle w:val="VerbatimChar"/>
        </w:rPr>
        <w:t xml:space="preserve">E_AI_TNLG</w:t>
      </w:r>
      <w:r>
        <w:t xml:space="preserve"> </w:t>
      </w:r>
      <w:r>
        <w:t xml:space="preserve">在 2023—2024 年的变化，而非笼统的“任何 AI”。本国行业结果来自 NACE M71 建筑与工程活动，区别于工地施工（NACE F）；跨境结果来自 OECD–WTO BaTIS 的 SJ3 技术及其他商业服务；英国 ONS APS 提供职业背景。</w:t>
      </w:r>
    </w:p>
    <w:p>
      <w:pPr>
        <w:pStyle w:val="BodyText"/>
      </w:pPr>
      <w:r>
        <w:t xml:space="preserve">主要发现有三点。第一，英国土木职业并非整体收缩：2021 年 12 月至 2025 年 9 月，CAD/绘图技术员减少 23.9%，土木工程师减少 14.3%，建筑与土木工程技术员增加 214.5%。第二，欧盟样本中，Post-2024×ΔTNLG 对 M71 营业额的估计为 −0.007（标准误 0.003），对工资为 −0.009（0.003），而就业不变。第三，印度模式一 SJ3 的相应系数为 0.021（0.008）；笼统 TANY 没有显著关系，中国模式三建筑服务也未向高 NLG 进口国重新配置。生成式 AI 因而与任务极化和印度相关的跨境服务边际同时出现，而不是与国内 M71 繁荣同时出现。这些是面板关联，不能解释为英国土木工程师就业导致外国 GDP 或就业变化。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生成式 AI；土木工程；NACE M71；服务贸易；印度；英国。</w:t>
      </w:r>
    </w:p>
    <w:bookmarkEnd w:id="20"/>
    <w:bookmarkStart w:id="21" w:name="研究问题与国家选择"/>
    <w:p>
      <w:pPr>
        <w:pStyle w:val="Heading2"/>
      </w:pPr>
      <w:r>
        <w:t xml:space="preserve">1. 研究问题与国家选择</w:t>
      </w:r>
    </w:p>
    <w:p>
      <w:pPr>
        <w:pStyle w:val="FirstParagraph"/>
      </w:pPr>
      <w:r>
        <w:t xml:space="preserve">土木工程同时包含可数字化的办公室任务和必须在现场完成的交付。图纸、规范、计算与报告可以远程传输；现场检查、法定责任和实体施工通常不能。因此，“土木工程师”、工程咨询企业和施工承包商不是同一经济对象。</w:t>
      </w:r>
    </w:p>
    <w:p>
      <w:pPr>
        <w:pStyle w:val="BodyText"/>
      </w:pPr>
      <w:r>
        <w:t xml:space="preserve">本文的问题是：</w:t>
      </w:r>
      <w:r>
        <w:rPr>
          <w:bCs/>
          <w:b/>
        </w:rPr>
        <w:t xml:space="preserve">企业采用自然语言生成 AI 后，本国工程咨询行业和跨境工程相关服务如何变化？</w:t>
      </w:r>
      <w:r>
        <w:t xml:space="preserve"> </w:t>
      </w:r>
      <w:r>
        <w:t xml:space="preserve">为避免国家罗列，正文只保留三种机制：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英国：</w:t>
      </w:r>
      <w:r>
        <w:t xml:space="preserve"> </w:t>
      </w:r>
      <w:r>
        <w:t xml:space="preserve">观察土木职业内部是否出现任务极化；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印度：</w:t>
      </w:r>
      <w:r>
        <w:t xml:space="preserve"> </w:t>
      </w:r>
      <w:r>
        <w:t xml:space="preserve">检验可远程交付的模式一技术服务；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中国：</w:t>
      </w:r>
      <w:r>
        <w:t xml:space="preserve"> </w:t>
      </w:r>
      <w:r>
        <w:t xml:space="preserve">作为依赖项目和商业存在的模式三建筑服务对照。</w:t>
      </w:r>
    </w:p>
    <w:p>
      <w:pPr>
        <w:pStyle w:val="FirstParagraph"/>
      </w:pPr>
      <w:r>
        <w:t xml:space="preserve">欧盟 17 国只承担统计识别作用。它们提供 NLG 采用强度与 M71 结果的差异，但不是 17 个独立案例。</w:t>
      </w:r>
    </w:p>
    <w:bookmarkEnd w:id="21"/>
    <w:bookmarkStart w:id="22" w:name="理论预期"/>
    <w:p>
      <w:pPr>
        <w:pStyle w:val="Heading2"/>
      </w:pPr>
      <w:r>
        <w:t xml:space="preserve">2. 理论预期</w:t>
      </w:r>
    </w:p>
    <w:p>
      <w:pPr>
        <w:pStyle w:val="FirstParagraph"/>
      </w:pPr>
      <w:r>
        <w:t xml:space="preserve">任务理论指出，技术替代的是部分任务，而非必然消灭整个职业（Autor, Levy and Murnane 2003；Autor 2015）。生成式 AI 实验在写作、编程和客服中发现生产率提高，但同一职业内部存在“锯齿状前沿”（Noy and Zhang 2023；Dell’Acqua 等 2023）。对土木工程而言，绘图和规范起草更可编码，专业签章、协调和现场责任更难替代。</w:t>
      </w:r>
    </w:p>
    <w:p>
      <w:pPr>
        <w:pStyle w:val="BodyText"/>
      </w:pPr>
      <w:r>
        <w:t xml:space="preserve">任务贸易理论进一步预测，可沿数字网络传输的活动更容易跨境（Grossman and Rossi-Hansberg 2008；Baldwin 2019）。这使印度模式一服务成为主要跨境案例，而中国建筑服务适合作为物理项目交付的对照。</w:t>
      </w:r>
    </w:p>
    <w:bookmarkEnd w:id="22"/>
    <w:bookmarkStart w:id="27" w:name="数据与方法"/>
    <w:p>
      <w:pPr>
        <w:pStyle w:val="Heading2"/>
      </w:pPr>
      <w:r>
        <w:t xml:space="preserve">3. 数据与方法</w:t>
      </w:r>
    </w:p>
    <w:bookmarkStart w:id="23" w:name="英国职业"/>
    <w:p>
      <w:pPr>
        <w:pStyle w:val="Heading3"/>
      </w:pPr>
      <w:r>
        <w:t xml:space="preserve">3.1 英国职业</w:t>
      </w:r>
    </w:p>
    <w:p>
      <w:pPr>
        <w:pStyle w:val="FirstParagraph"/>
      </w:pPr>
      <w:r>
        <w:t xml:space="preserve">职业暴露采用 Eloundou 等的 O*NET 数据。人类评分中，建筑与土木绘图员为 0.520，土木工程技术员为 0.477，土木工程师为 0.375。就业来自 ONS APS，对比 2021 年 12 月与 2025 年 9 月。APS 只用于描述，不能用于跨国因果推断。</w:t>
      </w:r>
    </w:p>
    <w:bookmarkEnd w:id="23"/>
    <w:bookmarkStart w:id="24" w:name="nlg-冲击与-m71-行业"/>
    <w:p>
      <w:pPr>
        <w:pStyle w:val="Heading3"/>
      </w:pPr>
      <w:r>
        <w:t xml:space="preserve">3.2 NLG 冲击与 M71 行业</w:t>
      </w:r>
    </w:p>
    <w:p>
      <w:pPr>
        <w:pStyle w:val="FirstParagraph"/>
      </w:pPr>
      <w:r>
        <w:t xml:space="preserve">冲击定义为：</w:t>
      </w:r>
    </w:p>
    <w:p>
      <w:pPr>
        <w:pStyle w:val="BodyText"/>
      </w:pPr>
      <w:r>
        <w:t xml:space="preserve">[</w:t>
      </w:r>
      <w:r>
        <w:br/>
      </w:r>
      <w:r>
        <w:t xml:space="preserve">\Delta TNLG_i=TNLG^{M}</w:t>
      </w:r>
      <w:r>
        <w:rPr>
          <w:iCs/>
          <w:i/>
        </w:rPr>
        <w:t xml:space="preserve">{i,2024}-TNLG^{M}</w:t>
      </w:r>
      <w:r>
        <w:t xml:space="preserve">{i,2023}.</w:t>
      </w:r>
      <w:r>
        <w:br/>
      </w:r>
      <w:r>
        <w:t xml:space="preserve">]</w:t>
      </w:r>
    </w:p>
    <w:p>
      <w:pPr>
        <w:pStyle w:val="BodyText"/>
      </w:pPr>
      <w:r>
        <w:rPr>
          <w:rStyle w:val="VerbatimChar"/>
        </w:rPr>
        <w:t xml:space="preserve">E_AI_TNLG</w:t>
      </w:r>
      <w:r>
        <w:t xml:space="preserve"> </w:t>
      </w:r>
      <w:r>
        <w:t xml:space="preserve">是使用 AI 生成书面或口头语言的企业比例。Eurostat 未发布 M71 专属 AI 使用率，因此 NACE M 是最窄的可用代理。欧盟 27 国专业服务业 NLG 从 2023 年的 4.55% 上升至 2024 年的 11.51% 和 2025 年的 17.74%；建筑业同期只有 0.58%、2.42% 和 3.25%。</w:t>
      </w:r>
    </w:p>
    <w:p>
      <w:pPr>
        <w:pStyle w:val="BodyText"/>
      </w:pPr>
      <w:r>
        <w:t xml:space="preserve">行业结果来自 Eurostat SBS 的 M71 营业额、工资、就业和增加值（2021—2024）。平衡样本包含 17 个成员国、68 个国家—年份观测。所有单元格均为真实官方数据，没有插值。</w:t>
      </w:r>
    </w:p>
    <w:bookmarkEnd w:id="24"/>
    <w:bookmarkStart w:id="25" w:name="印度模式一与中国模式三"/>
    <w:p>
      <w:pPr>
        <w:pStyle w:val="Heading3"/>
      </w:pPr>
      <w:r>
        <w:t xml:space="preserve">3.3 印度模式一与中国模式三</w:t>
      </w:r>
    </w:p>
    <w:p>
      <w:pPr>
        <w:pStyle w:val="FirstParagraph"/>
      </w:pPr>
      <w:r>
        <w:t xml:space="preserve">跨境数据来自 OECD–WTO BaTIS。SJ3 是本次提取中最细且持续可得的工程相邻服务类别，但它比建筑与工程服务更宽，因为双边 SJ312 不可得。因此，印度 SJ3 是模式一工程相关服务的上限代理，不是土木工程发票的精确总额。</w:t>
      </w:r>
    </w:p>
    <w:p>
      <w:pPr>
        <w:pStyle w:val="BodyText"/>
      </w:pPr>
      <w:r>
        <w:t xml:space="preserve">中国 SE 建筑服务用于模式三导向的对照；SI 计算机服务用于检验结果是否只是所有数字服务共同上升。</w:t>
      </w:r>
    </w:p>
    <w:bookmarkEnd w:id="25"/>
    <w:bookmarkStart w:id="26" w:name="估计"/>
    <w:p>
      <w:pPr>
        <w:pStyle w:val="Heading3"/>
      </w:pPr>
      <w:r>
        <w:t xml:space="preserve">3.4 估计</w:t>
      </w:r>
    </w:p>
    <w:p>
      <w:pPr>
        <w:pStyle w:val="FirstParagraph"/>
      </w:pPr>
      <w:r>
        <w:t xml:space="preserve">M71 模型为：</w:t>
      </w:r>
    </w:p>
    <w:p>
      <w:pPr>
        <w:pStyle w:val="BodyText"/>
      </w:pPr>
      <w:r>
        <w:t xml:space="preserve">[</w:t>
      </w:r>
      <w:r>
        <w:br/>
      </w:r>
      <w:r>
        <w:t xml:space="preserve">\log Y_{it}=\alpha_i+\lambda_t+\beta(\Delta TNLG_i\times \mathbf{1}[t=2024])+\varepsilon_{it}.</w:t>
      </w:r>
      <w:r>
        <w:br/>
      </w:r>
      <w:r>
        <w:t xml:space="preserve">]</w:t>
      </w:r>
    </w:p>
    <w:p>
      <w:pPr>
        <w:pStyle w:val="BodyText"/>
      </w:pPr>
      <w:r>
        <w:t xml:space="preserve">模型包含国家和年份固定效应，标准误按国家聚类。贸易模型同样使用进口国和年份固定效应。由于 SBS 只有一个完整冲击后年份且只有 17 个聚类，结果应解释为差异关联，而非结构性生产率或强因果效应。</w:t>
      </w:r>
    </w:p>
    <w:bookmarkEnd w:id="26"/>
    <w:bookmarkEnd w:id="27"/>
    <w:bookmarkStart w:id="31" w:name="结果"/>
    <w:p>
      <w:pPr>
        <w:pStyle w:val="Heading2"/>
      </w:pPr>
      <w:r>
        <w:t xml:space="preserve">4. 结果</w:t>
      </w:r>
    </w:p>
    <w:bookmarkStart w:id="28" w:name="英国职业内部极化"/>
    <w:p>
      <w:pPr>
        <w:pStyle w:val="Heading3"/>
      </w:pPr>
      <w:r>
        <w:t xml:space="preserve">4.1 英国：职业内部极化</w:t>
      </w:r>
    </w:p>
    <w:p>
      <w:pPr>
        <w:pStyle w:val="FirstParagraph"/>
      </w:pPr>
      <w:r>
        <w:t xml:space="preserve">CAD、绘图和建筑技术员（SOC 3120）从 72,900 人降至 55,500 人（−23.9%）；土木工程师（2121）从 115,800 人降至 99,200 人（−14.3%）；建筑与土木工程技术员（3114）从 5,500 人升至 17,300 人（+214.5%）。</w:t>
      </w:r>
    </w:p>
    <w:p>
      <w:pPr>
        <w:pStyle w:val="BodyText"/>
      </w:pPr>
      <w:r>
        <w:t xml:space="preserve">这一结果不支持“土木职业整体消失”。3114 的 Eloundou 暴露度较高却大幅增长，说明暴露反映任务变化位置，不能机械预测就业人数。</w:t>
      </w:r>
    </w:p>
    <w:bookmarkEnd w:id="28"/>
    <w:bookmarkStart w:id="29" w:name="欧盟样本m71-没有繁荣"/>
    <w:p>
      <w:pPr>
        <w:pStyle w:val="Heading3"/>
      </w:pPr>
      <w:r>
        <w:t xml:space="preserve">4.2 欧盟样本：M71 没有繁荣</w:t>
      </w:r>
    </w:p>
    <w:p>
      <w:pPr>
        <w:pStyle w:val="FirstParagraph"/>
      </w:pPr>
      <w:r>
        <w:t xml:space="preserve">Post-2024×ΔTNLG 对 M71 营业额为 −0.007（标准误 0.003），工资为 −0.009（0.003），增加值为 −0.006（0.002），就业为 −0.000（0.002）。高 NLG 国家在 2024 年的名义营业额与劳动成本增长较慢，但就业没有下降。</w:t>
      </w:r>
    </w:p>
    <w:p>
      <w:pPr>
        <w:pStyle w:val="BodyText"/>
      </w:pPr>
      <w:r>
        <w:t xml:space="preserve">这种组合可能与计费小时压缩、价格、生产率或需求构成有关，但现有数据不能区分机制。建筑业营业额也为负，说明结果可能部分反映与 NLG 相关的更广泛国家条件，而非 M71 独有冲击。</w:t>
      </w:r>
    </w:p>
    <w:bookmarkEnd w:id="29"/>
    <w:bookmarkStart w:id="30" w:name="印度与中国"/>
    <w:p>
      <w:pPr>
        <w:pStyle w:val="Heading3"/>
      </w:pPr>
      <w:r>
        <w:t xml:space="preserve">4.3 印度与中国</w:t>
      </w:r>
    </w:p>
    <w:p>
      <w:pPr>
        <w:pStyle w:val="FirstParagraph"/>
      </w:pPr>
      <w:r>
        <w:t xml:space="preserve">模式一 SJ3 汇总样本中的 Post-2024×ΔTNLG 为 0.007（0.003）；只保留印度时为 0.021（0.008）。英国从印度进口 SJ3 从 2019 年的 21.85 亿美元升至 2024 年的 49.79 亿美元，增幅 128%。</w:t>
      </w:r>
    </w:p>
    <w:p>
      <w:pPr>
        <w:pStyle w:val="BodyText"/>
      </w:pPr>
      <w:r>
        <w:t xml:space="preserve">对照结果缩小了解释范围。笼统的任何 AI（TANY）为 0.000（0.006），计算机服务 SI 为 −0.002（0.006），中国建筑服务 SE 为 −0.008（0.009）。与 NLG 同向变化的是印度相关远程技术服务，不是中国实体项目交付。</w:t>
      </w:r>
    </w:p>
    <w:p>
      <w:pPr>
        <w:pStyle w:val="BodyText"/>
      </w:pPr>
      <w:r>
        <w:t xml:space="preserve">这并不表明英国 SOC 2121 的减少变成了印度土木工程师的增加。SJ3 包含非工程服务，而且不存在双边 ISCO 2142 就业序列。</w:t>
      </w:r>
    </w:p>
    <w:bookmarkEnd w:id="30"/>
    <w:bookmarkEnd w:id="31"/>
    <w:bookmarkStart w:id="32" w:name="讨论与局限"/>
    <w:p>
      <w:pPr>
        <w:pStyle w:val="Heading2"/>
      </w:pPr>
      <w:r>
        <w:t xml:space="preserve">5. 讨论与局限</w:t>
      </w:r>
    </w:p>
    <w:p>
      <w:pPr>
        <w:pStyle w:val="FirstParagraph"/>
      </w:pPr>
      <w:r>
        <w:t xml:space="preserve">三个案例承担不同功能：英国回答土木职业内部发生了什么，印度检验数字化模式一边际，中国区分远程专业服务与物理项目交付。欧盟成员国用于估计，不需要逐国叙述。这样既保持跨国识别，又避免在有限篇幅内堆积国家背景。</w:t>
      </w:r>
    </w:p>
    <w:p>
      <w:pPr>
        <w:pStyle w:val="BodyText"/>
      </w:pPr>
      <w:r>
        <w:t xml:space="preserve">综合证据更接近“任务重组与跨境服务重组”，而不是国内工程咨询繁荣或整个职业被替代。稳定就业与较弱营业额、工资并存，可能来自生产率、计费压缩、需求或宏观差异；本文无法选择唯一机制。</w:t>
      </w:r>
    </w:p>
    <w:p>
      <w:pPr>
        <w:pStyle w:val="BodyText"/>
      </w:pPr>
      <w:r>
        <w:t xml:space="preserve">限制包括：没有 M71 专属 NLG 数据；SJ3 宽于工程服务且 SJ312 不可得；SBS 只有一个完整冲击后年份；结果为名义值；APS 不能与企业贸易逐一连接。因此，本文不识别伙伴国 GDP、双边土木工程师就业或福利效应。</w:t>
      </w:r>
    </w:p>
    <w:bookmarkEnd w:id="32"/>
    <w:bookmarkStart w:id="33" w:name="结论"/>
    <w:p>
      <w:pPr>
        <w:pStyle w:val="Heading2"/>
      </w:pPr>
      <w:r>
        <w:t xml:space="preserve">6. 结论</w:t>
      </w:r>
    </w:p>
    <w:p>
      <w:pPr>
        <w:pStyle w:val="FirstParagraph"/>
      </w:pPr>
      <w:r>
        <w:t xml:space="preserve">在可用数据中，生成式 AI 没有伴随国内土木工程咨询业繁荣。英国土木职业出现极化；欧盟样本中，高 NLG 采用与较慢的 M71 营业额和工资增长相关，就业保持稳定；跨境正向关系出现在印度模式一 SJ3，而非中国建筑服务或笼统的任何 AI。</w:t>
      </w:r>
    </w:p>
    <w:p>
      <w:pPr>
        <w:pStyle w:val="BodyText"/>
      </w:pPr>
      <w:r>
        <w:t xml:space="preserve">精简后的答案是：</w:t>
      </w:r>
      <w:r>
        <w:rPr>
          <w:bCs/>
          <w:b/>
        </w:rPr>
        <w:t xml:space="preserve">国内 M71 未扩张，印度相关远程服务随 NLG 冲击增加。</w:t>
      </w:r>
      <w:r>
        <w:t xml:space="preserve"> </w:t>
      </w:r>
      <w:r>
        <w:t xml:space="preserve">这是行业与贸易边际的证据，不是英国土木工程师就业导致外国经济结果的证据。</w:t>
      </w:r>
    </w:p>
    <w:bookmarkEnd w:id="33"/>
    <w:bookmarkStart w:id="49" w:name="核心图"/>
    <w:p>
      <w:pPr>
        <w:pStyle w:val="Heading2"/>
      </w:pPr>
      <w:r>
        <w:t xml:space="preserve">核心图</w:t>
      </w:r>
    </w:p>
    <w:p>
      <w:pPr>
        <w:pStyle w:val="FirstParagraph"/>
      </w:pPr>
      <w:r>
        <w:rPr>
          <w:bCs/>
          <w:b/>
        </w:rPr>
        <w:t xml:space="preserve">图 1. 英国土木相关职业就业变化。</w:t>
      </w:r>
    </w:p>
    <w:p>
      <w:pPr>
        <w:pStyle w:val="BodyText"/>
      </w:pPr>
      <w:r>
        <w:drawing>
          <wp:inline>
            <wp:extent cx="5334000" cy="3473302"/>
            <wp:effectExtent b="0" l="0" r="0" t="0"/>
            <wp:docPr descr="图 1" title="" id="35" name="Picture"/>
            <a:graphic>
              <a:graphicData uri="http://schemas.openxmlformats.org/drawingml/2006/picture">
                <pic:pic>
                  <pic:nvPicPr>
                    <pic:cNvPr descr="figures/figure2_uk_aps_bund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2. 欧盟专业服务业 NLG、其他 AI 与建筑业 NLG。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图 2" title="" id="38" name="Picture"/>
            <a:graphic>
              <a:graphicData uri="http://schemas.openxmlformats.org/drawingml/2006/picture">
                <pic:pic>
                  <pic:nvPicPr>
                    <pic:cNvPr descr="figures/figure12_tnlg_vs_tm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3. 进口国 ΔTNLG 与印度 SJ3 变化。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图 3" title="" id="41" name="Picture"/>
            <a:graphic>
              <a:graphicData uri="http://schemas.openxmlformats.org/drawingml/2006/picture">
                <pic:pic>
                  <pic:nvPicPr>
                    <pic:cNvPr descr="figures/figure15_cross_section_tnl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4. M71 与建筑业营业额增长。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图 4" title="" id="44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5. 进口国 ΔTNLG 与 M71 营业额变化。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图 5" title="" id="47" name="Picture"/>
            <a:graphic>
              <a:graphicData uri="http://schemas.openxmlformats.org/drawingml/2006/picture">
                <pic:pic>
                  <pic:nvPicPr>
                    <pic:cNvPr descr="figures/figure19_tnlg_vs_m71_turnov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核心表"/>
    <w:p>
      <w:pPr>
        <w:pStyle w:val="Heading2"/>
      </w:pPr>
      <w:r>
        <w:t xml:space="preserve">核心表</w:t>
      </w:r>
    </w:p>
    <w:bookmarkStart w:id="50" w:name="表-1.-英国职业暴露与就业变化"/>
    <w:p>
      <w:pPr>
        <w:pStyle w:val="Heading3"/>
      </w:pPr>
      <w:r>
        <w:t xml:space="preserve">表 1. 英国职业暴露与就业变化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Eloundou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 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CAD、绘图与建筑技术员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土木工程师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建筑与土木工程技术员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+214.5%</w:t>
            </w:r>
          </w:p>
        </w:tc>
      </w:tr>
    </w:tbl>
    <w:bookmarkEnd w:id="50"/>
    <w:bookmarkStart w:id="51" w:name="表-2.-m71-行业结果"/>
    <w:p>
      <w:pPr>
        <w:pStyle w:val="Heading3"/>
      </w:pPr>
      <w:r>
        <w:t xml:space="preserve">表 2. M71 行业结果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Post-2024×ΔTNLG（标准误）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营业额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−0.007**（0.003）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就业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−0.000（0.002）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工资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−0.009***（0.003）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增加值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−0.006***（0.002）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</w:tbl>
    <w:bookmarkEnd w:id="51"/>
    <w:bookmarkStart w:id="52" w:name="表-3.-跨境服务结果"/>
    <w:p>
      <w:pPr>
        <w:pStyle w:val="Heading3"/>
      </w:pPr>
      <w:r>
        <w:t xml:space="preserve">表 3. 跨境服务结果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系数（标准误）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模式一 SJ3 汇总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0.007**（0.003）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印度 SJ3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0.021***（0.008）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笼统 TANY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0.000（0.006）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计算机服务 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−0.002（0.006）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中国建筑服务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−0.008（0.009）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</w:tbl>
    <w:p>
      <w:pPr>
        <w:pStyle w:val="BodyText"/>
      </w:pPr>
      <w:r>
        <w:t xml:space="preserve">参考文献与英文精简稿一致。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CN_Concise_Manuscript</dc:title>
  <dc:creator/>
  <dc:language>en</dc:language>
  <cp:keywords/>
  <dcterms:created xsi:type="dcterms:W3CDTF">2026-09-18T11:34:21Z</dcterms:created>
  <dcterms:modified xsi:type="dcterms:W3CDTF">2026-09-18T11:34:21Z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