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32.png" ContentType="image/png"/>
  <Override PartName="/word/media/rId89.png" ContentType="image/png"/>
  <Override PartName="/word/media/rId9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CN_full_article</w:t>
      </w:r>
    </w:p>
    <w:bookmarkStart w:id="96" w:name="跨国背景下受-ai-冲击的土木工程行业经济如何变动"/>
    <w:p>
      <w:pPr>
        <w:pStyle w:val="Heading1"/>
      </w:pPr>
      <w:r>
        <w:t xml:space="preserve">跨国背景下，受 AI 冲击的土木工程行业经济如何变动</w:t>
      </w:r>
    </w:p>
    <w:p>
      <w:pPr>
        <w:pStyle w:val="FirstParagraph"/>
      </w:pPr>
      <w:r>
        <w:rPr>
          <w:bCs/>
          <w:b/>
        </w:rPr>
        <w:t xml:space="preserve">How Does the Civil Engineering Industry Economy Change under an AI Shock? Evidence from a Cross-Country Stack</w:t>
      </w:r>
    </w:p>
    <w:p>
      <w:pPr>
        <w:pStyle w:val="BodyText"/>
      </w:pPr>
      <w:r>
        <w:t xml:space="preserve">柴宇轩 · 斯特拉斯克莱德大学 ·</w:t>
      </w:r>
      <w:r>
        <w:t xml:space="preserve"> </w:t>
      </w:r>
      <w:r>
        <w:rPr>
          <w:rStyle w:val="VerbatimChar"/>
        </w:rPr>
        <w:t xml:space="preserve">yuxuanchai98@outlook.com</w:t>
      </w:r>
      <w:r>
        <w:br/>
      </w:r>
      <w:r>
        <w:t xml:space="preserve">工作论文 · 2026 年 9 月 17 日</w:t>
      </w:r>
    </w:p>
    <w:p>
      <w:pPr>
        <w:pStyle w:val="BodyText"/>
      </w:pPr>
      <w:r>
        <w:t xml:space="preserve">本文只用已检索的官方序列，不插值职业、M71 或 GDP 单元格。不是 IJCM 论文那套大模型职业打分的复用。暴露度来自 Eloundou 等；英国就业来自 ONS APS（状态 A）；冲击为 Eurostat 生成式文本 E_AI_TNLG；行业结果为 NACE M71；贸易为 OECD–WTO BaTIS。</w:t>
      </w:r>
    </w:p>
    <w:p>
      <w:pPr>
        <w:pStyle w:val="BodyText"/>
      </w:pPr>
      <w:r>
        <w:rPr>
          <w:bCs/>
          <w:b/>
        </w:rPr>
        <w:t xml:space="preserve">识别边界。</w:t>
      </w:r>
      <w:r>
        <w:t xml:space="preserve"> </w:t>
      </w:r>
      <w:r>
        <w:t xml:space="preserve">英国 SOC 2121 人数下降</w:t>
      </w:r>
      <w:r>
        <w:rPr>
          <w:bCs/>
          <w:b/>
        </w:rPr>
        <w:t xml:space="preserve">不能</w:t>
      </w:r>
      <w:r>
        <w:t xml:space="preserve">识别另一国土木工程师人数或 GDP。ILO 不发布双边 ISCO 2142。</w:t>
      </w:r>
    </w:p>
    <w:p>
      <w:r>
        <w:pict>
          <v:rect style="width:0;height:1.5pt" o:hralign="center" o:hrstd="t" o:hr="t"/>
        </w:pict>
      </w:r>
    </w:p>
    <w:bookmarkStart w:id="20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生成式 AI 到来后，土木工程</w:t>
      </w:r>
      <w:r>
        <w:rPr>
          <w:bCs/>
          <w:b/>
        </w:rPr>
        <w:t xml:space="preserve">行业经济</w:t>
      </w:r>
      <w:r>
        <w:t xml:space="preserve">如何变动，变动是否留在一国之内？本文用土木专用数据栈回答：（1）土木职业内部的任务暴露；（2）</w:t>
      </w:r>
      <w:r>
        <w:rPr>
          <w:bCs/>
          <w:b/>
        </w:rPr>
        <w:t xml:space="preserve">生成式</w:t>
      </w:r>
      <w:r>
        <w:t xml:space="preserve">采用冲击（E_AI_TNLG），而非笼统的“任何 AI”；（3）NACE</w:t>
      </w:r>
      <w:r>
        <w:t xml:space="preserve"> </w:t>
      </w:r>
      <w:r>
        <w:rPr>
          <w:bCs/>
          <w:b/>
        </w:rPr>
        <w:t xml:space="preserve">M71</w:t>
      </w:r>
      <w:r>
        <w:t xml:space="preserve"> </w:t>
      </w:r>
      <w:r>
        <w:t xml:space="preserve">建筑与工程活动，区别于工地施工（NACE F）；（4）GATS</w:t>
      </w:r>
      <w:r>
        <w:t xml:space="preserve"> </w:t>
      </w:r>
      <w:r>
        <w:rPr>
          <w:bCs/>
          <w:b/>
        </w:rPr>
        <w:t xml:space="preserve">模式一</w:t>
      </w:r>
      <w:r>
        <w:t xml:space="preserve">与</w:t>
      </w:r>
      <w:r>
        <w:rPr>
          <w:bCs/>
          <w:b/>
        </w:rPr>
        <w:t xml:space="preserve">模式三</w:t>
      </w:r>
      <w:r>
        <w:t xml:space="preserve">贸易。</w:t>
      </w:r>
    </w:p>
    <w:p>
      <w:pPr>
        <w:pStyle w:val="BodyText"/>
      </w:pPr>
      <w:r>
        <w:t xml:space="preserve">Eloundou 人类评分：土木绘图员 0.52，土木技术员 0.477，土木工程师 0.375。英国 APS（2021 年 12 月–2025 年 9 月）：CAD/绘图技术员（3120）−23.9%，土木工程师（2121）−14.3%，建筑土木技术员（3114）+214.5%。这是任务极化，不是单一职业崩塌。</w:t>
      </w:r>
    </w:p>
    <w:p>
      <w:pPr>
        <w:pStyle w:val="BodyText"/>
      </w:pPr>
      <w:r>
        <w:t xml:space="preserve">欧盟 27 国专业服务业 NLG：2023 年 4.55% → 2024 年 11.51% → 2025 年 17.74%；建筑业仅 0.58、2.42、3.25。17 个成员国上，Post-2024×ΔTNLG 对 M71 营业额为 −0.007</w:t>
      </w:r>
      <w:r>
        <w:rPr>
          <w:bCs/>
          <w:b/>
        </w:rPr>
        <w:t xml:space="preserve">、工资 −0.009</w:t>
      </w:r>
      <w:r>
        <w:rPr>
          <w:iCs/>
          <w:i/>
        </w:rPr>
        <w:t xml:space="preserve">，就业精确为零。工地营业额同样为负。英国自印度进口 BaTIS SJ3：2019 年 21.9 亿美元 → 2024 年 49.8 亿。欧盟面板上印度走廊 0.021</w:t>
      </w:r>
      <w:r>
        <w:t xml:space="preserve">**。笼统 TANY 为 0.000。中国模式三建筑服务并未更多地流向高 NLG 进口国。</w:t>
      </w:r>
    </w:p>
    <w:p>
      <w:pPr>
        <w:pStyle w:val="BodyText"/>
      </w:pPr>
      <w:r>
        <w:t xml:space="preserve">高 NLG 欧洲的土木</w:t>
      </w:r>
      <w:r>
        <w:rPr>
          <w:bCs/>
          <w:b/>
        </w:rPr>
        <w:t xml:space="preserve">咨询业</w:t>
      </w:r>
      <w:r>
        <w:t xml:space="preserve">并未随冲击扩张；同向变动的是印度模式一，不是国内 M71 产出，也不是中国模式三。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生成式 AI；土木工程；NACE M71；模式一；BaTIS；跨国。</w:t>
      </w:r>
    </w:p>
    <w:p>
      <w:r>
        <w:pict>
          <v:rect style="width:0;height:1.5pt" o:hralign="center" o:hrstd="t" o:hr="t"/>
        </w:pict>
      </w:r>
    </w:p>
    <w:bookmarkEnd w:id="20"/>
    <w:bookmarkStart w:id="21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土木处在 AI–劳动文献的接缝上。图纸、规范、报告像大模型能处理的文本任务（Eloundou 等 2023, 2024；Felten 等 2021）；行业产出却仍是建筑、道路与水系统，Eurostat 企业调查里工地几乎不用 AI。把“建筑业”和“土木工程师”当成一个对象，是把两个市场混在一起。</w:t>
      </w:r>
    </w:p>
    <w:p>
      <w:pPr>
        <w:pStyle w:val="BodyText"/>
      </w:pPr>
      <w:r>
        <w:t xml:space="preserve">研究问题是行业级、跨国的：</w:t>
      </w:r>
      <w:r>
        <w:rPr>
          <w:bCs/>
          <w:b/>
        </w:rPr>
        <w:t xml:space="preserve">当 A 国采用生成式 AI 时，土木工程行业经济如何变动——A 国本国的建筑与工程企业（NACE M71），以及与 B 国的工程相关贸易。</w:t>
      </w:r>
      <w:r>
        <w:t xml:space="preserve"> </w:t>
      </w:r>
      <w:r>
        <w:t xml:space="preserve">本文不主张英国 2121 人数导致印度 GDP。</w:t>
      </w:r>
    </w:p>
    <w:p>
      <w:pPr>
        <w:pStyle w:val="BodyText"/>
      </w:pPr>
      <w:r>
        <w:t xml:space="preserve">设计服从第 2 节文献。冲击必须是生成式的（TNLG 2024 减 2023，而不是把 ChatGPT 之前的机器学习混进 TANY）。行业必须是 M71，不是 ISIC F，也不是全部专业服务 M。跨境必须按 GATS 模式（WTO 1994；Francois and Hoekman 2010）：印度、菲律宾、越南作为模式一候选；中国作为模式三建筑服务（BaTIS SE）。</w:t>
      </w:r>
    </w:p>
    <w:p>
      <w:pPr>
        <w:pStyle w:val="BodyText"/>
      </w:pPr>
      <w:r>
        <w:t xml:space="preserve">贡献是经验堆叠，不是新的 AI 理论。相对于职业暴露图（Felten；Webb；Eloundou；ILO–NASK），补上</w:t>
      </w:r>
      <w:r>
        <w:rPr>
          <w:bCs/>
          <w:b/>
        </w:rPr>
        <w:t xml:space="preserve">已实现采用</w:t>
      </w:r>
      <w:r>
        <w:t xml:space="preserve">和</w:t>
      </w:r>
      <w:r>
        <w:rPr>
          <w:bCs/>
          <w:b/>
        </w:rPr>
        <w:t xml:space="preserve">行业账户</w:t>
      </w:r>
      <w:r>
        <w:t xml:space="preserve">。相对于企业实验（Noy and Zhang 2023；Brynjolfsson 等 2025；Dell’Acqua 等 2023），补上 17 国行业与贸易面板。相对于离岸理论（Blinder 2006；Grossman and Rossi-Hansberg 2008；Baldwin 2016, 2019），补上土木的模式切分和计算机服务安慰剂。</w:t>
      </w:r>
    </w:p>
    <w:p>
      <w:pPr>
        <w:pStyle w:val="BodyText"/>
      </w:pPr>
      <w:r>
        <w:t xml:space="preserve">不存在的序列写入</w:t>
      </w:r>
      <w:r>
        <w:t xml:space="preserve"> </w:t>
      </w:r>
      <w:r>
        <w:rPr>
          <w:rStyle w:val="VerbatimChar"/>
        </w:rPr>
        <w:t xml:space="preserve">DATA_INVENTORY.md</w:t>
      </w:r>
      <w:r>
        <w:t xml:space="preserve">，缺失本身构成主张边界。</w:t>
      </w:r>
    </w:p>
    <w:p>
      <w:r>
        <w:pict>
          <v:rect style="width:0;height:1.5pt" o:hralign="center" o:hrstd="t" o:hr="t"/>
        </w:pict>
      </w:r>
    </w:p>
    <w:bookmarkEnd w:id="21"/>
    <w:bookmarkStart w:id="28" w:name="文献综述"/>
    <w:p>
      <w:pPr>
        <w:pStyle w:val="Heading2"/>
      </w:pPr>
      <w:r>
        <w:t xml:space="preserve">2. 文献综述</w:t>
      </w:r>
    </w:p>
    <w:bookmarkStart w:id="22" w:name="任务技术变革而不是职业消失"/>
    <w:p>
      <w:pPr>
        <w:pStyle w:val="Heading3"/>
      </w:pPr>
      <w:r>
        <w:t xml:space="preserve">2.1 任务技术变革，而不是职业消失</w:t>
      </w:r>
    </w:p>
    <w:p>
      <w:pPr>
        <w:pStyle w:val="FirstParagraph"/>
      </w:pPr>
      <w:r>
        <w:t xml:space="preserve">Autor, Levy and Murnane（2003）把问题从“计算机替代哪些职业”改成“替代哪些</w:t>
      </w:r>
      <w:r>
        <w:rPr>
          <w:bCs/>
          <w:b/>
        </w:rPr>
        <w:t xml:space="preserve">任务</w:t>
      </w:r>
      <w:r>
        <w:t xml:space="preserve">”。Autor（2015）强调自动化常提高互补非例行工作的价值。Acemoglu and Restrepo（2018, 2019, 2020）区分替代与新任务重置：行业就业不必随技术下降。这对土木是正确先验：绘图与条款起草更暴露，现场监督与法定签章更不暴露；CAD 技术员下降可以与对接软件的技术员上升并存。</w:t>
      </w:r>
    </w:p>
    <w:p>
      <w:pPr>
        <w:pStyle w:val="BodyText"/>
      </w:pPr>
      <w:r>
        <w:t xml:space="preserve">Acemoglu, Autor, Hazell and Restrepo（2022）发现 ChatGPT 之前美国 AI 相关空缺对就业影响有限。含义是：</w:t>
      </w:r>
      <w:r>
        <w:rPr>
          <w:bCs/>
          <w:b/>
        </w:rPr>
        <w:t xml:space="preserve">职业暴露不是行业发生率</w:t>
      </w:r>
      <w:r>
        <w:t xml:space="preserve">。Felten 产业分（AIIE）对 NAICS 23 多为负，对上 Eurostat：工地企业很少用 AI。不能从建筑机器人论文直接读 M71。</w:t>
      </w:r>
    </w:p>
    <w:bookmarkEnd w:id="22"/>
    <w:bookmarkStart w:id="23" w:name="暴露度aioewebbeloundouilonask"/>
    <w:p>
      <w:pPr>
        <w:pStyle w:val="Heading3"/>
      </w:pPr>
      <w:r>
        <w:t xml:space="preserve">2.2 暴露度：AIOE、Webb、Eloundou、ILO–NASK</w:t>
      </w:r>
    </w:p>
    <w:p>
      <w:pPr>
        <w:pStyle w:val="FirstParagraph"/>
      </w:pPr>
      <w:r>
        <w:t xml:space="preserve">Felten, Raj and Seamans（2018, 2021）把 O</w:t>
      </w:r>
      <w:r>
        <w:rPr>
          <w:iCs/>
          <w:i/>
        </w:rPr>
        <w:t xml:space="preserve">NET 能力与 AI 进展重叠（AIOE）并做产业分（AIIE）。Webb（2020）用专利与任务文本重叠。Eloundou 等（2023, 2024）按 GPT 暴露给 O</w:t>
      </w:r>
      <w:r>
        <w:t xml:space="preserve">NET 任务打分，本文用官方</w:t>
      </w:r>
      <w:r>
        <w:t xml:space="preserve"> </w:t>
      </w:r>
      <w:r>
        <w:rPr>
          <w:rStyle w:val="VerbatimChar"/>
        </w:rPr>
        <w:t xml:space="preserve">occ_level.csv</w:t>
      </w:r>
      <w:r>
        <w:t xml:space="preserve">。ILO 与 NASK（2023）把 ISCO 2142 土木工程师列为</w:t>
      </w:r>
      <w:r>
        <w:t xml:space="preserve"> </w:t>
      </w:r>
      <w:r>
        <w:rPr>
          <w:bCs/>
          <w:b/>
        </w:rPr>
        <w:t xml:space="preserve">Not Exposed</w:t>
      </w:r>
      <w:r>
        <w:t xml:space="preserve">（均分 0.30）。</w:t>
      </w:r>
    </w:p>
    <w:p>
      <w:pPr>
        <w:pStyle w:val="BodyText"/>
      </w:pPr>
      <w:r>
        <w:t xml:space="preserve">这些工具</w:t>
      </w:r>
      <w:r>
        <w:rPr>
          <w:bCs/>
          <w:b/>
        </w:rPr>
        <w:t xml:space="preserve">排序不一致</w:t>
      </w:r>
      <w:r>
        <w:t xml:space="preserve">。旧 IJCM 外部文件夹里，Felten AIOE（2021）土木工程师 1.283，高于绘图员 0.923。Eloundou、ONS 自动化概率（ONS 2019）和旧 LLM 面板对 CAD 与持证工程师的排序相反。英国 APS 2021–25 跟生成式排序，不跟 2021 AIOE。技术员暴露高却 +214.5%——暴露不是发生（Autor 2015）。</w:t>
      </w:r>
    </w:p>
    <w:p>
      <w:pPr>
        <w:pStyle w:val="BodyText"/>
      </w:pPr>
      <w:r>
        <w:t xml:space="preserve">Goldfarb 等关于 AI 技能需求集中在少数企业与职业，因此不能把全国 Copilot 份额当成土木行业冲击。微软 2025–26 用户份额只作背景，年份与 BaTIS 不对齐。</w:t>
      </w:r>
    </w:p>
    <w:bookmarkEnd w:id="23"/>
    <w:bookmarkStart w:id="24" w:name="生成式-ai-作为劳动力市场冲击"/>
    <w:p>
      <w:pPr>
        <w:pStyle w:val="Heading3"/>
      </w:pPr>
      <w:r>
        <w:t xml:space="preserve">2.3 生成式 AI 作为劳动力市场冲击</w:t>
      </w:r>
    </w:p>
    <w:p>
      <w:pPr>
        <w:pStyle w:val="FirstParagraph"/>
      </w:pPr>
      <w:r>
        <w:t xml:space="preserve">ChatGPT 给出可定期的冲击。Noy and Zhang（2023）发现专业写作生产率大增。Copilot 研究（Peng 等 2023）显示编码加快。Brynjolfsson, Li and Raymond（2025）发现客服生产率提高集中在经验较少者。Dell’Acqua 等（2023）提出“锯齿前沿”：同一职业内有的任务被帮、有的失败。Hui, Reshef and Zhou（2024）研究自由职业编码市场。</w:t>
      </w:r>
    </w:p>
    <w:p>
      <w:pPr>
        <w:pStyle w:val="BodyText"/>
      </w:pPr>
      <w:r>
        <w:t xml:space="preserve">对土木的两点：规范与 CAD 注释更可能在被帮助一侧；签章、责任与现场在另一侧。企业实验不是行业账户。绘图员画得更快可能减少计费小时（营业额）而不减少人数——这正是 SBS 的形态：NLG 跳升处工资和营业额增长更慢，就业不降。</w:t>
      </w:r>
    </w:p>
    <w:p>
      <w:pPr>
        <w:pStyle w:val="BodyText"/>
      </w:pPr>
      <w:r>
        <w:t xml:space="preserve">Agrawal, Gans and Goldfarb（2018, 2022）把 AI 写成更便宜的预测。Korinek and Stiglitz（2021）强调分配取决于替代还是增强。本文不估计福利，只问哪些可测行业总量动了。</w:t>
      </w:r>
    </w:p>
    <w:bookmarkEnd w:id="24"/>
    <w:bookmarkStart w:id="25" w:name="离岸可贸易任务与-gats-模式"/>
    <w:p>
      <w:pPr>
        <w:pStyle w:val="Heading3"/>
      </w:pPr>
      <w:r>
        <w:t xml:space="preserve">2.4 离岸、可贸易任务与 GATS 模式</w:t>
      </w:r>
    </w:p>
    <w:p>
      <w:pPr>
        <w:pStyle w:val="FirstParagraph"/>
      </w:pPr>
      <w:r>
        <w:t xml:space="preserve">Blinder（2006）提出能沿线传输的就可离岸。Grossman and Rossi-Hansberg（2008）建立任务贸易模型。Baldwin（2016, 2019）强调数字技术把专业服务从办公室拆开。GATS（WTO 1994）分模式一至四。Francois and Hoekman（2010）、Loungani 等（2017）综述为何服务贸易数据落后于货物。</w:t>
      </w:r>
    </w:p>
    <w:p>
      <w:pPr>
        <w:pStyle w:val="BodyText"/>
      </w:pPr>
      <w:r>
        <w:t xml:space="preserve">对土木，模式不是脚注。图纸与计算可作印度模式一；现场承包是模式三。混在“建筑 AI”回归里是设定错误。BaTIS 平衡统计能用的最细工程相邻标题是</w:t>
      </w:r>
      <w:r>
        <w:t xml:space="preserve"> </w:t>
      </w:r>
      <w:r>
        <w:rPr>
          <w:bCs/>
          <w:b/>
        </w:rPr>
        <w:t xml:space="preserve">SJ3</w:t>
      </w:r>
      <w:r>
        <w:t xml:space="preserve">。</w:t>
      </w:r>
      <w:r>
        <w:rPr>
          <w:bCs/>
          <w:b/>
        </w:rPr>
        <w:t xml:space="preserve">SJ311/SJ312</w:t>
      </w:r>
      <w:r>
        <w:t xml:space="preserve"> </w:t>
      </w:r>
      <w:r>
        <w:t xml:space="preserve">不在 BaTIS。计算机服务 SI 是数字安慰剂：若结果是“任何远程专业工作”，SI 应随 TNLG 动，但没有动。</w:t>
      </w:r>
    </w:p>
    <w:bookmarkEnd w:id="25"/>
    <w:bookmarkStart w:id="26" w:name="建筑经济与专业工程"/>
    <w:p>
      <w:pPr>
        <w:pStyle w:val="Heading3"/>
      </w:pPr>
      <w:r>
        <w:t xml:space="preserve">2.5 建筑经济与专业工程</w:t>
      </w:r>
    </w:p>
    <w:p>
      <w:pPr>
        <w:pStyle w:val="FirstParagraph"/>
      </w:pPr>
      <w:r>
        <w:t xml:space="preserve">建筑经济长期把承包业写成项目型、本地、数字化弱（Gann and Salter 2000；Winch 2010）。BIM（Eastman 等 2011；Sacks 等 2018）数字化的是设计与协调，落在 M71，不必落在 F。Eurostat 证实这一劈裂：专业服务 AI 远高于工地；NLG 更甚。工地是安慰剂行业，不是处理行业。</w:t>
      </w:r>
    </w:p>
    <w:bookmarkEnd w:id="26"/>
    <w:bookmarkStart w:id="27" w:name="现有-ai建筑研究缺什么"/>
    <w:p>
      <w:pPr>
        <w:pStyle w:val="Heading3"/>
      </w:pPr>
      <w:r>
        <w:t xml:space="preserve">2.6 现有 AI–建筑研究缺什么</w:t>
      </w:r>
    </w:p>
    <w:p>
      <w:pPr>
        <w:pStyle w:val="FirstParagraph"/>
      </w:pPr>
      <w:r>
        <w:t xml:space="preserve">多数论文或是没有贸易/M71 的职业清单，或是项目级 BIM/ChatGPT 案例。宏观 AI–增长回归不隔离土木。空缺研究看不到模式一 SJ3。缺口是：</w:t>
      </w:r>
      <w:r>
        <w:rPr>
          <w:bCs/>
          <w:b/>
        </w:rPr>
        <w:t xml:space="preserve">可定期的生成式冲击 × M71 行业经济 × 模式切分贸易 × 安慰剂</w:t>
      </w:r>
      <w:r>
        <w:t xml:space="preserve">，并明示统计机构未发布的序列（M71 AI 调查；双边 ISCO 2142；BaTIS SJ312；中国/印度 ILO M71）。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数据设计与结果与英文全文同一套真实数字"/>
    <w:p>
      <w:pPr>
        <w:pStyle w:val="Heading2"/>
      </w:pPr>
      <w:r>
        <w:t xml:space="preserve">3–5. 数据、设计与结果（与英文全文同一套真实数字）</w:t>
      </w:r>
    </w:p>
    <w:p>
      <w:pPr>
        <w:pStyle w:val="FirstParagraph"/>
      </w:pPr>
      <w:r>
        <w:t xml:space="preserve">冲击：NACE M 的 E_AI_TNLG，2024 减 2023。结果：SBS M71 营业额/就业/工资（2021–2024）；BaTIS SJ3/SE/SI/SJ1/SJ2。</w:t>
      </w:r>
    </w:p>
    <w:p>
      <w:pPr>
        <w:pStyle w:val="BodyText"/>
      </w:pPr>
      <w:r>
        <w:t xml:space="preserve">主要数字（详见英文稿表 1–17、图 1–21）：</w:t>
      </w:r>
    </w:p>
    <w:p>
      <w:pPr>
        <w:numPr>
          <w:ilvl w:val="0"/>
          <w:numId w:val="1001"/>
        </w:numPr>
        <w:pStyle w:val="Compact"/>
      </w:pPr>
      <w:r>
        <w:t xml:space="preserve">英国 APS：3120 −23.9%，2121 −14.3%，3114 +214.5%。</w:t>
      </w:r>
    </w:p>
    <w:p>
      <w:pPr>
        <w:numPr>
          <w:ilvl w:val="0"/>
          <w:numId w:val="1001"/>
        </w:numPr>
        <w:pStyle w:val="Compact"/>
      </w:pPr>
      <w:r>
        <w:t xml:space="preserve">英←印 SJ3 +128%；英←中 SE +52%。</w:t>
      </w:r>
    </w:p>
    <w:p>
      <w:pPr>
        <w:numPr>
          <w:ilvl w:val="0"/>
          <w:numId w:val="1001"/>
        </w:numPr>
        <w:pStyle w:val="Compact"/>
      </w:pPr>
      <w:r>
        <w:t xml:space="preserve">笼统 TANY：0.000（0.006），N=336；事件研究 2018 年已显著，预趋势失败。</w:t>
      </w:r>
    </w:p>
    <w:p>
      <w:pPr>
        <w:numPr>
          <w:ilvl w:val="0"/>
          <w:numId w:val="1001"/>
        </w:numPr>
        <w:pStyle w:val="Compact"/>
      </w:pPr>
      <w:r>
        <w:t xml:space="preserve">TNLG Post=2024：0.007</w:t>
      </w:r>
      <w:r>
        <w:rPr>
          <w:bCs/>
          <w:b/>
        </w:rPr>
        <w:t xml:space="preserve">；印度 0.021</w:t>
      </w:r>
      <w:r>
        <w:t xml:space="preserve">*；TANY 对照 0.000。SI、中国 SE、SJ1/SJ2 不显著。J/C/N 的 NLG 也显著——全国生成式浪潮，不是仅 M71。</w:t>
      </w:r>
    </w:p>
    <w:p>
      <w:pPr>
        <w:numPr>
          <w:ilvl w:val="0"/>
          <w:numId w:val="1001"/>
        </w:numPr>
        <w:pStyle w:val="Compact"/>
      </w:pPr>
      <w:r>
        <w:t xml:space="preserve">TNLG 事件研究 2018–21 不显著。</w:t>
      </w:r>
    </w:p>
    <w:p>
      <w:pPr>
        <w:numPr>
          <w:ilvl w:val="0"/>
          <w:numId w:val="1001"/>
        </w:numPr>
        <w:pStyle w:val="Compact"/>
      </w:pPr>
      <w:r>
        <w:t xml:space="preserve">M71 营业额 Post-2024×ΔTNLG −0.007</w:t>
      </w:r>
      <w:r>
        <w:rPr>
          <w:bCs/>
          <w:b/>
        </w:rPr>
        <w:t xml:space="preserve">，工资 −0.009</w:t>
      </w:r>
      <w:r>
        <w:rPr>
          <w:iCs/>
          <w:i/>
        </w:rPr>
        <w:t xml:space="preserve">，就业 0.000；工地营业额 −0.010</w:t>
      </w:r>
      <w:r>
        <w:t xml:space="preserve">**。</w:t>
      </w:r>
    </w:p>
    <w:p>
      <w:pPr>
        <w:numPr>
          <w:ilvl w:val="0"/>
          <w:numId w:val="1001"/>
        </w:numPr>
        <w:pStyle w:val="Compact"/>
      </w:pPr>
      <w:r>
        <w:t xml:space="preserve">中国 SE 2019–24：低 NLG 目的地 +65%，高 NLG +47%，模式三未随 NLG 再配置。</w:t>
      </w:r>
    </w:p>
    <w:p>
      <w:pPr>
        <w:numPr>
          <w:ilvl w:val="0"/>
          <w:numId w:val="1001"/>
        </w:numPr>
        <w:pStyle w:val="Compact"/>
      </w:pPr>
      <w:r>
        <w:t xml:space="preserve">印度 ISIC M +13.0%、F +33.0%（2019–2024），与“印度工程师替代英国工程师”的简单叙述不符。中国 ILO F/M 为空。</w:t>
      </w:r>
    </w:p>
    <w:p>
      <w:r>
        <w:pict>
          <v:rect style="width:0;height:1.5pt" o:hralign="center" o:hrstd="t" o:hr="t"/>
        </w:pict>
      </w:r>
    </w:p>
    <w:bookmarkEnd w:id="29"/>
    <w:bookmarkStart w:id="30" w:name="讨论与局限"/>
    <w:p>
      <w:pPr>
        <w:pStyle w:val="Heading2"/>
      </w:pPr>
      <w:r>
        <w:t xml:space="preserve">6. 讨论与局限</w:t>
      </w:r>
    </w:p>
    <w:p>
      <w:pPr>
        <w:pStyle w:val="FirstParagraph"/>
      </w:pPr>
      <w:r>
        <w:t xml:space="preserve">任务自动化文献预告职业内部极化（APS 给出）。Globotics 预告模式一（印度 SJ3 给出，菲、越不给出）。建筑经济预告工地不是 AI 市场（Eurostat F、AIIE、SE 安慰剂同意）。相对企业实验，较新的是</w:t>
      </w:r>
      <w:r>
        <w:rPr>
          <w:bCs/>
          <w:b/>
        </w:rPr>
        <w:t xml:space="preserve">行业账户</w:t>
      </w:r>
      <w:r>
        <w:t xml:space="preserve">：高 NLG 欧洲 2024 年 M71 营业额与工资并未繁荣，就业持平。更快的图不等于更大的咨询业名义规模。</w:t>
      </w:r>
    </w:p>
    <w:p>
      <w:pPr>
        <w:pStyle w:val="BodyText"/>
      </w:pPr>
      <w:r>
        <w:t xml:space="preserve">J/C/N 的 TNLG 也预测 SJ3，限制了贸易冲击的土木专一性。SJ3 宽于 M71；无 SJ312；无 M71 AI 调查；现价；17 个聚类；ILO M71 与 BLS 54133 不可用。APS 2121 不是伙伴国 GDP 冲击。</w:t>
      </w:r>
    </w:p>
    <w:p>
      <w:r>
        <w:pict>
          <v:rect style="width:0;height:1.5pt" o:hralign="center" o:hrstd="t" o:hr="t"/>
        </w:pict>
      </w:r>
    </w:p>
    <w:bookmarkEnd w:id="30"/>
    <w:bookmarkStart w:id="31" w:name="结论"/>
    <w:p>
      <w:pPr>
        <w:pStyle w:val="Heading2"/>
      </w:pPr>
      <w:r>
        <w:t xml:space="preserve">7. 结论</w:t>
      </w:r>
    </w:p>
    <w:p>
      <w:pPr>
        <w:pStyle w:val="FirstParagraph"/>
      </w:pPr>
      <w:r>
        <w:t xml:space="preserve">在</w:t>
      </w:r>
      <w:r>
        <w:rPr>
          <w:bCs/>
          <w:b/>
        </w:rPr>
        <w:t xml:space="preserve">跨国生成式 AI 冲击</w:t>
      </w:r>
      <w:r>
        <w:t xml:space="preserve">下，本文能测到的高 NLG 欧盟成员国土木工程</w:t>
      </w:r>
      <w:r>
        <w:rPr>
          <w:bCs/>
          <w:b/>
        </w:rPr>
        <w:t xml:space="preserve">行业经济</w:t>
      </w:r>
      <w:r>
        <w:t xml:space="preserve">没有扩张：SBS 显示营业额与工资相对更慢、就业持平，工地类似。动起来的是</w:t>
      </w:r>
      <w:r>
        <w:rPr>
          <w:bCs/>
          <w:b/>
        </w:rPr>
        <w:t xml:space="preserve">印度模式一</w:t>
      </w:r>
      <w:r>
        <w:t xml:space="preserve">（BaTIS SJ3），不是中国模式三，也不是笼统“任何 AI”。英国土木职业按 Eloundou 排序极化，而不是整块崩塌。</w:t>
      </w:r>
    </w:p>
    <w:p>
      <w:pPr>
        <w:pStyle w:val="BodyText"/>
      </w:pPr>
      <w:r>
        <w:t xml:space="preserve">题目的答案是分裂的：</w:t>
      </w:r>
      <w:r>
        <w:rPr>
          <w:bCs/>
          <w:b/>
        </w:rPr>
        <w:t xml:space="preserve">国内 M71 无繁荣；印度模式一有关联，但不是 2121 的因果。</w:t>
      </w:r>
      <w:r>
        <w:t xml:space="preserve"> </w:t>
      </w:r>
      <w:r>
        <w:t xml:space="preserve">在 SJ312、M71 AI 调查和双边 ISCO 2142 出现之前，不应把施工、土木工程师与工程服务贸易当成可互换对象。</w:t>
      </w:r>
    </w:p>
    <w:p>
      <w:pPr>
        <w:pStyle w:val="BodyText"/>
      </w:pPr>
      <w:r>
        <w:t xml:space="preserve">文献目录与英文全文</w:t>
      </w:r>
      <w:r>
        <w:t xml:space="preserve"> </w:t>
      </w:r>
      <w:r>
        <w:rPr>
          <w:iCs/>
          <w:i/>
        </w:rPr>
        <w:t xml:space="preserve">References</w:t>
      </w:r>
      <w:r>
        <w:t xml:space="preserve"> </w:t>
      </w:r>
      <w:r>
        <w:t xml:space="preserve">相同（Autor 等；Acemoglu and Restrepo；Eloundou 等；Felten 等；Baldwin；Grossman and Rossi-Hansberg；Noy and Zhang；Brynjolfsson 等；Eurostat；OECD–WTO BaTIS；ILO WP 140；GATS 等）。</w:t>
      </w:r>
    </w:p>
    <w:p>
      <w:r>
        <w:pict>
          <v:rect style="width:0;height:1.5pt" o:hralign="center" o:hrstd="t" o:hr="t"/>
        </w:pict>
      </w:r>
    </w:p>
    <w:bookmarkEnd w:id="31"/>
    <w:bookmarkStart w:id="95" w:name="图-121由-data-官方序列脚本生成"/>
    <w:p>
      <w:pPr>
        <w:pStyle w:val="Heading2"/>
      </w:pPr>
      <w:r>
        <w:t xml:space="preserve">图 1–21（由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官方序列脚本生成）</w:t>
      </w:r>
    </w:p>
    <w:p>
      <w:pPr>
        <w:pStyle w:val="FirstParagraph"/>
      </w:pPr>
      <w:r>
        <w:rPr>
          <w:bCs/>
          <w:b/>
        </w:rPr>
        <w:t xml:space="preserve">图 1.</w:t>
      </w:r>
      <w:r>
        <w:t xml:space="preserve"> </w:t>
      </w:r>
      <w:r>
        <w:t xml:space="preserve">Eurostat enterprise AI use, EU-27, NACE M vs NACE F, 2021–2025.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图 1" title="" id="33" name="Picture"/>
            <a:graphic>
              <a:graphicData uri="http://schemas.openxmlformats.org/drawingml/2006/picture">
                <pic:pic>
                  <pic:nvPicPr>
                    <pic:cNvPr descr="figures/figure1_eurostat_M_vs_F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2.</w:t>
      </w:r>
      <w:r>
        <w:t xml:space="preserve"> </w:t>
      </w:r>
      <w:r>
        <w:t xml:space="preserve">UK APS employment change, 16 civil-adjacent SOC 2020 unit groups, Dec 2021–Sep 2025.</w:t>
      </w:r>
    </w:p>
    <w:p>
      <w:pPr>
        <w:pStyle w:val="BodyText"/>
      </w:pPr>
      <w:r>
        <w:drawing>
          <wp:inline>
            <wp:extent cx="5334000" cy="3473302"/>
            <wp:effectExtent b="0" l="0" r="0" t="0"/>
            <wp:docPr descr="图 2" title="" id="36" name="Picture"/>
            <a:graphic>
              <a:graphicData uri="http://schemas.openxmlformats.org/drawingml/2006/picture">
                <pic:pic>
                  <pic:nvPicPr>
                    <pic:cNvPr descr="figures/figure2_uk_aps_bundl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3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3.</w:t>
      </w:r>
      <w:r>
        <w:t xml:space="preserve"> </w:t>
      </w:r>
      <w:r>
        <w:t xml:space="preserve">UK BaTIS balanced imports: India SJ3, China SE, India SI.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图 3" title="" id="39" name="Picture"/>
            <a:graphic>
              <a:graphicData uri="http://schemas.openxmlformats.org/drawingml/2006/picture">
                <pic:pic>
                  <pic:nvPicPr>
                    <pic:cNvPr descr="figures/figure3_uk_trad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4.</w:t>
      </w:r>
      <w:r>
        <w:t xml:space="preserve"> </w:t>
      </w:r>
      <w:r>
        <w:t xml:space="preserve">Event study, year × importer ΔM TANY, omit 2022.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图 4" title="" id="42" name="Picture"/>
            <a:graphic>
              <a:graphicData uri="http://schemas.openxmlformats.org/drawingml/2006/picture">
                <pic:pic>
                  <pic:nvPicPr>
                    <pic:cNvPr descr="figures/figure4_event_stud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5.</w:t>
      </w:r>
      <w:r>
        <w:t xml:space="preserve"> </w:t>
      </w:r>
      <w:r>
        <w:t xml:space="preserve">ILO ISIC M vs F employment growth, 2019–2024.</w:t>
      </w:r>
    </w:p>
    <w:p>
      <w:pPr>
        <w:pStyle w:val="BodyText"/>
      </w:pPr>
      <w:r>
        <w:drawing>
          <wp:inline>
            <wp:extent cx="5334000" cy="3382536"/>
            <wp:effectExtent b="0" l="0" r="0" t="0"/>
            <wp:docPr descr="图 5" title="" id="45" name="Picture"/>
            <a:graphic>
              <a:graphicData uri="http://schemas.openxmlformats.org/drawingml/2006/picture">
                <pic:pic>
                  <pic:nvPicPr>
                    <pic:cNvPr descr="figures/figure5_ilo_M_vs_F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6.</w:t>
      </w:r>
      <w:r>
        <w:t xml:space="preserve"> </w:t>
      </w:r>
      <w:r>
        <w:t xml:space="preserve">EU-importer sums: Mode-1 SJ3 vs China SE.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图 6" title="" id="48" name="Picture"/>
            <a:graphic>
              <a:graphicData uri="http://schemas.openxmlformats.org/drawingml/2006/picture">
                <pic:pic>
                  <pic:nvPicPr>
                    <pic:cNvPr descr="figures/figure6_eu_mode1_vs_china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7.</w:t>
      </w:r>
      <w:r>
        <w:t xml:space="preserve"> </w:t>
      </w:r>
      <w:r>
        <w:t xml:space="preserve">Cross-section: ΔM TANY vs Δ log India SJ3, 2022–24.</w:t>
      </w:r>
    </w:p>
    <w:p>
      <w:pPr>
        <w:pStyle w:val="BodyText"/>
      </w:pPr>
      <w:r>
        <w:drawing>
          <wp:inline>
            <wp:extent cx="5334000" cy="3879272"/>
            <wp:effectExtent b="0" l="0" r="0" t="0"/>
            <wp:docPr descr="图 7" title="" id="51" name="Picture"/>
            <a:graphic>
              <a:graphicData uri="http://schemas.openxmlformats.org/drawingml/2006/picture">
                <pic:pic>
                  <pic:nvPicPr>
                    <pic:cNvPr descr="figures/figure7_cross_sect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8.</w:t>
      </w:r>
      <w:r>
        <w:t xml:space="preserve"> </w:t>
      </w:r>
      <w:r>
        <w:t xml:space="preserve">Leave-one-importer-out, TANY.</w:t>
      </w:r>
    </w:p>
    <w:p>
      <w:pPr>
        <w:pStyle w:val="BodyText"/>
      </w:pPr>
      <w:r>
        <w:drawing>
          <wp:inline>
            <wp:extent cx="5334000" cy="3252439"/>
            <wp:effectExtent b="0" l="0" r="0" t="0"/>
            <wp:docPr descr="图 8" title="" id="54" name="Picture"/>
            <a:graphic>
              <a:graphicData uri="http://schemas.openxmlformats.org/drawingml/2006/picture">
                <pic:pic>
                  <pic:nvPicPr>
                    <pic:cNvPr descr="figures/figure8_loo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9.</w:t>
      </w:r>
      <w:r>
        <w:t xml:space="preserve"> </w:t>
      </w:r>
      <w:r>
        <w:t xml:space="preserve">NACE M71 vs F GVA, 2019–2023, current EUR.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图 9" title="" id="57" name="Picture"/>
            <a:graphic>
              <a:graphicData uri="http://schemas.openxmlformats.org/drawingml/2006/picture">
                <pic:pic>
                  <pic:nvPicPr>
                    <pic:cNvPr descr="figures/figure9_m71_vs_F_gva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10.</w:t>
      </w:r>
      <w:r>
        <w:t xml:space="preserve"> </w:t>
      </w:r>
      <w:r>
        <w:t xml:space="preserve">UK APS change versus Eloundou β_human and versus Felten AIOE.</w:t>
      </w:r>
    </w:p>
    <w:p>
      <w:pPr>
        <w:pStyle w:val="BodyText"/>
      </w:pPr>
      <w:r>
        <w:drawing>
          <wp:inline>
            <wp:extent cx="5334000" cy="2435086"/>
            <wp:effectExtent b="0" l="0" r="0" t="0"/>
            <wp:docPr descr="图 10" title="" id="60" name="Picture"/>
            <a:graphic>
              <a:graphicData uri="http://schemas.openxmlformats.org/drawingml/2006/picture">
                <pic:pic>
                  <pic:nvPicPr>
                    <pic:cNvPr descr="figures/figure10_instruments_vs_ap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11.</w:t>
      </w:r>
      <w:r>
        <w:t xml:space="preserve"> </w:t>
      </w:r>
      <w:r>
        <w:t xml:space="preserve">Felten AIIE, US construction NAICS 23.</w:t>
      </w:r>
    </w:p>
    <w:p>
      <w:pPr>
        <w:pStyle w:val="BodyText"/>
      </w:pPr>
      <w:r>
        <w:drawing>
          <wp:inline>
            <wp:extent cx="5334000" cy="3122341"/>
            <wp:effectExtent b="0" l="0" r="0" t="0"/>
            <wp:docPr descr="图 11" title="" id="63" name="Picture"/>
            <a:graphic>
              <a:graphicData uri="http://schemas.openxmlformats.org/drawingml/2006/picture">
                <pic:pic>
                  <pic:nvPicPr>
                    <pic:cNvPr descr="figures/figure11_aiie_constructio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12.</w:t>
      </w:r>
      <w:r>
        <w:t xml:space="preserve"> </w:t>
      </w:r>
      <w:r>
        <w:t xml:space="preserve">EU-27 AI types: M NLG vs ML vs text mining vs construction NLG.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图 12" title="" id="66" name="Picture"/>
            <a:graphic>
              <a:graphicData uri="http://schemas.openxmlformats.org/drawingml/2006/picture">
                <pic:pic>
                  <pic:nvPicPr>
                    <pic:cNvPr descr="figures/figure12_tnlg_vs_tm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13.</w:t>
      </w:r>
      <w:r>
        <w:t xml:space="preserve"> </w:t>
      </w:r>
      <w:r>
        <w:t xml:space="preserve">2024 NLG use, NACE M versus F, by country.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图 13" title="" id="69" name="Picture"/>
            <a:graphic>
              <a:graphicData uri="http://schemas.openxmlformats.org/drawingml/2006/picture">
                <pic:pic>
                  <pic:nvPicPr>
                    <pic:cNvPr descr="figures/figure13_tnlg_2024_MF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14.</w:t>
      </w:r>
      <w:r>
        <w:t xml:space="preserve"> </w:t>
      </w:r>
      <w:r>
        <w:t xml:space="preserve">Event study, year × ΔM TNLG 2023–24, omit 2022.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图 14" title="" id="72" name="Picture"/>
            <a:graphic>
              <a:graphicData uri="http://schemas.openxmlformats.org/drawingml/2006/picture">
                <pic:pic>
                  <pic:nvPicPr>
                    <pic:cNvPr descr="figures/figure14_event_study_tnlg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15.</w:t>
      </w:r>
      <w:r>
        <w:t xml:space="preserve"> </w:t>
      </w:r>
      <w:r>
        <w:t xml:space="preserve">ΔM TNLG 2023–24 vs Δ log India SJ3, 2022–24.</w:t>
      </w:r>
    </w:p>
    <w:p>
      <w:pPr>
        <w:pStyle w:val="BodyText"/>
      </w:pPr>
      <w:r>
        <w:drawing>
          <wp:inline>
            <wp:extent cx="5334000" cy="3765176"/>
            <wp:effectExtent b="0" l="0" r="0" t="0"/>
            <wp:docPr descr="图 15" title="" id="75" name="Picture"/>
            <a:graphic>
              <a:graphicData uri="http://schemas.openxmlformats.org/drawingml/2006/picture">
                <pic:pic>
                  <pic:nvPicPr>
                    <pic:cNvPr descr="figures/figure15_cross_section_tnlg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16.</w:t>
      </w:r>
      <w:r>
        <w:t xml:space="preserve"> </w:t>
      </w:r>
      <w:r>
        <w:t xml:space="preserve">EU-27 NLG by NACE M, J, C, N, F.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图 16" title="" id="78" name="Picture"/>
            <a:graphic>
              <a:graphicData uri="http://schemas.openxmlformats.org/drawingml/2006/picture">
                <pic:pic>
                  <pic:nvPicPr>
                    <pic:cNvPr descr="figures/figure16_tnlg_by_nac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17.</w:t>
      </w:r>
      <w:r>
        <w:t xml:space="preserve"> </w:t>
      </w:r>
      <w:r>
        <w:t xml:space="preserve">SBS net turnover growth 2021–24, M71 vs F.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图 17" title="" id="81" name="Picture"/>
            <a:graphic>
              <a:graphicData uri="http://schemas.openxmlformats.org/drawingml/2006/picture">
                <pic:pic>
                  <pic:nvPicPr>
                    <pic:cNvPr descr="figures/figure17_sbs_turnover_m71_vs_F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18.</w:t>
      </w:r>
      <w:r>
        <w:t xml:space="preserve"> </w:t>
      </w:r>
      <w:r>
        <w:t xml:space="preserve">SBS employment growth 2021–24, M71 vs F.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图 18" title="" id="84" name="Picture"/>
            <a:graphic>
              <a:graphicData uri="http://schemas.openxmlformats.org/drawingml/2006/picture">
                <pic:pic>
                  <pic:nvPicPr>
                    <pic:cNvPr descr="figures/figure18_sbs_emp_m71_vs_F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19.</w:t>
      </w:r>
      <w:r>
        <w:t xml:space="preserve"> </w:t>
      </w:r>
      <w:r>
        <w:t xml:space="preserve">ΔTNLG 2023–24 vs M71 turnover change 2023–24.</w:t>
      </w:r>
    </w:p>
    <w:p>
      <w:pPr>
        <w:pStyle w:val="BodyText"/>
      </w:pPr>
      <w:r>
        <w:drawing>
          <wp:inline>
            <wp:extent cx="5334000" cy="3765176"/>
            <wp:effectExtent b="0" l="0" r="0" t="0"/>
            <wp:docPr descr="图 19" title="" id="87" name="Picture"/>
            <a:graphic>
              <a:graphicData uri="http://schemas.openxmlformats.org/drawingml/2006/picture">
                <pic:pic>
                  <pic:nvPicPr>
                    <pic:cNvPr descr="figures/figure19_tnlg_vs_m71_turnover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20.</w:t>
      </w:r>
      <w:r>
        <w:t xml:space="preserve"> </w:t>
      </w:r>
      <w:r>
        <w:t xml:space="preserve">M71 net turnover levels, selected members.</w:t>
      </w:r>
    </w:p>
    <w:p>
      <w:pPr>
        <w:pStyle w:val="BodyText"/>
      </w:pPr>
      <w:r>
        <w:drawing>
          <wp:inline>
            <wp:extent cx="5334000" cy="3122341"/>
            <wp:effectExtent b="0" l="0" r="0" t="0"/>
            <wp:docPr descr="图 20" title="" id="90" name="Picture"/>
            <a:graphic>
              <a:graphicData uri="http://schemas.openxmlformats.org/drawingml/2006/picture">
                <pic:pic>
                  <pic:nvPicPr>
                    <pic:cNvPr descr="figures/figure20_m71_turnover_level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21.</w:t>
      </w:r>
      <w:r>
        <w:t xml:space="preserve"> </w:t>
      </w:r>
      <w:r>
        <w:t xml:space="preserve">US CES NAICS 54 only (not engineering 54133).</w:t>
      </w:r>
    </w:p>
    <w:p>
      <w:pPr>
        <w:pStyle w:val="BodyText"/>
      </w:pPr>
      <w:r>
        <w:drawing>
          <wp:inline>
            <wp:extent cx="5334000" cy="2933700"/>
            <wp:effectExtent b="0" l="0" r="0" t="0"/>
            <wp:docPr descr="图 21" title="" id="93" name="Picture"/>
            <a:graphic>
              <a:graphicData uri="http://schemas.openxmlformats.org/drawingml/2006/picture">
                <pic:pic>
                  <pic:nvPicPr>
                    <pic:cNvPr descr="figures/figure21_bls_naics5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32" Target="media/rId32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CN_full_article</dc:title>
  <dc:creator/>
  <dc:language>en</dc:language>
  <cp:keywords/>
  <dcterms:created xsi:type="dcterms:W3CDTF">2026-09-17T19:21:19Z</dcterms:created>
  <dcterms:modified xsi:type="dcterms:W3CDTF">2026-09-17T19:21:19Z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