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0.png" ContentType="image/png"/>
  <Override PartName="/word/media/rId96.png" ContentType="image/png"/>
  <Override PartName="/word/media/rId10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</w:t>
      </w:r>
    </w:p>
    <w:bookmarkStart w:id="104" w:name="figures-121"/>
    <w:p>
      <w:pPr>
        <w:pStyle w:val="Heading1"/>
      </w:pPr>
      <w:r>
        <w:t xml:space="preserve">Figures 1–21</w:t>
      </w:r>
    </w:p>
    <w:p>
      <w:pPr>
        <w:pStyle w:val="FirstParagraph"/>
      </w:pPr>
      <w:r>
        <w:t xml:space="preserve">From:</w:t>
      </w:r>
      <w:r>
        <w:t xml:space="preserve"> </w:t>
      </w:r>
      <w:r>
        <w:rPr>
          <w:iCs/>
          <w:i/>
        </w:rPr>
        <w:t xml:space="preserve">How Does the Civil Engineering Industry Economy Change under an AI Shock?</w:t>
      </w:r>
    </w:p>
    <w:bookmarkStart w:id="23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Eurostat enterprise AI use, EU-27, NACE M vs F.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figures/figure1_eurostat_M_vs_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UK APS employment change, civil-adjacent SOC 2020.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s/figure2_uk_aps_bund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figure-3"/>
    <w:p>
      <w:pPr>
        <w:pStyle w:val="Heading2"/>
      </w:pPr>
      <w:r>
        <w:t xml:space="preserve">Figure 3</w:t>
      </w:r>
    </w:p>
    <w:p>
      <w:pPr>
        <w:pStyle w:val="FirstParagraph"/>
      </w:pPr>
      <w:r>
        <w:t xml:space="preserve">UK BaTIS: India SJ3, China SE, India SI.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figures/figure3_uk_tra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figure-4"/>
    <w:p>
      <w:pPr>
        <w:pStyle w:val="Heading2"/>
      </w:pPr>
      <w:r>
        <w:t xml:space="preserve">Figure 4</w:t>
      </w:r>
    </w:p>
    <w:p>
      <w:pPr>
        <w:pStyle w:val="FirstParagraph"/>
      </w:pPr>
      <w:r>
        <w:t xml:space="preserve">Event study, year × ΔM TANY.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4" title="" id="33" name="Picture"/>
            <a:graphic>
              <a:graphicData uri="http://schemas.openxmlformats.org/drawingml/2006/picture">
                <pic:pic>
                  <pic:nvPicPr>
                    <pic:cNvPr descr="figures/figure4_event_stud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figure-5"/>
    <w:p>
      <w:pPr>
        <w:pStyle w:val="Heading2"/>
      </w:pPr>
      <w:r>
        <w:t xml:space="preserve">Figure 5</w:t>
      </w:r>
    </w:p>
    <w:p>
      <w:pPr>
        <w:pStyle w:val="FirstParagraph"/>
      </w:pPr>
      <w:r>
        <w:t xml:space="preserve">ILO ISIC M vs F employment growth.</w:t>
      </w:r>
    </w:p>
    <w:p>
      <w:pPr>
        <w:pStyle w:val="BodyText"/>
      </w:pPr>
      <w:r>
        <w:drawing>
          <wp:inline>
            <wp:extent cx="5334000" cy="3382536"/>
            <wp:effectExtent b="0" l="0" r="0" t="0"/>
            <wp:docPr descr="Figure 5" title="" id="37" name="Picture"/>
            <a:graphic>
              <a:graphicData uri="http://schemas.openxmlformats.org/drawingml/2006/picture">
                <pic:pic>
                  <pic:nvPicPr>
                    <pic:cNvPr descr="figures/figure5_ilo_M_vs_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figure-6"/>
    <w:p>
      <w:pPr>
        <w:pStyle w:val="Heading2"/>
      </w:pPr>
      <w:r>
        <w:t xml:space="preserve">Figure 6</w:t>
      </w:r>
    </w:p>
    <w:p>
      <w:pPr>
        <w:pStyle w:val="FirstParagraph"/>
      </w:pPr>
      <w:r>
        <w:t xml:space="preserve">EU Mode-1 SJ3 vs China SE.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6" title="" id="41" name="Picture"/>
            <a:graphic>
              <a:graphicData uri="http://schemas.openxmlformats.org/drawingml/2006/picture">
                <pic:pic>
                  <pic:nvPicPr>
                    <pic:cNvPr descr="figures/figure6_eu_mode1_vs_chin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7"/>
    <w:p>
      <w:pPr>
        <w:pStyle w:val="Heading2"/>
      </w:pPr>
      <w:r>
        <w:t xml:space="preserve">Figure 7</w:t>
      </w:r>
    </w:p>
    <w:p>
      <w:pPr>
        <w:pStyle w:val="FirstParagraph"/>
      </w:pPr>
      <w:r>
        <w:t xml:space="preserve">ΔM TANY vs Δ log India SJ3.</w:t>
      </w:r>
    </w:p>
    <w:p>
      <w:pPr>
        <w:pStyle w:val="BodyText"/>
      </w:pPr>
      <w:r>
        <w:drawing>
          <wp:inline>
            <wp:extent cx="5334000" cy="3879272"/>
            <wp:effectExtent b="0" l="0" r="0" t="0"/>
            <wp:docPr descr="Figure 7" title="" id="45" name="Picture"/>
            <a:graphic>
              <a:graphicData uri="http://schemas.openxmlformats.org/drawingml/2006/picture">
                <pic:pic>
                  <pic:nvPicPr>
                    <pic:cNvPr descr="figures/figure7_cross_se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figure-8"/>
    <w:p>
      <w:pPr>
        <w:pStyle w:val="Heading2"/>
      </w:pPr>
      <w:r>
        <w:t xml:space="preserve">Figure 8</w:t>
      </w:r>
    </w:p>
    <w:p>
      <w:pPr>
        <w:pStyle w:val="FirstParagraph"/>
      </w:pPr>
      <w:r>
        <w:t xml:space="preserve">Leave-one-importer-out, TANY.</w:t>
      </w:r>
    </w:p>
    <w:p>
      <w:pPr>
        <w:pStyle w:val="BodyText"/>
      </w:pPr>
      <w:r>
        <w:drawing>
          <wp:inline>
            <wp:extent cx="5334000" cy="3252439"/>
            <wp:effectExtent b="0" l="0" r="0" t="0"/>
            <wp:docPr descr="Figure 8" title="" id="49" name="Picture"/>
            <a:graphic>
              <a:graphicData uri="http://schemas.openxmlformats.org/drawingml/2006/picture">
                <pic:pic>
                  <pic:nvPicPr>
                    <pic:cNvPr descr="figures/figure8_lo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figure-9"/>
    <w:p>
      <w:pPr>
        <w:pStyle w:val="Heading2"/>
      </w:pPr>
      <w:r>
        <w:t xml:space="preserve">Figure 9</w:t>
      </w:r>
    </w:p>
    <w:p>
      <w:pPr>
        <w:pStyle w:val="FirstParagraph"/>
      </w:pPr>
      <w:r>
        <w:t xml:space="preserve">NACE M71 vs F GVA.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9" title="" id="53" name="Picture"/>
            <a:graphic>
              <a:graphicData uri="http://schemas.openxmlformats.org/drawingml/2006/picture">
                <pic:pic>
                  <pic:nvPicPr>
                    <pic:cNvPr descr="figures/figure9_m71_vs_F_gv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figure-10"/>
    <w:p>
      <w:pPr>
        <w:pStyle w:val="Heading2"/>
      </w:pPr>
      <w:r>
        <w:t xml:space="preserve">Figure 10</w:t>
      </w:r>
    </w:p>
    <w:p>
      <w:pPr>
        <w:pStyle w:val="FirstParagraph"/>
      </w:pPr>
      <w:r>
        <w:t xml:space="preserve">APS vs Eloundou and Felten AIOE.</w:t>
      </w:r>
    </w:p>
    <w:p>
      <w:pPr>
        <w:pStyle w:val="BodyText"/>
      </w:pPr>
      <w:r>
        <w:drawing>
          <wp:inline>
            <wp:extent cx="5334000" cy="2435086"/>
            <wp:effectExtent b="0" l="0" r="0" t="0"/>
            <wp:docPr descr="Figure 10" title="" id="57" name="Picture"/>
            <a:graphic>
              <a:graphicData uri="http://schemas.openxmlformats.org/drawingml/2006/picture">
                <pic:pic>
                  <pic:nvPicPr>
                    <pic:cNvPr descr="figures/figure10_instruments_vs_a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figure-11"/>
    <w:p>
      <w:pPr>
        <w:pStyle w:val="Heading2"/>
      </w:pPr>
      <w:r>
        <w:t xml:space="preserve">Figure 11</w:t>
      </w:r>
    </w:p>
    <w:p>
      <w:pPr>
        <w:pStyle w:val="FirstParagraph"/>
      </w:pPr>
      <w:r>
        <w:t xml:space="preserve">Felten AIIE, US construction.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11" title="" id="61" name="Picture"/>
            <a:graphic>
              <a:graphicData uri="http://schemas.openxmlformats.org/drawingml/2006/picture">
                <pic:pic>
                  <pic:nvPicPr>
                    <pic:cNvPr descr="figures/figure11_aiie_construc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figure-12"/>
    <w:p>
      <w:pPr>
        <w:pStyle w:val="Heading2"/>
      </w:pPr>
      <w:r>
        <w:t xml:space="preserve">Figure 12</w:t>
      </w:r>
    </w:p>
    <w:p>
      <w:pPr>
        <w:pStyle w:val="FirstParagraph"/>
      </w:pPr>
      <w:r>
        <w:t xml:space="preserve">EU-27 NLG vs ML vs construction NLG.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2" title="" id="65" name="Picture"/>
            <a:graphic>
              <a:graphicData uri="http://schemas.openxmlformats.org/drawingml/2006/picture">
                <pic:pic>
                  <pic:nvPicPr>
                    <pic:cNvPr descr="figures/figure12_tnlg_vs_tm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figure-13"/>
    <w:p>
      <w:pPr>
        <w:pStyle w:val="Heading2"/>
      </w:pPr>
      <w:r>
        <w:t xml:space="preserve">Figure 13</w:t>
      </w:r>
    </w:p>
    <w:p>
      <w:pPr>
        <w:pStyle w:val="FirstParagraph"/>
      </w:pPr>
      <w:r>
        <w:t xml:space="preserve">2024 NLG, NACE M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figure-14"/>
    <w:p>
      <w:pPr>
        <w:pStyle w:val="Heading2"/>
      </w:pPr>
      <w:r>
        <w:t xml:space="preserve">Figure 14</w:t>
      </w:r>
    </w:p>
    <w:p>
      <w:pPr>
        <w:pStyle w:val="FirstParagraph"/>
      </w:pPr>
      <w:r>
        <w:t xml:space="preserve">Event study, year × ΔM TNLG.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4" title="" id="73" name="Picture"/>
            <a:graphic>
              <a:graphicData uri="http://schemas.openxmlformats.org/drawingml/2006/picture">
                <pic:pic>
                  <pic:nvPicPr>
                    <pic:cNvPr descr="figures/figure14_event_study_tnl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figure-15"/>
    <w:p>
      <w:pPr>
        <w:pStyle w:val="Heading2"/>
      </w:pPr>
      <w:r>
        <w:t xml:space="preserve">Figure 15</w:t>
      </w:r>
    </w:p>
    <w:p>
      <w:pPr>
        <w:pStyle w:val="FirstParagraph"/>
      </w:pPr>
      <w:r>
        <w:t xml:space="preserve">ΔTNLG vs Δ log India SJ3.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5" title="" id="77" name="Picture"/>
            <a:graphic>
              <a:graphicData uri="http://schemas.openxmlformats.org/drawingml/2006/picture">
                <pic:pic>
                  <pic:nvPicPr>
                    <pic:cNvPr descr="figures/figure15_cross_section_tnlg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figure-16"/>
    <w:p>
      <w:pPr>
        <w:pStyle w:val="Heading2"/>
      </w:pPr>
      <w:r>
        <w:t xml:space="preserve">Figure 16</w:t>
      </w:r>
    </w:p>
    <w:p>
      <w:pPr>
        <w:pStyle w:val="FirstParagraph"/>
      </w:pPr>
      <w:r>
        <w:t xml:space="preserve">EU-27 NLG by NACE.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6" title="" id="81" name="Picture"/>
            <a:graphic>
              <a:graphicData uri="http://schemas.openxmlformats.org/drawingml/2006/picture">
                <pic:pic>
                  <pic:nvPicPr>
                    <pic:cNvPr descr="figures/figure16_tnlg_by_nac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figure-17"/>
    <w:p>
      <w:pPr>
        <w:pStyle w:val="Heading2"/>
      </w:pPr>
      <w:r>
        <w:t xml:space="preserve">Figure 17</w:t>
      </w:r>
    </w:p>
    <w:p>
      <w:pPr>
        <w:pStyle w:val="FirstParagraph"/>
      </w:pPr>
      <w:r>
        <w:t xml:space="preserve">SBS turnover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7" title="" id="85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figure-18"/>
    <w:p>
      <w:pPr>
        <w:pStyle w:val="Heading2"/>
      </w:pPr>
      <w:r>
        <w:t xml:space="preserve">Figure 18</w:t>
      </w:r>
    </w:p>
    <w:p>
      <w:pPr>
        <w:pStyle w:val="FirstParagraph"/>
      </w:pPr>
      <w:r>
        <w:t xml:space="preserve">SBS employment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8" title="" id="89" name="Picture"/>
            <a:graphic>
              <a:graphicData uri="http://schemas.openxmlformats.org/drawingml/2006/picture">
                <pic:pic>
                  <pic:nvPicPr>
                    <pic:cNvPr descr="figures/figure18_sbs_emp_m71_vs_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figure-19"/>
    <w:p>
      <w:pPr>
        <w:pStyle w:val="Heading2"/>
      </w:pPr>
      <w:r>
        <w:t xml:space="preserve">Figure 19</w:t>
      </w:r>
    </w:p>
    <w:p>
      <w:pPr>
        <w:pStyle w:val="FirstParagraph"/>
      </w:pPr>
      <w:r>
        <w:t xml:space="preserve">ΔTNLG vs M71 turnover change.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9" title="" id="93" name="Picture"/>
            <a:graphic>
              <a:graphicData uri="http://schemas.openxmlformats.org/drawingml/2006/picture">
                <pic:pic>
                  <pic:nvPicPr>
                    <pic:cNvPr descr="figures/figure19_tnlg_vs_m71_turnov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figure-20"/>
    <w:p>
      <w:pPr>
        <w:pStyle w:val="Heading2"/>
      </w:pPr>
      <w:r>
        <w:t xml:space="preserve">Figure 20</w:t>
      </w:r>
    </w:p>
    <w:p>
      <w:pPr>
        <w:pStyle w:val="FirstParagraph"/>
      </w:pPr>
      <w:r>
        <w:t xml:space="preserve">M71 turnover levels.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20" title="" id="97" name="Picture"/>
            <a:graphic>
              <a:graphicData uri="http://schemas.openxmlformats.org/drawingml/2006/picture">
                <pic:pic>
                  <pic:nvPicPr>
                    <pic:cNvPr descr="figures/figure20_m71_turnover_level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figure-21"/>
    <w:p>
      <w:pPr>
        <w:pStyle w:val="Heading2"/>
      </w:pPr>
      <w:r>
        <w:t xml:space="preserve">Figure 21</w:t>
      </w:r>
    </w:p>
    <w:p>
      <w:pPr>
        <w:pStyle w:val="FirstParagraph"/>
      </w:pPr>
      <w:r>
        <w:t xml:space="preserve">US CES NAICS 54 (too broad).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Figure 21" title="" id="101" name="Picture"/>
            <a:graphic>
              <a:graphicData uri="http://schemas.openxmlformats.org/drawingml/2006/picture">
                <pic:pic>
                  <pic:nvPicPr>
                    <pic:cNvPr descr="figures/figure21_bls_naics5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</dc:title>
  <dc:creator/>
  <dc:language>en</dc:language>
  <cp:keywords/>
  <dcterms:created xsi:type="dcterms:W3CDTF">2026-09-17T19:21:20Z</dcterms:created>
  <dcterms:modified xsi:type="dcterms:W3CDTF">2026-09-17T19:21:20Z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