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CN_full_article</w:t>
      </w:r>
    </w:p>
    <w:bookmarkStart w:id="56" w:name="生成式-ai-冲击下的土木工程行业经济英国与印度中国的服务关系"/>
    <w:p>
      <w:pPr>
        <w:pStyle w:val="Heading1"/>
      </w:pPr>
      <w:r>
        <w:t xml:space="preserve">生成式 AI 冲击下的土木工程行业经济：英国与印度、中国的服务关系</w:t>
      </w:r>
    </w:p>
    <w:p>
      <w:pPr>
        <w:pStyle w:val="FirstParagraph"/>
      </w:pPr>
      <w:r>
        <w:t xml:space="preserve">柴宇轩</w:t>
      </w:r>
    </w:p>
    <w:p>
      <w:pPr>
        <w:pStyle w:val="BodyText"/>
      </w:pPr>
      <w:r>
        <w:t xml:space="preserve">斯特拉斯克莱德大学，格拉斯哥，英国</w:t>
      </w:r>
    </w:p>
    <w:p>
      <w:pPr>
        <w:pStyle w:val="BodyText"/>
      </w:pPr>
      <w:r>
        <w:t xml:space="preserve">通讯作者：柴宇轩，斯特拉斯克莱德大学。邮箱：yuxuanchai98@outlook.com</w:t>
      </w:r>
    </w:p>
    <w:p>
      <w:pPr>
        <w:pStyle w:val="BodyText"/>
      </w:pPr>
      <w:r>
        <w:t xml:space="preserve">本稿与英文稿同时投送</w:t>
      </w:r>
      <w:r>
        <w:t xml:space="preserve"> </w:t>
      </w:r>
      <w:r>
        <w:rPr>
          <w:iCs/>
          <w:i/>
        </w:rPr>
        <w:t xml:space="preserve">International Journal of Construction Management</w:t>
      </w:r>
      <w:r>
        <w:t xml:space="preserve">。图表编号、系数与英文稿一致。</w:t>
      </w:r>
    </w:p>
    <w:bookmarkStart w:id="20" w:name="摘要"/>
    <w:p>
      <w:pPr>
        <w:pStyle w:val="Heading2"/>
      </w:pPr>
      <w:r>
        <w:t xml:space="preserve">摘要</w:t>
      </w:r>
    </w:p>
    <w:p>
      <w:pPr>
        <w:pStyle w:val="FirstParagraph"/>
      </w:pPr>
      <w:r>
        <w:t xml:space="preserve">本文以英国为共同节点，比较英国—印度与英国—中国两组服务关系，并将双边趋势放入欧洲企业自然语言生成（NLG）AI 采用冲击中解释。双边证据覆盖技术及其他商业服务（SJ3）、建筑服务（SE）和计算机信息服务（SI）。17 个欧盟进口国提供统一的企业 NLG 采用度。英国趋势是描述性的；面板检验进口国采用是否与印度模式一服务或中国项目型建筑服务相关。冲击为 Eurostat 专业服务企业 NLG 使用率在 2023—2024 年的变化。国内结果为 NACE M71 建筑与工程活动的营业额、就业、工资和增加值；贸易结果来自 OECD–WTO BaTIS。2019—2024 年，英国自印度进口 SJ3 增长 127.7%，自中国进口 SJ3 增长 99.3%。进口国面板中，印度 SJ3 系数为 0.021（标准误 0.008），中国建筑服务与进口国 NLG 采用无关（−0.008，0.009）。高采用国的 M71 营业额与工资增长较慢，就业不变。证据与生成式工具改变可数字交付服务协调相一致，尤其是英国—印度关系；但不能证明 AI 导致双边变化，也不能证明土木工程岗位或 GDP 发生转移。</w:t>
      </w:r>
    </w:p>
    <w:p>
      <w:pPr>
        <w:pStyle w:val="BodyText"/>
      </w:pPr>
      <w:r>
        <w:rPr>
          <w:bCs/>
          <w:b/>
        </w:rPr>
        <w:t xml:space="preserve">关键词：</w:t>
      </w:r>
      <w:r>
        <w:t xml:space="preserve"> </w:t>
      </w:r>
      <w:r>
        <w:t xml:space="preserve">生成式 AI；土木工程；工程管理；服务贸易；NACE M71；模式一</w:t>
      </w:r>
    </w:p>
    <w:bookmarkEnd w:id="20"/>
    <w:bookmarkStart w:id="21" w:name="引言"/>
    <w:p>
      <w:pPr>
        <w:pStyle w:val="Heading2"/>
      </w:pPr>
      <w:r>
        <w:t xml:space="preserve">1. 引言</w:t>
      </w:r>
    </w:p>
    <w:p>
      <w:pPr>
        <w:pStyle w:val="FirstParagraph"/>
      </w:pPr>
      <w:r>
        <w:t xml:space="preserve">土木工程同时包含可数字传输的知识任务和必须在现场完成的项目任务。图纸、规范、计算与报告可以跨境交付；现场检查、法定责任和道路、桥梁或供水系统的施工仍依赖地点。生成式 AI 因此可能通过两条渠道影响土木工程行业经济：改变建筑与工程咨询公司内部的工作成本，以及改变技术任务的跨境协调成本。</w:t>
      </w:r>
    </w:p>
    <w:p>
      <w:pPr>
        <w:pStyle w:val="BodyText"/>
      </w:pPr>
      <w:r>
        <w:t xml:space="preserve">英国与印度、中国的服务联系使这一区分可观察。英国—印度贸易在现有数据中更偏向远程商业与计算机服务；英国—中国贸易在 SJ3 与计算机服务之外，还包含大于英国—印度的建筑服务流量。比较相同服务类别和贸易方向，比把两个伙伴当作孤立案例更有信息量。</w:t>
      </w:r>
    </w:p>
    <w:p>
      <w:pPr>
        <w:pStyle w:val="BodyText"/>
      </w:pPr>
      <w:r>
        <w:t xml:space="preserve">研究问题分为两层。第一，生成式 AI 时期英国与印度、中国的技术、建筑和计算机服务关系如何变化？第二，统一的欧盟证据是否显示进口国 NLG 采用与国内建筑工程活动、印度 SJ3 进口和中国建筑服务相关？这不是国家 AI 战略比较。它把描述性的英国双边变化，与具有共同处理变量的面板设定分开。</w:t>
      </w:r>
    </w:p>
    <w:p>
      <w:pPr>
        <w:pStyle w:val="BodyText"/>
      </w:pPr>
      <w:r>
        <w:t xml:space="preserve">三项测量选择随之确定。第一，冲击必须捕捉生成式使用，而不是一般数字成熟度。Eurostat 的 E_AI_TNLG 记录企业是否使用 AI 生成书面或口头语言。第二，国内行业是 NACE M71 建筑与工程活动，不是 NACE F 建筑业。第三，双边部分同时报告英国—印度和英国—中国两个方向的 SJ3、SE 和 SI。面板随后以印度 SJ3 作为可数字交付结果，以中国 SE 作为项目交付对照。</w:t>
      </w:r>
    </w:p>
    <w:bookmarkEnd w:id="21"/>
    <w:bookmarkStart w:id="22" w:name="文献与机制"/>
    <w:p>
      <w:pPr>
        <w:pStyle w:val="Heading2"/>
      </w:pPr>
      <w:r>
        <w:t xml:space="preserve">2. 文献与机制</w:t>
      </w:r>
    </w:p>
    <w:p>
      <w:pPr>
        <w:pStyle w:val="FirstParagraph"/>
      </w:pPr>
      <w:r>
        <w:t xml:space="preserve">Autor, Levy and Murnane (2003) 将经验工作从职业转向任务。Autor (2015) 强调自动化可能提高互补性非例行工作的价值，Acemoglu and Restrepo (2018, 2019, 2020) 则区分替代与新任务创造。应用于土木工程，这一框架预测不均衡反应：绘图、文件准备和常规计算更易接受软件辅助，现场监督、责任判断和法定签章则不然。</w:t>
      </w:r>
    </w:p>
    <w:p>
      <w:pPr>
        <w:pStyle w:val="BodyText"/>
      </w:pPr>
      <w:r>
        <w:t xml:space="preserve">任务生产率不能机械映射为行业增长。咨询公司若以更少小时完成一套图纸，可能承接更多项目、减少计费小时、降低价格或改变人员结构。因此营业额可能放缓，即使实物生产率上升。下文使用的 M71 账户之所以重要，正是因为它观察行业结果，而不是从职业暴露度推断。</w:t>
      </w:r>
    </w:p>
    <w:p>
      <w:pPr>
        <w:pStyle w:val="BodyText"/>
      </w:pPr>
      <w:r>
        <w:t xml:space="preserve">Felten, Raj and Seamans (2018, 2021)、Webb (2020) 和 Eloundou et al. (2023, 2024) 构造职业暴露的事前指标。此类指标描述任务内容，但不是采用观察。本文因此使用已实现的采用率。Noy and Zhang (2023)、Peng et al. (2023)、Brynjolfsson, Li and Raymond (2025)、Dell’Acqua et al. (2023) 和 Hui, Reshef and Zhou (2024) 表明，生成式工具提高部分知识任务效率，但存在明显的任务边界。Agrawal, Gans and Goldfarb (2018, 2022) 将 AI 理解为更便宜的预测；Korinek and Stiglitz (2021) 提醒收益分配取决于自动化还是增强。</w:t>
      </w:r>
    </w:p>
    <w:p>
      <w:pPr>
        <w:pStyle w:val="BodyText"/>
      </w:pPr>
      <w:r>
        <w:t xml:space="preserve">任务贸易理论指出，可通过网络传输的活动更容易跨境（Blinder 2006；Grossman and Rossi-Hansberg 2008；Baldwin 2016, 2019）。GATS（WTO 1994）仍将供应分为模式一至模式四。Francois and Hoekman (2010) 与 Loungani et al. (2017) 回顾了服务贸易数据滞后于货物贸易的原因。对土木工程而言，图纸和计算更接近模式一；中国企业供应的施工更可能需要项目现场存在。OECD–WTO BaTIS（Fortanier et al. 2017）提供可比较的双边 EBOPS 类别。持续可得的最细专业类别是 SJ3；双边 SJ312 建筑与工程服务不可得，因此印度 SJ3 应视为宽口径上界。</w:t>
      </w:r>
    </w:p>
    <w:p>
      <w:pPr>
        <w:pStyle w:val="BodyText"/>
      </w:pPr>
      <w:r>
        <w:t xml:space="preserve">建筑经济学长期把承包商行业视为项目型、本地且数字化较弱（Gann and Salter 2000；Winch 2010）。建筑信息模型（Eastman et al. 2011；Sacks et al. 2018）数字化的是设计与协调，主要位于 NACE M71 及相关咨询机构，而不必然位于 NACE F。Whyte (2019) 同样把数字交付定位于专业组织而非仅施工现场。Eurostat (2024) 证实专业服务企业的 NLG 采用远快于建筑企业（表 2、图 3）。</w:t>
      </w:r>
    </w:p>
    <w:bookmarkEnd w:id="22"/>
    <w:bookmarkStart w:id="23" w:name="数据"/>
    <w:p>
      <w:pPr>
        <w:pStyle w:val="Heading2"/>
      </w:pPr>
      <w:r>
        <w:t xml:space="preserve">3. 数据</w:t>
      </w:r>
    </w:p>
    <w:p>
      <w:pPr>
        <w:pStyle w:val="FirstParagraph"/>
      </w:pPr>
      <w:r>
        <w:t xml:space="preserve">分析只使用已检索的官方序列（Eurostat 2024；OECD &amp; WTO n.d.；ILO n.d.）。不对国家、行业或贸易单元格插值。</w:t>
      </w:r>
    </w:p>
    <w:p>
      <w:pPr>
        <w:pStyle w:val="BodyText"/>
      </w:pPr>
      <w:r>
        <w:t xml:space="preserve">英国是两组比较的共同国家。英国—印度对应成熟的远程专业服务关系；英国—中国提供同时观察技术、计算机和建筑服务的对照。英国不在本文采用的统一 Eurostat 企业 NLG 面板内，因此双边数值报告为趋势。欧盟面板因具有共同处理变量而承担推断。</w:t>
      </w:r>
    </w:p>
    <w:p>
      <w:pPr>
        <w:pStyle w:val="BodyText"/>
      </w:pPr>
      <w:r>
        <w:t xml:space="preserve">首选冲击为 NACE M 的 ΔTNLG，2024 年减 2023 年。欧盟 27 国专业服务 NLG 使用率为 4.55%（2023）、11.51%（2024）和 17.74%（2025）；建筑业同期为 0.58%、2.42% 和 3.25%（表 2）。NACE M71 的 AI 采用率未公布，NACE M 是包含 M71 企业的最细单元格。</w:t>
      </w:r>
    </w:p>
    <w:p>
      <w:pPr>
        <w:pStyle w:val="BodyText"/>
      </w:pPr>
      <w:r>
        <w:t xml:space="preserve">行业结果来自 Eurostat 结构性商业统计 2021—2024 年的 M71 营业额、就业、工资和增加值。ILOSTAT 提供 ISIC F 与 M 就业（ILO n.d.），中国在此次提取中为空，ISIC M71 未公布。</w:t>
      </w:r>
    </w:p>
    <w:p>
      <w:pPr>
        <w:pStyle w:val="BodyText"/>
      </w:pPr>
      <w:r>
        <w:t xml:space="preserve">OECD &amp; WTO (n.d.) BaTIS 调整 B 提供 2015—2024 年当期美元百万的双边值（Fortanier et al. 2017）。走廊文件含 120 个观测：四个有方向的进口流、三个服务类别和十年。面板的主要结果仍是自印度进口的 SJ3；中国 SE 为项目交付对照（表 1）。</w:t>
      </w:r>
    </w:p>
    <w:bookmarkEnd w:id="23"/>
    <w:bookmarkStart w:id="24" w:name="方法"/>
    <w:p>
      <w:pPr>
        <w:pStyle w:val="Heading2"/>
      </w:pPr>
      <w:r>
        <w:t xml:space="preserve">4. 方法</w:t>
      </w:r>
    </w:p>
    <w:p>
      <w:pPr>
        <w:pStyle w:val="FirstParagraph"/>
      </w:pPr>
      <w:r>
        <w:t xml:space="preserve">双边部分报告水平值、2019—2024 年变化率和以 2019 年为 100 的指数。它不使用处理方程，因为三国缺少可比的企业 NLG 冲击。</w:t>
      </w:r>
    </w:p>
    <w:p>
      <w:pPr>
        <w:pStyle w:val="BodyText"/>
      </w:pPr>
      <w:r>
        <w:t xml:space="preserve">欧盟进口国 (i) 的印度设定为：</w:t>
      </w:r>
    </w:p>
    <w:p>
      <w:pPr>
        <w:pStyle w:val="BodyText"/>
      </w:pPr>
      <w:r>
        <w:t xml:space="preserve">[</w:t>
      </w:r>
      <w:r>
        <w:br/>
      </w:r>
      <w:r>
        <w:t xml:space="preserve">\log M^{SJ3,IND}</w:t>
      </w:r>
      <w:r>
        <w:rPr>
          <w:iCs/>
          <w:i/>
        </w:rPr>
        <w:t xml:space="preserve">{it}=\alpha_i+\delta_t+\beta\bigl(\mathbf{1}[t\ge t_0]\times \Delta TNLG_i\bigr)+\varepsilon</w:t>
      </w:r>
      <w:r>
        <w:t xml:space="preserve">{it}.</w:t>
      </w:r>
      <w:r>
        <w:br/>
      </w:r>
      <w:r>
        <w:t xml:space="preserve">]</w:t>
      </w:r>
    </w:p>
    <w:p>
      <w:pPr>
        <w:pStyle w:val="BodyText"/>
      </w:pPr>
      <w:r>
        <w:t xml:space="preserve">标准误按进口国聚类。印度样本为 119 个进口国—年观测；合并模式一稳健性模型含 357 个观测。国内 M71 模型为：</w:t>
      </w:r>
    </w:p>
    <w:p>
      <w:pPr>
        <w:pStyle w:val="BodyText"/>
      </w:pPr>
      <w:r>
        <w:t xml:space="preserve">[</w:t>
      </w:r>
      <w:r>
        <w:br/>
      </w:r>
      <w:r>
        <w:t xml:space="preserve">\log Y^{M71}</w:t>
      </w:r>
      <w:r>
        <w:rPr>
          <w:iCs/>
          <w:i/>
        </w:rPr>
        <w:t xml:space="preserve">{it}=\alpha_i+\delta_t+\beta\bigl(\mathbf{1}[t\ge 2024]\times \Delta TNLG_i\bigr)+u</w:t>
      </w:r>
      <w:r>
        <w:t xml:space="preserve">{it},</w:t>
      </w:r>
      <w:r>
        <w:br/>
      </w:r>
      <w:r>
        <w:t xml:space="preserve">]</w:t>
      </w:r>
    </w:p>
    <w:p>
      <w:pPr>
        <w:pStyle w:val="BodyText"/>
      </w:pPr>
      <w:r>
        <w:t xml:space="preserve">(Y) 为营业额、就业、工资、增加值等，(N=68)。两种设计都不识别双边土木工程师就业、企业分包或 GDP 效应。表 6 概括这一主张边界。</w:t>
      </w:r>
    </w:p>
    <w:bookmarkEnd w:id="24"/>
    <w:bookmarkStart w:id="31" w:name="结果"/>
    <w:p>
      <w:pPr>
        <w:pStyle w:val="Heading2"/>
      </w:pPr>
      <w:r>
        <w:t xml:space="preserve">5. 结果</w:t>
      </w:r>
    </w:p>
    <w:bookmarkStart w:id="25" w:name="英国中国图-12表-1"/>
    <w:p>
      <w:pPr>
        <w:pStyle w:val="Heading3"/>
      </w:pPr>
      <w:r>
        <w:t xml:space="preserve">5.1 英国—中国（图 1–2，表 1）</w:t>
      </w:r>
    </w:p>
    <w:p>
      <w:pPr>
        <w:pStyle w:val="FirstParagraph"/>
      </w:pPr>
      <w:r>
        <w:t xml:space="preserve">英国自中国进口 SJ3 从 2019 年的 7.755 亿美元升至 2024 年的 15.460 亿美元，增长 99.3%；中国自英国进口从 7.390 亿升至 9.546 亿美元，增长 29.2%。计算机信息服务两个方向分别增长 45.5% 和 46.7%。建筑服务分别增长 51.7% 和 29.2%，但绝对规模远小于 SJ3 和 SI。英国—中国关系不能用单一“建筑服务”概括。</w:t>
      </w:r>
    </w:p>
    <w:bookmarkEnd w:id="25"/>
    <w:bookmarkStart w:id="26" w:name="英国印度图-12表-1"/>
    <w:p>
      <w:pPr>
        <w:pStyle w:val="Heading3"/>
      </w:pPr>
      <w:r>
        <w:t xml:space="preserve">5.2 英国—印度（图 1–2，表 1）</w:t>
      </w:r>
    </w:p>
    <w:p>
      <w:pPr>
        <w:pStyle w:val="FirstParagraph"/>
      </w:pPr>
      <w:r>
        <w:t xml:space="preserve">英国自印度进口 SJ3 从 21.866 亿美元升至 49.793 亿美元，增长 127.7%；印度自英国进口从 7.876 亿美元升至 15.542 亿美元，增长 97.3%。英国自印度进口 SI 增长 113.2%，反向增长 81.8%。建筑服务增长率也较高，但 2019 年基数仅约 4,000 万美元，不能把其百分比与数十亿美元的 SJ3 和 SI 等量解释。这些是描述性变化，不是因果识别：英国不在统一 NLG 面板内。</w:t>
      </w:r>
    </w:p>
    <w:bookmarkEnd w:id="26"/>
    <w:bookmarkStart w:id="27" w:name="笼统任何-ai不是正确冲击表-3"/>
    <w:p>
      <w:pPr>
        <w:pStyle w:val="Heading3"/>
      </w:pPr>
      <w:r>
        <w:t xml:space="preserve">5.3 笼统“任何 AI”不是正确冲击（表 3）</w:t>
      </w:r>
    </w:p>
    <w:p>
      <w:pPr>
        <w:pStyle w:val="FirstParagraph"/>
      </w:pPr>
      <w:r>
        <w:t xml:space="preserve">16 国样本中，NACE M“任何 AI”变化与对数 SJ3 进口的冲击后交互为 0.000（标准误 0.006，(N=336)）。较小八个国家样本中的正估计在扩大覆盖后消失。这解释了为何主成分不使用宽口径数字成熟度指数（表 3）。</w:t>
      </w:r>
    </w:p>
    <w:bookmarkEnd w:id="27"/>
    <w:bookmarkStart w:id="28" w:name="首选冲击与印度-sj3图-34表-23"/>
    <w:p>
      <w:pPr>
        <w:pStyle w:val="Heading3"/>
      </w:pPr>
      <w:r>
        <w:t xml:space="preserve">5.4 首选冲击与印度 SJ3（图 3–4，表 2–3）</w:t>
      </w:r>
    </w:p>
    <w:p>
      <w:pPr>
        <w:pStyle w:val="FirstParagraph"/>
      </w:pPr>
      <w:r>
        <w:t xml:space="preserve">专业服务 NLG 使用率在 2023—2024 年显著上升，且成员国之间差异很大（图 3、表 2）。合并模式一面板中，2024 年交互为 0.007（0.003）；仅印度时升至 0.021（0.008）。2022—2024 年印度 SJ3 进口变化的截面关系同样为正（图 4）。计算机服务、中国 SJ3、中国建筑服务、研发和咨询不复制这一关联（表 3）。</w:t>
      </w:r>
    </w:p>
    <w:bookmarkEnd w:id="28"/>
    <w:bookmarkStart w:id="29" w:name="国内-m71-行业图-5表-4"/>
    <w:p>
      <w:pPr>
        <w:pStyle w:val="Heading3"/>
      </w:pPr>
      <w:r>
        <w:t xml:space="preserve">5.5 国内 M71 行业（图 5，表 4）</w:t>
      </w:r>
    </w:p>
    <w:p>
      <w:pPr>
        <w:pStyle w:val="FirstParagraph"/>
      </w:pPr>
      <w:r>
        <w:t xml:space="preserve">2021—2024 年几乎所有成员国的名义 M71 营业额都在上升（图 5）。固定效应模型问的是高 NLG 采用国是否增长得不同。对数 M71 营业额估计为 −0.007（0.003，(N=68)），工资为 −0.009，增加值为 −0.006，就业接近零（表 4）。建筑业营业额为 −0.010，因此结果并非 M71 独有。</w:t>
      </w:r>
    </w:p>
    <w:bookmarkEnd w:id="29"/>
    <w:bookmarkStart w:id="30" w:name="进口国面板中的印度与中国表-3表-5"/>
    <w:p>
      <w:pPr>
        <w:pStyle w:val="Heading3"/>
      </w:pPr>
      <w:r>
        <w:t xml:space="preserve">5.6 进口国面板中的印度与中国（表 3、表 5）</w:t>
      </w:r>
    </w:p>
    <w:p>
      <w:pPr>
        <w:pStyle w:val="FirstParagraph"/>
      </w:pPr>
      <w:r>
        <w:t xml:space="preserve">印度 SJ3 的冲击后系数为 0.021（0.008），中国建筑服务为 −0.008（0.009），中国 SJ3 亦不显著（表 3）。按目的地采用分组，中国建筑服务对低 ΔTNLG 目的地在 2019—2024 年增长 65.4%，对高 ΔTNLG 目的地增长 47.5%（表 5）。项目型中国服务没有向 NLG 冲击更强的进口国重新配置。正系数属于欧盟市场上的印度 SJ3，不能机械转移到英国双边。</w:t>
      </w:r>
    </w:p>
    <w:bookmarkEnd w:id="30"/>
    <w:bookmarkEnd w:id="31"/>
    <w:bookmarkStart w:id="32" w:name="讨论"/>
    <w:p>
      <w:pPr>
        <w:pStyle w:val="Heading2"/>
      </w:pPr>
      <w:r>
        <w:t xml:space="preserve">6. 讨论</w:t>
      </w:r>
    </w:p>
    <w:p>
      <w:pPr>
        <w:pStyle w:val="FirstParagraph"/>
      </w:pPr>
      <w:r>
        <w:t xml:space="preserve">服务类别和贸易方向不能省略。英国自印度进口 SJ3 在 2019—2024 年约增加 27.93 亿美元，自中国进口约增加 7.71 亿美元。相似的面板百分比系数意味着完全不同的金额。M71 就业稳定而营业额与工资增长较慢，可能与计费小时压缩、价格或需求构成有关，现有数据无法区分。印度正系数与跨境技术协调成本下降相一致，也可能反映与采用相关的需求或采购变化。表 6 把可支持的主张与未识别对象分开。</w:t>
      </w:r>
    </w:p>
    <w:bookmarkEnd w:id="32"/>
    <w:bookmarkStart w:id="33" w:name="局限"/>
    <w:p>
      <w:pPr>
        <w:pStyle w:val="Heading2"/>
      </w:pPr>
      <w:r>
        <w:t xml:space="preserve">7. 局限</w:t>
      </w:r>
    </w:p>
    <w:p>
      <w:pPr>
        <w:pStyle w:val="FirstParagraph"/>
      </w:pPr>
      <w:r>
        <w:t xml:space="preserve">Eurostat 没有 M71 专属 NLG 采用率，NACE M 只是代理。SJ3 宽于建筑与工程服务，SJ312 不可得。印度、中国和英国缺少统一的企业 NLG 指标，双边分析是描述性的。BaTIS 为平衡估计，部分观测由编制机构调整或插补；本文没有自行插值。SBS 只有一个完整冲击后年份，且结果为当期价格。建筑业营业额同样为负，难以把工程咨询特有反应与更广泛的国内条件分开。</w:t>
      </w:r>
    </w:p>
    <w:bookmarkEnd w:id="33"/>
    <w:bookmarkStart w:id="34" w:name="结论"/>
    <w:p>
      <w:pPr>
        <w:pStyle w:val="Heading2"/>
      </w:pPr>
      <w:r>
        <w:t xml:space="preserve">8. 结论</w:t>
      </w:r>
    </w:p>
    <w:p>
      <w:pPr>
        <w:pStyle w:val="FirstParagraph"/>
      </w:pPr>
      <w:r>
        <w:t xml:space="preserve">2019—2024 年，英国与印度、中国的服务关系都在扩大，但结构不同。英国自印度进口 SJ3 增长最显著；英国自中国进口 SJ3 也接近翻倍，金额明显较低。欧盟面板中，NLG 采用与印度 SJ3 正相关，与中国建筑服务无关；国内 M71 营业额和工资相对放缓，就业不变。这些结果支持“可数字交付服务边际发生变化”的有限解释，但不支持 AI 导致双边土木工程岗位转移或 GDP 变化（表 6）。</w:t>
      </w:r>
    </w:p>
    <w:bookmarkEnd w:id="34"/>
    <w:bookmarkStart w:id="35" w:name="利益冲突声明"/>
    <w:p>
      <w:pPr>
        <w:pStyle w:val="Heading2"/>
      </w:pPr>
      <w:r>
        <w:t xml:space="preserve">利益冲突声明</w:t>
      </w:r>
    </w:p>
    <w:p>
      <w:pPr>
        <w:pStyle w:val="FirstParagraph"/>
      </w:pPr>
      <w:r>
        <w:t xml:space="preserve">作者报告不存在潜在利益冲突。</w:t>
      </w:r>
    </w:p>
    <w:bookmarkEnd w:id="35"/>
    <w:bookmarkStart w:id="36" w:name="数据可得性声明"/>
    <w:p>
      <w:pPr>
        <w:pStyle w:val="Heading2"/>
      </w:pPr>
      <w:r>
        <w:t xml:space="preserve">数据可得性声明</w:t>
      </w:r>
    </w:p>
    <w:p>
      <w:pPr>
        <w:pStyle w:val="FirstParagraph"/>
      </w:pPr>
      <w:r>
        <w:t xml:space="preserve">支持本文发现的数据收录于配套复制包</w:t>
      </w:r>
      <w:r>
        <w:t xml:space="preserve"> </w:t>
      </w:r>
      <w:r>
        <w:rPr>
          <w:rStyle w:val="VerbatimChar"/>
        </w:rPr>
        <w:t xml:space="preserve">Data_Study4_IJCM/</w:t>
      </w:r>
      <w:r>
        <w:t xml:space="preserve">。Eurostat、OECD–WTO BaTIS 和 ILOSTAT 序列仍受其出版方条款约束，引用方式见参考文献。作者生成文件以 CC BY 4.0 发布。</w:t>
      </w:r>
    </w:p>
    <w:bookmarkEnd w:id="36"/>
    <w:bookmarkStart w:id="37" w:name="参考文献"/>
    <w:p>
      <w:pPr>
        <w:pStyle w:val="Heading2"/>
      </w:pPr>
      <w:r>
        <w:t xml:space="preserve">参考文献</w:t>
      </w:r>
    </w:p>
    <w:p>
      <w:pPr>
        <w:pStyle w:val="FirstParagraph"/>
      </w:pPr>
      <w:r>
        <w:t xml:space="preserve">Acemoglu, D., &amp; Restrepo, P. (2018). The race between man and machine: Implications of technology for growth, factor shares, and employment.</w:t>
      </w:r>
      <w:r>
        <w:t xml:space="preserve"> </w:t>
      </w:r>
      <w:r>
        <w:rPr>
          <w:iCs/>
          <w:i/>
        </w:rPr>
        <w:t xml:space="preserve">American Economic Review, 108</w:t>
      </w:r>
      <w:r>
        <w:t xml:space="preserve">(6), 1488–1542.</w:t>
      </w:r>
    </w:p>
    <w:p>
      <w:pPr>
        <w:pStyle w:val="BodyText"/>
      </w:pPr>
      <w:r>
        <w:t xml:space="preserve">Acemoglu, D., &amp; Restrepo, P. (2019). Automation and new tasks: How technology displaces and reinstates labor.</w:t>
      </w:r>
      <w:r>
        <w:t xml:space="preserve"> </w:t>
      </w:r>
      <w:r>
        <w:rPr>
          <w:iCs/>
          <w:i/>
        </w:rPr>
        <w:t xml:space="preserve">Journal of Economic Perspectives, 33</w:t>
      </w:r>
      <w:r>
        <w:t xml:space="preserve">(2), 3–30.</w:t>
      </w:r>
    </w:p>
    <w:p>
      <w:pPr>
        <w:pStyle w:val="BodyText"/>
      </w:pPr>
      <w:r>
        <w:t xml:space="preserve">Acemoglu, D., &amp; Restrepo, P. (2020). Robots and jobs: Evidence from US labor markets.</w:t>
      </w:r>
      <w:r>
        <w:t xml:space="preserve"> </w:t>
      </w:r>
      <w:r>
        <w:rPr>
          <w:iCs/>
          <w:i/>
        </w:rPr>
        <w:t xml:space="preserve">Journal of Political Economy, 128</w:t>
      </w:r>
      <w:r>
        <w:t xml:space="preserve">(6), 2188–2244.</w:t>
      </w:r>
    </w:p>
    <w:p>
      <w:pPr>
        <w:pStyle w:val="BodyText"/>
      </w:pPr>
      <w:r>
        <w:t xml:space="preserve">Agrawal, A., Gans, J., &amp; Goldfarb, A. (2018).</w:t>
      </w:r>
      <w:r>
        <w:t xml:space="preserve"> </w:t>
      </w:r>
      <w:r>
        <w:rPr>
          <w:iCs/>
          <w:i/>
        </w:rPr>
        <w:t xml:space="preserve">Prediction machines: The simple economics of artificial intelligence</w:t>
      </w:r>
      <w:r>
        <w:t xml:space="preserve">. Harvard Business Review Press.</w:t>
      </w:r>
    </w:p>
    <w:p>
      <w:pPr>
        <w:pStyle w:val="BodyText"/>
      </w:pPr>
      <w:r>
        <w:t xml:space="preserve">Agrawal, A., Gans, J., &amp; Goldfarb, A. (2022).</w:t>
      </w:r>
      <w:r>
        <w:t xml:space="preserve"> </w:t>
      </w:r>
      <w:r>
        <w:rPr>
          <w:iCs/>
          <w:i/>
        </w:rPr>
        <w:t xml:space="preserve">Power and prediction: The disruptive economics of artificial intelligence</w:t>
      </w:r>
      <w:r>
        <w:t xml:space="preserve">. Harvard Business Review Press.</w:t>
      </w:r>
    </w:p>
    <w:p>
      <w:pPr>
        <w:pStyle w:val="BodyText"/>
      </w:pPr>
      <w:r>
        <w:t xml:space="preserve">Autor, D. H. (2015). Why are there still so many jobs? The history and future of workplace automation.</w:t>
      </w:r>
      <w:r>
        <w:t xml:space="preserve"> </w:t>
      </w:r>
      <w:r>
        <w:rPr>
          <w:iCs/>
          <w:i/>
        </w:rPr>
        <w:t xml:space="preserve">Journal of Economic Perspectives, 29</w:t>
      </w:r>
      <w:r>
        <w:t xml:space="preserve">(3), 3–30.</w:t>
      </w:r>
    </w:p>
    <w:p>
      <w:pPr>
        <w:pStyle w:val="BodyText"/>
      </w:pPr>
      <w:r>
        <w:t xml:space="preserve">Autor, D. H., Levy, F., &amp; Murnane, R. J. (2003). The skill content of recent technological change: An empirical exploration.</w:t>
      </w:r>
      <w:r>
        <w:t xml:space="preserve"> </w:t>
      </w:r>
      <w:r>
        <w:rPr>
          <w:iCs/>
          <w:i/>
        </w:rPr>
        <w:t xml:space="preserve">Quarterly Journal of Economics, 118</w:t>
      </w:r>
      <w:r>
        <w:t xml:space="preserve">(4), 1279–1333.</w:t>
      </w:r>
    </w:p>
    <w:p>
      <w:pPr>
        <w:pStyle w:val="BodyText"/>
      </w:pPr>
      <w:r>
        <w:t xml:space="preserve">Baldwin, R. (2016).</w:t>
      </w:r>
      <w:r>
        <w:t xml:space="preserve"> </w:t>
      </w:r>
      <w:r>
        <w:rPr>
          <w:iCs/>
          <w:i/>
        </w:rPr>
        <w:t xml:space="preserve">The great convergence: Information technology and the new globalization</w:t>
      </w:r>
      <w:r>
        <w:t xml:space="preserve">. Harvard University Press.</w:t>
      </w:r>
    </w:p>
    <w:p>
      <w:pPr>
        <w:pStyle w:val="BodyText"/>
      </w:pPr>
      <w:r>
        <w:t xml:space="preserve">Baldwin, R. (2019).</w:t>
      </w:r>
      <w:r>
        <w:t xml:space="preserve"> </w:t>
      </w:r>
      <w:r>
        <w:rPr>
          <w:iCs/>
          <w:i/>
        </w:rPr>
        <w:t xml:space="preserve">The globotics upheaval: Globalization, robotics, and the future of work</w:t>
      </w:r>
      <w:r>
        <w:t xml:space="preserve">. Oxford University Press.</w:t>
      </w:r>
    </w:p>
    <w:p>
      <w:pPr>
        <w:pStyle w:val="BodyText"/>
      </w:pPr>
      <w:r>
        <w:t xml:space="preserve">Blinder, A. S. (2006). Offshoring: The next industrial revolution?</w:t>
      </w:r>
      <w:r>
        <w:t xml:space="preserve"> </w:t>
      </w:r>
      <w:r>
        <w:rPr>
          <w:iCs/>
          <w:i/>
        </w:rPr>
        <w:t xml:space="preserve">Foreign Affairs, 85</w:t>
      </w:r>
      <w:r>
        <w:t xml:space="preserve">(2), 113–128.</w:t>
      </w:r>
    </w:p>
    <w:p>
      <w:pPr>
        <w:pStyle w:val="BodyText"/>
      </w:pPr>
      <w:r>
        <w:t xml:space="preserve">Brynjolfsson, E., Li, D., &amp; Raymond, L. (2025). Generative AI at work.</w:t>
      </w:r>
      <w:r>
        <w:t xml:space="preserve"> </w:t>
      </w:r>
      <w:r>
        <w:rPr>
          <w:iCs/>
          <w:i/>
        </w:rPr>
        <w:t xml:space="preserve">Quarterly Journal of Economics, 140</w:t>
      </w:r>
      <w:r>
        <w:t xml:space="preserve">(2), 889–942.</w:t>
      </w:r>
    </w:p>
    <w:p>
      <w:pPr>
        <w:pStyle w:val="BodyText"/>
      </w:pPr>
      <w:r>
        <w:t xml:space="preserve">Dell’Acqua, F., McFowland, E., Mollick, E., Lifshitz-Assaf, H., Kellogg, K. C., Rajendran, S., Krayer, L., Candelon, F., &amp; Lakhani, K. R. (2023). Navigating the jagged technological frontier: Field experimental evidence of the effects of AI on knowledge worker productivity and quality (Harvard Business School Working Paper 24-013).</w:t>
      </w:r>
    </w:p>
    <w:p>
      <w:pPr>
        <w:pStyle w:val="BodyText"/>
      </w:pPr>
      <w:r>
        <w:t xml:space="preserve">Eastman, C., Teicholz, P., Sacks, R., &amp; Liston, K. (2011).</w:t>
      </w:r>
      <w:r>
        <w:t xml:space="preserve"> </w:t>
      </w:r>
      <w:r>
        <w:rPr>
          <w:iCs/>
          <w:i/>
        </w:rPr>
        <w:t xml:space="preserve">BIM handbook: A guide to building information modeling</w:t>
      </w:r>
      <w:r>
        <w:t xml:space="preserve"> </w:t>
      </w:r>
      <w:r>
        <w:t xml:space="preserve">(2nd ed.). Wiley.</w:t>
      </w:r>
    </w:p>
    <w:p>
      <w:pPr>
        <w:pStyle w:val="BodyText"/>
      </w:pPr>
      <w:r>
        <w:t xml:space="preserve">Eloundou, T., Manning, S., Mishkin, P., &amp; Rock, D. (2023). GPTs are GPTs: An early look at the labor market impact potential of large language models. arXiv:2303.10130.</w:t>
      </w:r>
    </w:p>
    <w:p>
      <w:pPr>
        <w:pStyle w:val="BodyText"/>
      </w:pPr>
      <w:r>
        <w:t xml:space="preserve">Eloundou, T., Manning, S., Mishkin, P., &amp; Rock, D. (2024). GPTs are GPTs: Labor market impact potential of LLMs.</w:t>
      </w:r>
      <w:r>
        <w:t xml:space="preserve"> </w:t>
      </w:r>
      <w:r>
        <w:rPr>
          <w:iCs/>
          <w:i/>
        </w:rPr>
        <w:t xml:space="preserve">Science, 384</w:t>
      </w:r>
      <w:r>
        <w:t xml:space="preserve">(6702), 1306–1308.</w:t>
      </w:r>
    </w:p>
    <w:p>
      <w:pPr>
        <w:pStyle w:val="BodyText"/>
      </w:pPr>
      <w:r>
        <w:t xml:space="preserve">Eurostat. (2024).</w:t>
      </w:r>
      <w:r>
        <w:t xml:space="preserve"> </w:t>
      </w:r>
      <w:r>
        <w:rPr>
          <w:iCs/>
          <w:i/>
        </w:rPr>
        <w:t xml:space="preserve">ICT usage in enterprises: Artificial intelligence (isoc_eb_ain2); national accounts (nama_10_a64); structural business statistics (sbs_ovw_act, sbs_sc_ovw)</w:t>
      </w:r>
      <w:r>
        <w:t xml:space="preserve">. European Commission.</w:t>
      </w:r>
    </w:p>
    <w:p>
      <w:pPr>
        <w:pStyle w:val="BodyText"/>
      </w:pPr>
      <w:r>
        <w:t xml:space="preserve">Felten, E., Raj, M., &amp; Seamans, R. (2018). A method to link advances in artificial intelligence to occupational abilities.</w:t>
      </w:r>
      <w:r>
        <w:t xml:space="preserve"> </w:t>
      </w:r>
      <w:r>
        <w:rPr>
          <w:iCs/>
          <w:i/>
        </w:rPr>
        <w:t xml:space="preserve">AEA Papers and Proceedings, 108</w:t>
      </w:r>
      <w:r>
        <w:t xml:space="preserve">, 54–57.</w:t>
      </w:r>
    </w:p>
    <w:p>
      <w:pPr>
        <w:pStyle w:val="BodyText"/>
      </w:pPr>
      <w:r>
        <w:t xml:space="preserve">Felten, E., Raj, M., &amp; Seamans, R. (2021). Occupational, industry, and geographic exposure to artificial intelligence: A novel dataset and its potential uses.</w:t>
      </w:r>
      <w:r>
        <w:t xml:space="preserve"> </w:t>
      </w:r>
      <w:r>
        <w:rPr>
          <w:iCs/>
          <w:i/>
        </w:rPr>
        <w:t xml:space="preserve">Strategic Management Journal, 42</w:t>
      </w:r>
      <w:r>
        <w:t xml:space="preserve">(12), 2195–2217.</w:t>
      </w:r>
    </w:p>
    <w:p>
      <w:pPr>
        <w:pStyle w:val="BodyText"/>
      </w:pPr>
      <w:r>
        <w:t xml:space="preserve">Fortanier, F., Liberatore, A., Maurer, A., &amp; Pilgrim, G. (2017).</w:t>
      </w:r>
      <w:r>
        <w:t xml:space="preserve"> </w:t>
      </w:r>
      <w:r>
        <w:rPr>
          <w:iCs/>
          <w:i/>
        </w:rPr>
        <w:t xml:space="preserve">The OECD–WTO Balanced Trade in Services database</w:t>
      </w:r>
      <w:r>
        <w:t xml:space="preserve">. OECD/WTO.</w:t>
      </w:r>
    </w:p>
    <w:p>
      <w:pPr>
        <w:pStyle w:val="BodyText"/>
      </w:pPr>
      <w:r>
        <w:t xml:space="preserve">Francois, J., &amp; Hoekman, B. (2010). Services trade and policy.</w:t>
      </w:r>
      <w:r>
        <w:t xml:space="preserve"> </w:t>
      </w:r>
      <w:r>
        <w:rPr>
          <w:iCs/>
          <w:i/>
        </w:rPr>
        <w:t xml:space="preserve">Journal of Economic Literature, 48</w:t>
      </w:r>
      <w:r>
        <w:t xml:space="preserve">(3), 642–692.</w:t>
      </w:r>
    </w:p>
    <w:p>
      <w:pPr>
        <w:pStyle w:val="BodyText"/>
      </w:pPr>
      <w:r>
        <w:t xml:space="preserve">Gann, D. M., &amp; Salter, A. J. (2000). Innovation in project-based, service-enhanced firms: The construction of complex products and systems.</w:t>
      </w:r>
      <w:r>
        <w:t xml:space="preserve"> </w:t>
      </w:r>
      <w:r>
        <w:rPr>
          <w:iCs/>
          <w:i/>
        </w:rPr>
        <w:t xml:space="preserve">Research Policy, 29</w:t>
      </w:r>
      <w:r>
        <w:t xml:space="preserve">(7–8), 955–972.</w:t>
      </w:r>
    </w:p>
    <w:p>
      <w:pPr>
        <w:pStyle w:val="BodyText"/>
      </w:pPr>
      <w:r>
        <w:t xml:space="preserve">Grossman, G. M., &amp; Rossi-Hansberg, E. (2008). Trading tasks: A simple theory of offshoring.</w:t>
      </w:r>
      <w:r>
        <w:t xml:space="preserve"> </w:t>
      </w:r>
      <w:r>
        <w:rPr>
          <w:iCs/>
          <w:i/>
        </w:rPr>
        <w:t xml:space="preserve">American Economic Review, 98</w:t>
      </w:r>
      <w:r>
        <w:t xml:space="preserve">(5), 1978–1997.</w:t>
      </w:r>
    </w:p>
    <w:p>
      <w:pPr>
        <w:pStyle w:val="BodyText"/>
      </w:pPr>
      <w:r>
        <w:t xml:space="preserve">Hui, X., Reshef, O., &amp; Zhou, L. (2024). The short-term effects of generative artificial intelligence on employment: Evidence from an online labor market.</w:t>
      </w:r>
      <w:r>
        <w:t xml:space="preserve"> </w:t>
      </w:r>
      <w:r>
        <w:rPr>
          <w:iCs/>
          <w:i/>
        </w:rPr>
        <w:t xml:space="preserve">Organization Science</w:t>
      </w:r>
      <w:r>
        <w:t xml:space="preserve">.</w:t>
      </w:r>
    </w:p>
    <w:p>
      <w:pPr>
        <w:pStyle w:val="BodyText"/>
      </w:pPr>
      <w:r>
        <w:t xml:space="preserve">ILO. (n.d.).</w:t>
      </w:r>
      <w:r>
        <w:t xml:space="preserve"> </w:t>
      </w:r>
      <w:r>
        <w:rPr>
          <w:iCs/>
          <w:i/>
        </w:rPr>
        <w:t xml:space="preserve">ILOSTAT: Employment by sex and economic activity</w:t>
      </w:r>
      <w:r>
        <w:t xml:space="preserve">. International Labour Organization.</w:t>
      </w:r>
    </w:p>
    <w:p>
      <w:pPr>
        <w:pStyle w:val="BodyText"/>
      </w:pPr>
      <w:r>
        <w:t xml:space="preserve">Korinek, A., &amp; Stiglitz, J. E. (2021). Artificial intelligence, globalization, and strategies for economic development (NBER Working Paper 28453).</w:t>
      </w:r>
    </w:p>
    <w:p>
      <w:pPr>
        <w:pStyle w:val="BodyText"/>
      </w:pPr>
      <w:r>
        <w:t xml:space="preserve">Loungani, P., Mishra, S., Papageorgiou, C., &amp; Wang, K. (2017). World trade in services: Evidence from a new dataset (IMF Working Paper 17/77).</w:t>
      </w:r>
    </w:p>
    <w:p>
      <w:pPr>
        <w:pStyle w:val="BodyText"/>
      </w:pPr>
      <w:r>
        <w:t xml:space="preserve">Noy, S., &amp; Zhang, W. (2023). Experimental evidence on the productivity effects of generative artificial intelligence.</w:t>
      </w:r>
      <w:r>
        <w:t xml:space="preserve"> </w:t>
      </w:r>
      <w:r>
        <w:rPr>
          <w:iCs/>
          <w:i/>
        </w:rPr>
        <w:t xml:space="preserve">Science, 381</w:t>
      </w:r>
      <w:r>
        <w:t xml:space="preserve">(6654), 187–192.</w:t>
      </w:r>
    </w:p>
    <w:p>
      <w:pPr>
        <w:pStyle w:val="BodyText"/>
      </w:pPr>
      <w:r>
        <w:t xml:space="preserve">OECD &amp; WTO. (n.d.).</w:t>
      </w:r>
      <w:r>
        <w:t xml:space="preserve"> </w:t>
      </w:r>
      <w:r>
        <w:rPr>
          <w:iCs/>
          <w:i/>
        </w:rPr>
        <w:t xml:space="preserve">BaTIS: Balanced Trade in Services dataset</w:t>
      </w:r>
      <w:r>
        <w:t xml:space="preserve"> </w:t>
      </w:r>
      <w:r>
        <w:t xml:space="preserve">(BPM6, adjustment B).</w:t>
      </w:r>
    </w:p>
    <w:p>
      <w:pPr>
        <w:pStyle w:val="BodyText"/>
      </w:pPr>
      <w:r>
        <w:t xml:space="preserve">Peng, S., Kalliamvakou, E., Cihon, P., &amp; Demirer, M. (2023). The impact of AI on developer productivity: Evidence from GitHub Copilot. arXiv:2302.06590.</w:t>
      </w:r>
    </w:p>
    <w:p>
      <w:pPr>
        <w:pStyle w:val="BodyText"/>
      </w:pPr>
      <w:r>
        <w:t xml:space="preserve">Sacks, R., Eastman, C., Lee, G., &amp; Teicholz, P. (2018).</w:t>
      </w:r>
      <w:r>
        <w:t xml:space="preserve"> </w:t>
      </w:r>
      <w:r>
        <w:rPr>
          <w:iCs/>
          <w:i/>
        </w:rPr>
        <w:t xml:space="preserve">BIM handbook: A guide to building information modeling for owners, designers, engineers, contractors, and facility managers</w:t>
      </w:r>
      <w:r>
        <w:t xml:space="preserve"> </w:t>
      </w:r>
      <w:r>
        <w:t xml:space="preserve">(3rd ed.). Wiley.</w:t>
      </w:r>
    </w:p>
    <w:p>
      <w:pPr>
        <w:pStyle w:val="BodyText"/>
      </w:pPr>
      <w:r>
        <w:t xml:space="preserve">Webb, M. (2020).</w:t>
      </w:r>
      <w:r>
        <w:t xml:space="preserve"> </w:t>
      </w:r>
      <w:r>
        <w:rPr>
          <w:iCs/>
          <w:i/>
        </w:rPr>
        <w:t xml:space="preserve">The impact of artificial intelligence on the labor market</w:t>
      </w:r>
      <w:r>
        <w:t xml:space="preserve">. Stanford University.</w:t>
      </w:r>
    </w:p>
    <w:p>
      <w:pPr>
        <w:pStyle w:val="BodyText"/>
      </w:pPr>
      <w:r>
        <w:t xml:space="preserve">Whyte, J. (2019). How digital information transforms project delivery models.</w:t>
      </w:r>
      <w:r>
        <w:t xml:space="preserve"> </w:t>
      </w:r>
      <w:r>
        <w:rPr>
          <w:iCs/>
          <w:i/>
        </w:rPr>
        <w:t xml:space="preserve">Project Management Journal, 50</w:t>
      </w:r>
      <w:r>
        <w:t xml:space="preserve">(2), 177–194.</w:t>
      </w:r>
    </w:p>
    <w:p>
      <w:pPr>
        <w:pStyle w:val="BodyText"/>
      </w:pPr>
      <w:r>
        <w:t xml:space="preserve">Winch, G. M. (2010).</w:t>
      </w:r>
      <w:r>
        <w:t xml:space="preserve"> </w:t>
      </w:r>
      <w:r>
        <w:rPr>
          <w:iCs/>
          <w:i/>
        </w:rPr>
        <w:t xml:space="preserve">Managing construction projects</w:t>
      </w:r>
      <w:r>
        <w:t xml:space="preserve"> </w:t>
      </w:r>
      <w:r>
        <w:t xml:space="preserve">(2nd ed.). Wiley-Blackwell.</w:t>
      </w:r>
    </w:p>
    <w:p>
      <w:pPr>
        <w:pStyle w:val="BodyText"/>
      </w:pPr>
      <w:r>
        <w:t xml:space="preserve">WTO. (1994).</w:t>
      </w:r>
      <w:r>
        <w:t xml:space="preserve"> </w:t>
      </w:r>
      <w:r>
        <w:rPr>
          <w:iCs/>
          <w:i/>
        </w:rPr>
        <w:t xml:space="preserve">General Agreement on Trade in Services</w:t>
      </w:r>
      <w:r>
        <w:t xml:space="preserve">. World Trade Organization.</w:t>
      </w:r>
    </w:p>
    <w:bookmarkEnd w:id="37"/>
    <w:bookmarkStart w:id="38" w:name="表"/>
    <w:p>
      <w:pPr>
        <w:pStyle w:val="Heading2"/>
      </w:pPr>
      <w:r>
        <w:t xml:space="preserve">表</w:t>
      </w:r>
    </w:p>
    <w:p>
      <w:pPr>
        <w:pStyle w:val="FirstParagraph"/>
      </w:pPr>
      <w:r>
        <w:rPr>
          <w:bCs/>
          <w:b/>
        </w:rPr>
        <w:t xml:space="preserve">表 1.</w:t>
      </w:r>
      <w:r>
        <w:t xml:space="preserve"> </w:t>
      </w:r>
      <w:r>
        <w:t xml:space="preserve">英国—印度与英国—中国服务走廊</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进口方向</w:t>
            </w:r>
          </w:p>
        </w:tc>
        <w:tc>
          <w:tcPr/>
          <w:p>
            <w:pPr>
              <w:pStyle w:val="Compact"/>
              <w:jc w:val="left"/>
            </w:pPr>
            <w:r>
              <w:t xml:space="preserve">服务</w:t>
            </w:r>
          </w:p>
        </w:tc>
        <w:tc>
          <w:tcPr/>
          <w:p>
            <w:pPr>
              <w:pStyle w:val="Compact"/>
              <w:jc w:val="left"/>
            </w:pPr>
            <w:r>
              <w:t xml:space="preserve">2019（百万美元）</w:t>
            </w:r>
          </w:p>
        </w:tc>
        <w:tc>
          <w:tcPr/>
          <w:p>
            <w:pPr>
              <w:pStyle w:val="Compact"/>
              <w:jc w:val="left"/>
            </w:pPr>
            <w:r>
              <w:t xml:space="preserve">2024（百万美元）</w:t>
            </w:r>
          </w:p>
        </w:tc>
        <w:tc>
          <w:tcPr/>
          <w:p>
            <w:pPr>
              <w:pStyle w:val="Compact"/>
              <w:jc w:val="left"/>
            </w:pPr>
            <w:r>
              <w:t xml:space="preserve">变化</w:t>
            </w:r>
          </w:p>
        </w:tc>
      </w:tr>
      <w:tr>
        <w:tc>
          <w:tcPr/>
          <w:p>
            <w:pPr>
              <w:pStyle w:val="Compact"/>
              <w:jc w:val="left"/>
            </w:pPr>
            <w:r>
              <w:t xml:space="preserve">英国自印度进口</w:t>
            </w:r>
          </w:p>
        </w:tc>
        <w:tc>
          <w:tcPr/>
          <w:p>
            <w:pPr>
              <w:pStyle w:val="Compact"/>
              <w:jc w:val="left"/>
            </w:pPr>
            <w:r>
              <w:t xml:space="preserve">SJ3 技术及其他商业服务</w:t>
            </w:r>
          </w:p>
        </w:tc>
        <w:tc>
          <w:tcPr/>
          <w:p>
            <w:pPr>
              <w:pStyle w:val="Compact"/>
              <w:jc w:val="left"/>
            </w:pPr>
            <w:r>
              <w:t xml:space="preserve">2,186.6</w:t>
            </w:r>
          </w:p>
        </w:tc>
        <w:tc>
          <w:tcPr/>
          <w:p>
            <w:pPr>
              <w:pStyle w:val="Compact"/>
              <w:jc w:val="left"/>
            </w:pPr>
            <w:r>
              <w:t xml:space="preserve">4,979.3</w:t>
            </w:r>
          </w:p>
        </w:tc>
        <w:tc>
          <w:tcPr/>
          <w:p>
            <w:pPr>
              <w:pStyle w:val="Compact"/>
              <w:jc w:val="left"/>
            </w:pPr>
            <w:r>
              <w:t xml:space="preserve">127.7%</w:t>
            </w:r>
          </w:p>
        </w:tc>
      </w:tr>
      <w:tr>
        <w:tc>
          <w:tcPr/>
          <w:p>
            <w:pPr>
              <w:pStyle w:val="Compact"/>
              <w:jc w:val="left"/>
            </w:pPr>
            <w:r>
              <w:t xml:space="preserve">印度自英国进口</w:t>
            </w:r>
          </w:p>
        </w:tc>
        <w:tc>
          <w:tcPr/>
          <w:p>
            <w:pPr>
              <w:pStyle w:val="Compact"/>
              <w:jc w:val="left"/>
            </w:pPr>
            <w:r>
              <w:t xml:space="preserve">SJ3 技术及其他商业服务</w:t>
            </w:r>
          </w:p>
        </w:tc>
        <w:tc>
          <w:tcPr/>
          <w:p>
            <w:pPr>
              <w:pStyle w:val="Compact"/>
              <w:jc w:val="left"/>
            </w:pPr>
            <w:r>
              <w:t xml:space="preserve">787.6</w:t>
            </w:r>
          </w:p>
        </w:tc>
        <w:tc>
          <w:tcPr/>
          <w:p>
            <w:pPr>
              <w:pStyle w:val="Compact"/>
              <w:jc w:val="left"/>
            </w:pPr>
            <w:r>
              <w:t xml:space="preserve">1,554.2</w:t>
            </w:r>
          </w:p>
        </w:tc>
        <w:tc>
          <w:tcPr/>
          <w:p>
            <w:pPr>
              <w:pStyle w:val="Compact"/>
              <w:jc w:val="left"/>
            </w:pPr>
            <w:r>
              <w:t xml:space="preserve">97.3%</w:t>
            </w:r>
          </w:p>
        </w:tc>
      </w:tr>
      <w:tr>
        <w:tc>
          <w:tcPr/>
          <w:p>
            <w:pPr>
              <w:pStyle w:val="Compact"/>
              <w:jc w:val="left"/>
            </w:pPr>
            <w:r>
              <w:t xml:space="preserve">英国自中国进口</w:t>
            </w:r>
          </w:p>
        </w:tc>
        <w:tc>
          <w:tcPr/>
          <w:p>
            <w:pPr>
              <w:pStyle w:val="Compact"/>
              <w:jc w:val="left"/>
            </w:pPr>
            <w:r>
              <w:t xml:space="preserve">SJ3 技术及其他商业服务</w:t>
            </w:r>
          </w:p>
        </w:tc>
        <w:tc>
          <w:tcPr/>
          <w:p>
            <w:pPr>
              <w:pStyle w:val="Compact"/>
              <w:jc w:val="left"/>
            </w:pPr>
            <w:r>
              <w:t xml:space="preserve">775.5</w:t>
            </w:r>
          </w:p>
        </w:tc>
        <w:tc>
          <w:tcPr/>
          <w:p>
            <w:pPr>
              <w:pStyle w:val="Compact"/>
              <w:jc w:val="left"/>
            </w:pPr>
            <w:r>
              <w:t xml:space="preserve">1,546.0</w:t>
            </w:r>
          </w:p>
        </w:tc>
        <w:tc>
          <w:tcPr/>
          <w:p>
            <w:pPr>
              <w:pStyle w:val="Compact"/>
              <w:jc w:val="left"/>
            </w:pPr>
            <w:r>
              <w:t xml:space="preserve">99.3%</w:t>
            </w:r>
          </w:p>
        </w:tc>
      </w:tr>
      <w:tr>
        <w:tc>
          <w:tcPr/>
          <w:p>
            <w:pPr>
              <w:pStyle w:val="Compact"/>
              <w:jc w:val="left"/>
            </w:pPr>
            <w:r>
              <w:t xml:space="preserve">中国自英国进口</w:t>
            </w:r>
          </w:p>
        </w:tc>
        <w:tc>
          <w:tcPr/>
          <w:p>
            <w:pPr>
              <w:pStyle w:val="Compact"/>
              <w:jc w:val="left"/>
            </w:pPr>
            <w:r>
              <w:t xml:space="preserve">SJ3 技术及其他商业服务</w:t>
            </w:r>
          </w:p>
        </w:tc>
        <w:tc>
          <w:tcPr/>
          <w:p>
            <w:pPr>
              <w:pStyle w:val="Compact"/>
              <w:jc w:val="left"/>
            </w:pPr>
            <w:r>
              <w:t xml:space="preserve">739.0</w:t>
            </w:r>
          </w:p>
        </w:tc>
        <w:tc>
          <w:tcPr/>
          <w:p>
            <w:pPr>
              <w:pStyle w:val="Compact"/>
              <w:jc w:val="left"/>
            </w:pPr>
            <w:r>
              <w:t xml:space="preserve">954.6</w:t>
            </w:r>
          </w:p>
        </w:tc>
        <w:tc>
          <w:tcPr/>
          <w:p>
            <w:pPr>
              <w:pStyle w:val="Compact"/>
              <w:jc w:val="left"/>
            </w:pPr>
            <w:r>
              <w:t xml:space="preserve">29.2%</w:t>
            </w:r>
          </w:p>
        </w:tc>
      </w:tr>
      <w:tr>
        <w:tc>
          <w:tcPr/>
          <w:p>
            <w:pPr>
              <w:pStyle w:val="Compact"/>
              <w:jc w:val="left"/>
            </w:pPr>
            <w:r>
              <w:t xml:space="preserve">英国自印度进口</w:t>
            </w:r>
          </w:p>
        </w:tc>
        <w:tc>
          <w:tcPr/>
          <w:p>
            <w:pPr>
              <w:pStyle w:val="Compact"/>
              <w:jc w:val="left"/>
            </w:pPr>
            <w:r>
              <w:t xml:space="preserve">SE 建筑服务</w:t>
            </w:r>
          </w:p>
        </w:tc>
        <w:tc>
          <w:tcPr/>
          <w:p>
            <w:pPr>
              <w:pStyle w:val="Compact"/>
              <w:jc w:val="left"/>
            </w:pPr>
            <w:r>
              <w:t xml:space="preserve">41.9</w:t>
            </w:r>
          </w:p>
        </w:tc>
        <w:tc>
          <w:tcPr/>
          <w:p>
            <w:pPr>
              <w:pStyle w:val="Compact"/>
              <w:jc w:val="left"/>
            </w:pPr>
            <w:r>
              <w:t xml:space="preserve">72.8</w:t>
            </w:r>
          </w:p>
        </w:tc>
        <w:tc>
          <w:tcPr/>
          <w:p>
            <w:pPr>
              <w:pStyle w:val="Compact"/>
              <w:jc w:val="left"/>
            </w:pPr>
            <w:r>
              <w:t xml:space="preserve">73.7%</w:t>
            </w:r>
          </w:p>
        </w:tc>
      </w:tr>
      <w:tr>
        <w:tc>
          <w:tcPr/>
          <w:p>
            <w:pPr>
              <w:pStyle w:val="Compact"/>
              <w:jc w:val="left"/>
            </w:pPr>
            <w:r>
              <w:t xml:space="preserve">印度自英国进口</w:t>
            </w:r>
          </w:p>
        </w:tc>
        <w:tc>
          <w:tcPr/>
          <w:p>
            <w:pPr>
              <w:pStyle w:val="Compact"/>
              <w:jc w:val="left"/>
            </w:pPr>
            <w:r>
              <w:t xml:space="preserve">SE 建筑服务</w:t>
            </w:r>
          </w:p>
        </w:tc>
        <w:tc>
          <w:tcPr/>
          <w:p>
            <w:pPr>
              <w:pStyle w:val="Compact"/>
              <w:jc w:val="left"/>
            </w:pPr>
            <w:r>
              <w:t xml:space="preserve">39.3</w:t>
            </w:r>
          </w:p>
        </w:tc>
        <w:tc>
          <w:tcPr/>
          <w:p>
            <w:pPr>
              <w:pStyle w:val="Compact"/>
              <w:jc w:val="left"/>
            </w:pPr>
            <w:r>
              <w:t xml:space="preserve">72.6</w:t>
            </w:r>
          </w:p>
        </w:tc>
        <w:tc>
          <w:tcPr/>
          <w:p>
            <w:pPr>
              <w:pStyle w:val="Compact"/>
              <w:jc w:val="left"/>
            </w:pPr>
            <w:r>
              <w:t xml:space="preserve">84.8%</w:t>
            </w:r>
          </w:p>
        </w:tc>
      </w:tr>
      <w:tr>
        <w:tc>
          <w:tcPr/>
          <w:p>
            <w:pPr>
              <w:pStyle w:val="Compact"/>
              <w:jc w:val="left"/>
            </w:pPr>
            <w:r>
              <w:t xml:space="preserve">英国自中国进口</w:t>
            </w:r>
          </w:p>
        </w:tc>
        <w:tc>
          <w:tcPr/>
          <w:p>
            <w:pPr>
              <w:pStyle w:val="Compact"/>
              <w:jc w:val="left"/>
            </w:pPr>
            <w:r>
              <w:t xml:space="preserve">SE 建筑服务</w:t>
            </w:r>
          </w:p>
        </w:tc>
        <w:tc>
          <w:tcPr/>
          <w:p>
            <w:pPr>
              <w:pStyle w:val="Compact"/>
              <w:jc w:val="left"/>
            </w:pPr>
            <w:r>
              <w:t xml:space="preserve">118.5</w:t>
            </w:r>
          </w:p>
        </w:tc>
        <w:tc>
          <w:tcPr/>
          <w:p>
            <w:pPr>
              <w:pStyle w:val="Compact"/>
              <w:jc w:val="left"/>
            </w:pPr>
            <w:r>
              <w:t xml:space="preserve">179.8</w:t>
            </w:r>
          </w:p>
        </w:tc>
        <w:tc>
          <w:tcPr/>
          <w:p>
            <w:pPr>
              <w:pStyle w:val="Compact"/>
              <w:jc w:val="left"/>
            </w:pPr>
            <w:r>
              <w:t xml:space="preserve">51.7%</w:t>
            </w:r>
          </w:p>
        </w:tc>
      </w:tr>
      <w:tr>
        <w:tc>
          <w:tcPr/>
          <w:p>
            <w:pPr>
              <w:pStyle w:val="Compact"/>
              <w:jc w:val="left"/>
            </w:pPr>
            <w:r>
              <w:t xml:space="preserve">中国自英国进口</w:t>
            </w:r>
          </w:p>
        </w:tc>
        <w:tc>
          <w:tcPr/>
          <w:p>
            <w:pPr>
              <w:pStyle w:val="Compact"/>
              <w:jc w:val="left"/>
            </w:pPr>
            <w:r>
              <w:t xml:space="preserve">SE 建筑服务</w:t>
            </w:r>
          </w:p>
        </w:tc>
        <w:tc>
          <w:tcPr/>
          <w:p>
            <w:pPr>
              <w:pStyle w:val="Compact"/>
              <w:jc w:val="left"/>
            </w:pPr>
            <w:r>
              <w:t xml:space="preserve">54.8</w:t>
            </w:r>
          </w:p>
        </w:tc>
        <w:tc>
          <w:tcPr/>
          <w:p>
            <w:pPr>
              <w:pStyle w:val="Compact"/>
              <w:jc w:val="left"/>
            </w:pPr>
            <w:r>
              <w:t xml:space="preserve">70.8</w:t>
            </w:r>
          </w:p>
        </w:tc>
        <w:tc>
          <w:tcPr/>
          <w:p>
            <w:pPr>
              <w:pStyle w:val="Compact"/>
              <w:jc w:val="left"/>
            </w:pPr>
            <w:r>
              <w:t xml:space="preserve">29.2%</w:t>
            </w:r>
          </w:p>
        </w:tc>
      </w:tr>
      <w:tr>
        <w:tc>
          <w:tcPr/>
          <w:p>
            <w:pPr>
              <w:pStyle w:val="Compact"/>
              <w:jc w:val="left"/>
            </w:pPr>
            <w:r>
              <w:t xml:space="preserve">英国自印度进口</w:t>
            </w:r>
          </w:p>
        </w:tc>
        <w:tc>
          <w:tcPr/>
          <w:p>
            <w:pPr>
              <w:pStyle w:val="Compact"/>
              <w:jc w:val="left"/>
            </w:pPr>
            <w:r>
              <w:t xml:space="preserve">SI 计算机信息服务</w:t>
            </w:r>
          </w:p>
        </w:tc>
        <w:tc>
          <w:tcPr/>
          <w:p>
            <w:pPr>
              <w:pStyle w:val="Compact"/>
              <w:jc w:val="left"/>
            </w:pPr>
            <w:r>
              <w:t xml:space="preserve">2,215.3</w:t>
            </w:r>
          </w:p>
        </w:tc>
        <w:tc>
          <w:tcPr/>
          <w:p>
            <w:pPr>
              <w:pStyle w:val="Compact"/>
              <w:jc w:val="left"/>
            </w:pPr>
            <w:r>
              <w:t xml:space="preserve">4,723.0</w:t>
            </w:r>
          </w:p>
        </w:tc>
        <w:tc>
          <w:tcPr/>
          <w:p>
            <w:pPr>
              <w:pStyle w:val="Compact"/>
              <w:jc w:val="left"/>
            </w:pPr>
            <w:r>
              <w:t xml:space="preserve">113.2%</w:t>
            </w:r>
          </w:p>
        </w:tc>
      </w:tr>
      <w:tr>
        <w:tc>
          <w:tcPr/>
          <w:p>
            <w:pPr>
              <w:pStyle w:val="Compact"/>
              <w:jc w:val="left"/>
            </w:pPr>
            <w:r>
              <w:t xml:space="preserve">印度自英国进口</w:t>
            </w:r>
          </w:p>
        </w:tc>
        <w:tc>
          <w:tcPr/>
          <w:p>
            <w:pPr>
              <w:pStyle w:val="Compact"/>
              <w:jc w:val="left"/>
            </w:pPr>
            <w:r>
              <w:t xml:space="preserve">SI 计算机信息服务</w:t>
            </w:r>
          </w:p>
        </w:tc>
        <w:tc>
          <w:tcPr/>
          <w:p>
            <w:pPr>
              <w:pStyle w:val="Compact"/>
              <w:jc w:val="left"/>
            </w:pPr>
            <w:r>
              <w:t xml:space="preserve">389.2</w:t>
            </w:r>
          </w:p>
        </w:tc>
        <w:tc>
          <w:tcPr/>
          <w:p>
            <w:pPr>
              <w:pStyle w:val="Compact"/>
              <w:jc w:val="left"/>
            </w:pPr>
            <w:r>
              <w:t xml:space="preserve">707.6</w:t>
            </w:r>
          </w:p>
        </w:tc>
        <w:tc>
          <w:tcPr/>
          <w:p>
            <w:pPr>
              <w:pStyle w:val="Compact"/>
              <w:jc w:val="left"/>
            </w:pPr>
            <w:r>
              <w:t xml:space="preserve">81.8%</w:t>
            </w:r>
          </w:p>
        </w:tc>
      </w:tr>
      <w:tr>
        <w:tc>
          <w:tcPr/>
          <w:p>
            <w:pPr>
              <w:pStyle w:val="Compact"/>
              <w:jc w:val="left"/>
            </w:pPr>
            <w:r>
              <w:t xml:space="preserve">英国自中国进口</w:t>
            </w:r>
          </w:p>
        </w:tc>
        <w:tc>
          <w:tcPr/>
          <w:p>
            <w:pPr>
              <w:pStyle w:val="Compact"/>
              <w:jc w:val="left"/>
            </w:pPr>
            <w:r>
              <w:t xml:space="preserve">SI 计算机信息服务</w:t>
            </w:r>
          </w:p>
        </w:tc>
        <w:tc>
          <w:tcPr/>
          <w:p>
            <w:pPr>
              <w:pStyle w:val="Compact"/>
              <w:jc w:val="left"/>
            </w:pPr>
            <w:r>
              <w:t xml:space="preserve">724.7</w:t>
            </w:r>
          </w:p>
        </w:tc>
        <w:tc>
          <w:tcPr/>
          <w:p>
            <w:pPr>
              <w:pStyle w:val="Compact"/>
              <w:jc w:val="left"/>
            </w:pPr>
            <w:r>
              <w:t xml:space="preserve">1,054.5</w:t>
            </w:r>
          </w:p>
        </w:tc>
        <w:tc>
          <w:tcPr/>
          <w:p>
            <w:pPr>
              <w:pStyle w:val="Compact"/>
              <w:jc w:val="left"/>
            </w:pPr>
            <w:r>
              <w:t xml:space="preserve">45.5%</w:t>
            </w:r>
          </w:p>
        </w:tc>
      </w:tr>
      <w:tr>
        <w:tc>
          <w:tcPr/>
          <w:p>
            <w:pPr>
              <w:pStyle w:val="Compact"/>
              <w:jc w:val="left"/>
            </w:pPr>
            <w:r>
              <w:t xml:space="preserve">中国自英国进口</w:t>
            </w:r>
          </w:p>
        </w:tc>
        <w:tc>
          <w:tcPr/>
          <w:p>
            <w:pPr>
              <w:pStyle w:val="Compact"/>
              <w:jc w:val="left"/>
            </w:pPr>
            <w:r>
              <w:t xml:space="preserve">SI 计算机信息服务</w:t>
            </w:r>
          </w:p>
        </w:tc>
        <w:tc>
          <w:tcPr/>
          <w:p>
            <w:pPr>
              <w:pStyle w:val="Compact"/>
              <w:jc w:val="left"/>
            </w:pPr>
            <w:r>
              <w:t xml:space="preserve">1,639.3</w:t>
            </w:r>
          </w:p>
        </w:tc>
        <w:tc>
          <w:tcPr/>
          <w:p>
            <w:pPr>
              <w:pStyle w:val="Compact"/>
              <w:jc w:val="left"/>
            </w:pPr>
            <w:r>
              <w:t xml:space="preserve">2,404.1</w:t>
            </w:r>
          </w:p>
        </w:tc>
        <w:tc>
          <w:tcPr/>
          <w:p>
            <w:pPr>
              <w:pStyle w:val="Compact"/>
              <w:jc w:val="left"/>
            </w:pPr>
            <w:r>
              <w:t xml:space="preserve">46.7%</w:t>
            </w:r>
          </w:p>
        </w:tc>
      </w:tr>
    </w:tbl>
    <w:p>
      <w:pPr>
        <w:pStyle w:val="BodyText"/>
      </w:pPr>
      <w:r>
        <w:rPr>
          <w:iCs/>
          <w:i/>
        </w:rPr>
        <w:t xml:space="preserve">注.</w:t>
      </w:r>
      <w:r>
        <w:t xml:space="preserve"> </w:t>
      </w:r>
      <w:r>
        <w:t xml:space="preserve">来源：OECD–WTO BaTIS，调整 B。数值为当期美元百万的平衡进口。</w:t>
      </w:r>
    </w:p>
    <w:p>
      <w:pPr>
        <w:pStyle w:val="BodyText"/>
      </w:pPr>
      <w:r>
        <w:rPr>
          <w:bCs/>
          <w:b/>
        </w:rPr>
        <w:t xml:space="preserve">表 2.</w:t>
      </w:r>
      <w:r>
        <w:t xml:space="preserve"> </w:t>
      </w:r>
      <w:r>
        <w:t xml:space="preserve">欧盟 27 国企业自然语言生成 AI 使用率</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行业</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NACE M 专业服务</w:t>
            </w:r>
          </w:p>
        </w:tc>
        <w:tc>
          <w:tcPr/>
          <w:p>
            <w:pPr>
              <w:pStyle w:val="Compact"/>
              <w:jc w:val="left"/>
            </w:pPr>
            <w:r>
              <w:t xml:space="preserve">4.55%</w:t>
            </w:r>
          </w:p>
        </w:tc>
        <w:tc>
          <w:tcPr/>
          <w:p>
            <w:pPr>
              <w:pStyle w:val="Compact"/>
              <w:jc w:val="left"/>
            </w:pPr>
            <w:r>
              <w:t xml:space="preserve">11.51%</w:t>
            </w:r>
          </w:p>
        </w:tc>
        <w:tc>
          <w:tcPr/>
          <w:p>
            <w:pPr>
              <w:pStyle w:val="Compact"/>
              <w:jc w:val="left"/>
            </w:pPr>
            <w:r>
              <w:t xml:space="preserve">17.74%</w:t>
            </w:r>
          </w:p>
        </w:tc>
      </w:tr>
      <w:tr>
        <w:tc>
          <w:tcPr/>
          <w:p>
            <w:pPr>
              <w:pStyle w:val="Compact"/>
              <w:jc w:val="left"/>
            </w:pPr>
            <w:r>
              <w:t xml:space="preserve">NACE F 建筑业</w:t>
            </w:r>
          </w:p>
        </w:tc>
        <w:tc>
          <w:tcPr/>
          <w:p>
            <w:pPr>
              <w:pStyle w:val="Compact"/>
              <w:jc w:val="left"/>
            </w:pPr>
            <w:r>
              <w:t xml:space="preserve">0.58%</w:t>
            </w:r>
          </w:p>
        </w:tc>
        <w:tc>
          <w:tcPr/>
          <w:p>
            <w:pPr>
              <w:pStyle w:val="Compact"/>
              <w:jc w:val="left"/>
            </w:pPr>
            <w:r>
              <w:t xml:space="preserve">2.42%</w:t>
            </w:r>
          </w:p>
        </w:tc>
        <w:tc>
          <w:tcPr/>
          <w:p>
            <w:pPr>
              <w:pStyle w:val="Compact"/>
              <w:jc w:val="left"/>
            </w:pPr>
            <w:r>
              <w:t xml:space="preserve">3.25%</w:t>
            </w:r>
          </w:p>
        </w:tc>
      </w:tr>
    </w:tbl>
    <w:p>
      <w:pPr>
        <w:pStyle w:val="BodyText"/>
      </w:pPr>
      <w:r>
        <w:rPr>
          <w:iCs/>
          <w:i/>
        </w:rPr>
        <w:t xml:space="preserve">注.</w:t>
      </w:r>
      <w:r>
        <w:t xml:space="preserve"> </w:t>
      </w:r>
      <w:r>
        <w:t xml:space="preserve">来源：Eurostat isoc_eb_ain2，至少 10 人企业。</w:t>
      </w:r>
    </w:p>
    <w:p>
      <w:pPr>
        <w:pStyle w:val="BodyText"/>
      </w:pPr>
      <w:r>
        <w:rPr>
          <w:bCs/>
          <w:b/>
        </w:rPr>
        <w:t xml:space="preserve">表 3.</w:t>
      </w:r>
      <w:r>
        <w:t xml:space="preserve"> </w:t>
      </w:r>
      <w:r>
        <w:t xml:space="preserve">NLG 冲击下的贸易估计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结果/设定</w:t>
            </w:r>
          </w:p>
        </w:tc>
        <w:tc>
          <w:tcPr/>
          <w:p>
            <w:pPr>
              <w:pStyle w:val="Compact"/>
              <w:jc w:val="left"/>
            </w:pPr>
            <w:r>
              <w:t xml:space="preserve">系数（标准误）</w:t>
            </w:r>
          </w:p>
        </w:tc>
        <w:tc>
          <w:tcPr/>
          <w:p>
            <w:pPr>
              <w:pStyle w:val="Compact"/>
              <w:jc w:val="left"/>
            </w:pPr>
            <w:r>
              <w:t xml:space="preserve">N</w:t>
            </w:r>
          </w:p>
        </w:tc>
      </w:tr>
      <w:tr>
        <w:tc>
          <w:tcPr/>
          <w:p>
            <w:pPr>
              <w:pStyle w:val="Compact"/>
              <w:jc w:val="left"/>
            </w:pPr>
            <w:r>
              <w:t xml:space="preserve">印度 SJ3，Post × ΔM TNLG</w:t>
            </w:r>
          </w:p>
        </w:tc>
        <w:tc>
          <w:tcPr/>
          <w:p>
            <w:pPr>
              <w:pStyle w:val="Compact"/>
              <w:jc w:val="left"/>
            </w:pPr>
            <w:r>
              <w:t xml:space="preserve">0.021*** (0.008)</w:t>
            </w:r>
          </w:p>
        </w:tc>
        <w:tc>
          <w:tcPr/>
          <w:p>
            <w:pPr>
              <w:pStyle w:val="Compact"/>
              <w:jc w:val="left"/>
            </w:pPr>
            <w:r>
              <w:t xml:space="preserve">119</w:t>
            </w:r>
          </w:p>
        </w:tc>
      </w:tr>
      <w:tr>
        <w:tc>
          <w:tcPr/>
          <w:p>
            <w:pPr>
              <w:pStyle w:val="Compact"/>
              <w:jc w:val="left"/>
            </w:pPr>
            <w:r>
              <w:t xml:space="preserve">合并模式一 SJ3，Post-2024 × ΔM TNLG</w:t>
            </w:r>
          </w:p>
        </w:tc>
        <w:tc>
          <w:tcPr/>
          <w:p>
            <w:pPr>
              <w:pStyle w:val="Compact"/>
              <w:jc w:val="left"/>
            </w:pPr>
            <w:r>
              <w:t xml:space="preserve">0.007** (0.003)</w:t>
            </w:r>
          </w:p>
        </w:tc>
        <w:tc>
          <w:tcPr/>
          <w:p>
            <w:pPr>
              <w:pStyle w:val="Compact"/>
              <w:jc w:val="left"/>
            </w:pPr>
            <w:r>
              <w:t xml:space="preserve">357</w:t>
            </w:r>
          </w:p>
        </w:tc>
      </w:tr>
      <w:tr>
        <w:tc>
          <w:tcPr/>
          <w:p>
            <w:pPr>
              <w:pStyle w:val="Compact"/>
              <w:jc w:val="left"/>
            </w:pPr>
            <w:r>
              <w:t xml:space="preserve">中国建筑服务（SE）</w:t>
            </w:r>
          </w:p>
        </w:tc>
        <w:tc>
          <w:tcPr/>
          <w:p>
            <w:pPr>
              <w:pStyle w:val="Compact"/>
              <w:jc w:val="left"/>
            </w:pPr>
            <w:r>
              <w:t xml:space="preserve">−0.008 (0.009)</w:t>
            </w:r>
          </w:p>
        </w:tc>
        <w:tc>
          <w:tcPr/>
          <w:p>
            <w:pPr>
              <w:pStyle w:val="Compact"/>
              <w:jc w:val="left"/>
            </w:pPr>
            <w:r>
              <w:t xml:space="preserve">119</w:t>
            </w:r>
          </w:p>
        </w:tc>
      </w:tr>
      <w:tr>
        <w:tc>
          <w:tcPr/>
          <w:p>
            <w:pPr>
              <w:pStyle w:val="Compact"/>
              <w:jc w:val="left"/>
            </w:pPr>
            <w:r>
              <w:t xml:space="preserve">中国 SJ3</w:t>
            </w:r>
          </w:p>
        </w:tc>
        <w:tc>
          <w:tcPr/>
          <w:p>
            <w:pPr>
              <w:pStyle w:val="Compact"/>
              <w:jc w:val="left"/>
            </w:pPr>
            <w:r>
              <w:t xml:space="preserve">0.005 (0.010)</w:t>
            </w:r>
          </w:p>
        </w:tc>
        <w:tc>
          <w:tcPr/>
          <w:p>
            <w:pPr>
              <w:pStyle w:val="Compact"/>
              <w:jc w:val="left"/>
            </w:pPr>
            <w:r>
              <w:t xml:space="preserve">119</w:t>
            </w:r>
          </w:p>
        </w:tc>
      </w:tr>
      <w:tr>
        <w:tc>
          <w:tcPr/>
          <w:p>
            <w:pPr>
              <w:pStyle w:val="Compact"/>
              <w:jc w:val="left"/>
            </w:pPr>
            <w:r>
              <w:t xml:space="preserve">印度计算机服务对照</w:t>
            </w:r>
          </w:p>
        </w:tc>
        <w:tc>
          <w:tcPr/>
          <w:p>
            <w:pPr>
              <w:pStyle w:val="Compact"/>
              <w:jc w:val="left"/>
            </w:pPr>
            <w:r>
              <w:t xml:space="preserve">−0.002 (0.006)</w:t>
            </w:r>
          </w:p>
        </w:tc>
        <w:tc>
          <w:tcPr/>
          <w:p>
            <w:pPr>
              <w:pStyle w:val="Compact"/>
              <w:jc w:val="left"/>
            </w:pPr>
            <w:r>
              <w:t xml:space="preserve">357</w:t>
            </w:r>
          </w:p>
        </w:tc>
      </w:tr>
      <w:tr>
        <w:tc>
          <w:tcPr/>
          <w:p>
            <w:pPr>
              <w:pStyle w:val="Compact"/>
              <w:jc w:val="left"/>
            </w:pPr>
            <w:r>
              <w:t xml:space="preserve">笼统任何 AI 对照</w:t>
            </w:r>
          </w:p>
        </w:tc>
        <w:tc>
          <w:tcPr/>
          <w:p>
            <w:pPr>
              <w:pStyle w:val="Compact"/>
              <w:jc w:val="left"/>
            </w:pPr>
            <w:r>
              <w:t xml:space="preserve">0.000 (0.006)</w:t>
            </w:r>
          </w:p>
        </w:tc>
        <w:tc>
          <w:tcPr/>
          <w:p>
            <w:pPr>
              <w:pStyle w:val="Compact"/>
              <w:jc w:val="left"/>
            </w:pPr>
            <w:r>
              <w:t xml:space="preserve">336</w:t>
            </w:r>
          </w:p>
        </w:tc>
      </w:tr>
    </w:tbl>
    <w:p>
      <w:pPr>
        <w:pStyle w:val="BodyText"/>
      </w:pPr>
      <w:r>
        <w:rPr>
          <w:iCs/>
          <w:i/>
        </w:rPr>
        <w:t xml:space="preserve">注.</w:t>
      </w:r>
      <w:r>
        <w:t xml:space="preserve"> </w:t>
      </w:r>
      <w:r>
        <w:t xml:space="preserve">进口国和年份固定效应；标准误按进口国聚类。合并模型还包含伙伴固定效应。</w:t>
      </w:r>
      <w:r>
        <w:rPr>
          <w:iCs/>
          <w:i/>
        </w:rPr>
        <w:t xml:space="preserve">p &lt; 0.10，p &lt; 0.05，</w:t>
      </w:r>
      <w:r>
        <w:t xml:space="preserve">**p &lt; 0.01。</w:t>
      </w:r>
    </w:p>
    <w:p>
      <w:pPr>
        <w:pStyle w:val="BodyText"/>
      </w:pPr>
      <w:r>
        <w:rPr>
          <w:bCs/>
          <w:b/>
        </w:rPr>
        <w:t xml:space="preserve">表 4.</w:t>
      </w:r>
      <w:r>
        <w:t xml:space="preserve"> </w:t>
      </w:r>
      <w:r>
        <w:t xml:space="preserve">NLG 冲击下的 M71 行业结果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结果</w:t>
            </w:r>
          </w:p>
        </w:tc>
        <w:tc>
          <w:tcPr/>
          <w:p>
            <w:pPr>
              <w:pStyle w:val="Compact"/>
              <w:jc w:val="left"/>
            </w:pPr>
            <w:r>
              <w:t xml:space="preserve">Post-2024 × ΔTNLG（标准误）</w:t>
            </w:r>
          </w:p>
        </w:tc>
        <w:tc>
          <w:tcPr/>
          <w:p>
            <w:pPr>
              <w:pStyle w:val="Compact"/>
              <w:jc w:val="left"/>
            </w:pPr>
            <w:r>
              <w:t xml:space="preserve">N</w:t>
            </w:r>
          </w:p>
        </w:tc>
      </w:tr>
      <w:tr>
        <w:tc>
          <w:tcPr/>
          <w:p>
            <w:pPr>
              <w:pStyle w:val="Compact"/>
              <w:jc w:val="left"/>
            </w:pPr>
            <w:r>
              <w:t xml:space="preserve">对数 M71 营业额</w:t>
            </w:r>
          </w:p>
        </w:tc>
        <w:tc>
          <w:tcPr/>
          <w:p>
            <w:pPr>
              <w:pStyle w:val="Compact"/>
              <w:jc w:val="left"/>
            </w:pPr>
            <w:r>
              <w:t xml:space="preserve">−0.007** (0.003)</w:t>
            </w:r>
          </w:p>
        </w:tc>
        <w:tc>
          <w:tcPr/>
          <w:p>
            <w:pPr>
              <w:pStyle w:val="Compact"/>
              <w:jc w:val="left"/>
            </w:pPr>
            <w:r>
              <w:t xml:space="preserve">68</w:t>
            </w:r>
          </w:p>
        </w:tc>
      </w:tr>
      <w:tr>
        <w:tc>
          <w:tcPr/>
          <w:p>
            <w:pPr>
              <w:pStyle w:val="Compact"/>
              <w:jc w:val="left"/>
            </w:pPr>
            <w:r>
              <w:t xml:space="preserve">对数 M71 就业</w:t>
            </w:r>
          </w:p>
        </w:tc>
        <w:tc>
          <w:tcPr/>
          <w:p>
            <w:pPr>
              <w:pStyle w:val="Compact"/>
              <w:jc w:val="left"/>
            </w:pPr>
            <w:r>
              <w:t xml:space="preserve">−0.000 (0.002)</w:t>
            </w:r>
          </w:p>
        </w:tc>
        <w:tc>
          <w:tcPr/>
          <w:p>
            <w:pPr>
              <w:pStyle w:val="Compact"/>
              <w:jc w:val="left"/>
            </w:pPr>
            <w:r>
              <w:t xml:space="preserve">68</w:t>
            </w:r>
          </w:p>
        </w:tc>
      </w:tr>
      <w:tr>
        <w:tc>
          <w:tcPr/>
          <w:p>
            <w:pPr>
              <w:pStyle w:val="Compact"/>
              <w:jc w:val="left"/>
            </w:pPr>
            <w:r>
              <w:t xml:space="preserve">对数 M71 工资</w:t>
            </w:r>
          </w:p>
        </w:tc>
        <w:tc>
          <w:tcPr/>
          <w:p>
            <w:pPr>
              <w:pStyle w:val="Compact"/>
              <w:jc w:val="left"/>
            </w:pPr>
            <w:r>
              <w:t xml:space="preserve">−0.009*** (0.003)</w:t>
            </w:r>
          </w:p>
        </w:tc>
        <w:tc>
          <w:tcPr/>
          <w:p>
            <w:pPr>
              <w:pStyle w:val="Compact"/>
              <w:jc w:val="left"/>
            </w:pPr>
            <w:r>
              <w:t xml:space="preserve">68</w:t>
            </w:r>
          </w:p>
        </w:tc>
      </w:tr>
      <w:tr>
        <w:tc>
          <w:tcPr/>
          <w:p>
            <w:pPr>
              <w:pStyle w:val="Compact"/>
              <w:jc w:val="left"/>
            </w:pPr>
            <w:r>
              <w:t xml:space="preserve">对数 M71 增加值</w:t>
            </w:r>
          </w:p>
        </w:tc>
        <w:tc>
          <w:tcPr/>
          <w:p>
            <w:pPr>
              <w:pStyle w:val="Compact"/>
              <w:jc w:val="left"/>
            </w:pPr>
            <w:r>
              <w:t xml:space="preserve">−0.006*** (0.002)</w:t>
            </w:r>
          </w:p>
        </w:tc>
        <w:tc>
          <w:tcPr/>
          <w:p>
            <w:pPr>
              <w:pStyle w:val="Compact"/>
              <w:jc w:val="left"/>
            </w:pPr>
            <w:r>
              <w:t xml:space="preserve">68</w:t>
            </w:r>
          </w:p>
        </w:tc>
      </w:tr>
      <w:tr>
        <w:tc>
          <w:tcPr/>
          <w:p>
            <w:pPr>
              <w:pStyle w:val="Compact"/>
              <w:jc w:val="left"/>
            </w:pPr>
            <w:r>
              <w:t xml:space="preserve">对数建筑业营业额（对照）</w:t>
            </w:r>
          </w:p>
        </w:tc>
        <w:tc>
          <w:tcPr/>
          <w:p>
            <w:pPr>
              <w:pStyle w:val="Compact"/>
              <w:jc w:val="left"/>
            </w:pPr>
            <w:r>
              <w:t xml:space="preserve">−0.010*** (0.003)</w:t>
            </w:r>
          </w:p>
        </w:tc>
        <w:tc>
          <w:tcPr/>
          <w:p>
            <w:pPr>
              <w:pStyle w:val="Compact"/>
              <w:jc w:val="left"/>
            </w:pPr>
            <w:r>
              <w:t xml:space="preserve">68</w:t>
            </w:r>
          </w:p>
        </w:tc>
      </w:tr>
    </w:tbl>
    <w:p>
      <w:pPr>
        <w:pStyle w:val="BodyText"/>
      </w:pPr>
      <w:r>
        <w:rPr>
          <w:iCs/>
          <w:i/>
        </w:rPr>
        <w:t xml:space="preserve">注.</w:t>
      </w:r>
      <w:r>
        <w:t xml:space="preserve"> </w:t>
      </w:r>
      <w:r>
        <w:t xml:space="preserve">国家和年份固定效应；标准误按国家聚类。</w:t>
      </w:r>
      <w:r>
        <w:rPr>
          <w:iCs/>
          <w:i/>
        </w:rPr>
        <w:t xml:space="preserve">p &lt; 0.10，p &lt; 0.05，</w:t>
      </w:r>
      <w:r>
        <w:t xml:space="preserve">**p &lt; 0.01。</w:t>
      </w:r>
    </w:p>
    <w:p>
      <w:pPr>
        <w:pStyle w:val="BodyText"/>
      </w:pPr>
      <w:r>
        <w:rPr>
          <w:bCs/>
          <w:b/>
        </w:rPr>
        <w:t xml:space="preserve">表 5.</w:t>
      </w:r>
      <w:r>
        <w:t xml:space="preserve"> </w:t>
      </w:r>
      <w:r>
        <w:t xml:space="preserve">按进口国 NLG 分组的中国建筑服务</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欧盟目的地组</w:t>
            </w:r>
          </w:p>
        </w:tc>
        <w:tc>
          <w:tcPr/>
          <w:p>
            <w:pPr>
              <w:pStyle w:val="Compact"/>
              <w:jc w:val="left"/>
            </w:pPr>
            <w:r>
              <w:t xml:space="preserve">2019（百万美元）</w:t>
            </w:r>
          </w:p>
        </w:tc>
        <w:tc>
          <w:tcPr/>
          <w:p>
            <w:pPr>
              <w:pStyle w:val="Compact"/>
              <w:jc w:val="left"/>
            </w:pPr>
            <w:r>
              <w:t xml:space="preserve">2024（百万美元）</w:t>
            </w:r>
          </w:p>
        </w:tc>
        <w:tc>
          <w:tcPr/>
          <w:p>
            <w:pPr>
              <w:pStyle w:val="Compact"/>
              <w:jc w:val="left"/>
            </w:pPr>
            <w:r>
              <w:t xml:space="preserve">变化</w:t>
            </w:r>
          </w:p>
        </w:tc>
      </w:tr>
      <w:tr>
        <w:tc>
          <w:tcPr/>
          <w:p>
            <w:pPr>
              <w:pStyle w:val="Compact"/>
              <w:jc w:val="left"/>
            </w:pPr>
            <w:r>
              <w:t xml:space="preserve">较低 ΔTNLG</w:t>
            </w:r>
          </w:p>
        </w:tc>
        <w:tc>
          <w:tcPr/>
          <w:p>
            <w:pPr>
              <w:pStyle w:val="Compact"/>
              <w:jc w:val="left"/>
            </w:pPr>
            <w:r>
              <w:t xml:space="preserve">571.9</w:t>
            </w:r>
          </w:p>
        </w:tc>
        <w:tc>
          <w:tcPr/>
          <w:p>
            <w:pPr>
              <w:pStyle w:val="Compact"/>
              <w:jc w:val="left"/>
            </w:pPr>
            <w:r>
              <w:t xml:space="preserve">946.2</w:t>
            </w:r>
          </w:p>
        </w:tc>
        <w:tc>
          <w:tcPr/>
          <w:p>
            <w:pPr>
              <w:pStyle w:val="Compact"/>
              <w:jc w:val="left"/>
            </w:pPr>
            <w:r>
              <w:t xml:space="preserve">65.4%</w:t>
            </w:r>
          </w:p>
        </w:tc>
      </w:tr>
      <w:tr>
        <w:tc>
          <w:tcPr/>
          <w:p>
            <w:pPr>
              <w:pStyle w:val="Compact"/>
              <w:jc w:val="left"/>
            </w:pPr>
            <w:r>
              <w:t xml:space="preserve">较高 ΔTNLG</w:t>
            </w:r>
          </w:p>
        </w:tc>
        <w:tc>
          <w:tcPr/>
          <w:p>
            <w:pPr>
              <w:pStyle w:val="Compact"/>
              <w:jc w:val="left"/>
            </w:pPr>
            <w:r>
              <w:t xml:space="preserve">679.9</w:t>
            </w:r>
          </w:p>
        </w:tc>
        <w:tc>
          <w:tcPr/>
          <w:p>
            <w:pPr>
              <w:pStyle w:val="Compact"/>
              <w:jc w:val="left"/>
            </w:pPr>
            <w:r>
              <w:t xml:space="preserve">1,002.6</w:t>
            </w:r>
          </w:p>
        </w:tc>
        <w:tc>
          <w:tcPr/>
          <w:p>
            <w:pPr>
              <w:pStyle w:val="Compact"/>
              <w:jc w:val="left"/>
            </w:pPr>
            <w:r>
              <w:t xml:space="preserve">47.5%</w:t>
            </w:r>
          </w:p>
        </w:tc>
      </w:tr>
    </w:tbl>
    <w:p>
      <w:pPr>
        <w:pStyle w:val="BodyText"/>
      </w:pPr>
      <w:r>
        <w:rPr>
          <w:iCs/>
          <w:i/>
        </w:rPr>
        <w:t xml:space="preserve">注.</w:t>
      </w:r>
      <w:r>
        <w:t xml:space="preserve"> </w:t>
      </w:r>
      <w:r>
        <w:t xml:space="preserve">来源：OECD–WTO BaTIS SE。按进口国 NACE M TNLG 变化中位数分组。</w:t>
      </w:r>
    </w:p>
    <w:p>
      <w:pPr>
        <w:pStyle w:val="BodyText"/>
      </w:pPr>
      <w:r>
        <w:rPr>
          <w:bCs/>
          <w:b/>
        </w:rPr>
        <w:t xml:space="preserve">表 6.</w:t>
      </w:r>
      <w:r>
        <w:t xml:space="preserve"> </w:t>
      </w:r>
      <w:r>
        <w:t xml:space="preserve">解释边界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数据支持</w:t>
            </w:r>
          </w:p>
        </w:tc>
        <w:tc>
          <w:tcPr/>
          <w:p>
            <w:pPr>
              <w:pStyle w:val="Compact"/>
              <w:jc w:val="left"/>
            </w:pPr>
            <w:r>
              <w:t xml:space="preserve">未识别</w:t>
            </w:r>
          </w:p>
        </w:tc>
      </w:tr>
      <w:tr>
        <w:tc>
          <w:tcPr/>
          <w:p>
            <w:pPr>
              <w:pStyle w:val="Compact"/>
              <w:jc w:val="left"/>
            </w:pPr>
            <w:r>
              <w:t xml:space="preserve">英国—印度与英国—中国双向服务趋势</w:t>
            </w:r>
          </w:p>
        </w:tc>
        <w:tc>
          <w:tcPr/>
          <w:p>
            <w:pPr>
              <w:pStyle w:val="Compact"/>
              <w:jc w:val="left"/>
            </w:pPr>
            <w:r>
              <w:t xml:space="preserve">AI 导致这些双边变化</w:t>
            </w:r>
          </w:p>
        </w:tc>
      </w:tr>
      <w:tr>
        <w:tc>
          <w:tcPr/>
          <w:p>
            <w:pPr>
              <w:pStyle w:val="Compact"/>
              <w:jc w:val="left"/>
            </w:pPr>
            <w:r>
              <w:t xml:space="preserve">欧盟进口国 NLG 与印度 SJ3 相关</w:t>
            </w:r>
          </w:p>
        </w:tc>
        <w:tc>
          <w:tcPr/>
          <w:p>
            <w:pPr>
              <w:pStyle w:val="Compact"/>
              <w:jc w:val="left"/>
            </w:pPr>
            <w:r>
              <w:t xml:space="preserve">土木专用 SJ312 发票</w:t>
            </w:r>
          </w:p>
        </w:tc>
      </w:tr>
      <w:tr>
        <w:tc>
          <w:tcPr/>
          <w:p>
            <w:pPr>
              <w:pStyle w:val="Compact"/>
              <w:jc w:val="left"/>
            </w:pPr>
            <w:r>
              <w:t xml:space="preserve">中国建筑服务对照为零</w:t>
            </w:r>
          </w:p>
        </w:tc>
        <w:tc>
          <w:tcPr/>
          <w:p>
            <w:pPr>
              <w:pStyle w:val="Compact"/>
              <w:jc w:val="left"/>
            </w:pPr>
            <w:r>
              <w:t xml:space="preserve">印度替代中国或英国土木工程师</w:t>
            </w:r>
          </w:p>
        </w:tc>
      </w:tr>
      <w:tr>
        <w:tc>
          <w:tcPr/>
          <w:p>
            <w:pPr>
              <w:pStyle w:val="Compact"/>
              <w:jc w:val="left"/>
            </w:pPr>
            <w:r>
              <w:t xml:space="preserve">M71 结果与进口国 NLG 相关</w:t>
            </w:r>
          </w:p>
        </w:tc>
        <w:tc>
          <w:tcPr/>
          <w:p>
            <w:pPr>
              <w:pStyle w:val="Compact"/>
              <w:jc w:val="left"/>
            </w:pPr>
            <w:r>
              <w:t xml:space="preserve">双边就业或 GDP 效应</w:t>
            </w:r>
          </w:p>
        </w:tc>
      </w:tr>
    </w:tbl>
    <w:p>
      <w:pPr>
        <w:pStyle w:val="BodyText"/>
      </w:pPr>
      <w:r>
        <w:rPr>
          <w:iCs/>
          <w:i/>
        </w:rPr>
        <w:t xml:space="preserve">注.</w:t>
      </w:r>
      <w:r>
        <w:t xml:space="preserve"> </w:t>
      </w:r>
      <w:r>
        <w:t xml:space="preserve">本表重述主张边界，不是额外统计检验。</w:t>
      </w:r>
    </w:p>
    <w:bookmarkEnd w:id="38"/>
    <w:bookmarkStart w:id="39" w:name="图注"/>
    <w:p>
      <w:pPr>
        <w:pStyle w:val="Heading2"/>
      </w:pPr>
      <w:r>
        <w:t xml:space="preserve">图注</w:t>
      </w:r>
    </w:p>
    <w:p>
      <w:pPr>
        <w:pStyle w:val="FirstParagraph"/>
      </w:pPr>
      <w:r>
        <w:rPr>
          <w:bCs/>
          <w:b/>
        </w:rPr>
        <w:t xml:space="preserve">图 1.</w:t>
      </w:r>
      <w:r>
        <w:t xml:space="preserve"> </w:t>
      </w:r>
      <w:r>
        <w:t xml:space="preserve">英国与印度、中国的 SJ3 服务走廊，2015—2024 年（2019 = 100）。</w:t>
      </w:r>
    </w:p>
    <w:p>
      <w:pPr>
        <w:pStyle w:val="BodyText"/>
      </w:pPr>
      <w:r>
        <w:rPr>
          <w:bCs/>
          <w:b/>
        </w:rPr>
        <w:t xml:space="preserve">图 2.</w:t>
      </w:r>
      <w:r>
        <w:t xml:space="preserve"> </w:t>
      </w:r>
      <w:r>
        <w:t xml:space="preserve">英国—印度与英国—中国各类服务贸易增长，2019—2024 年。</w:t>
      </w:r>
    </w:p>
    <w:p>
      <w:pPr>
        <w:pStyle w:val="BodyText"/>
      </w:pPr>
      <w:r>
        <w:rPr>
          <w:bCs/>
          <w:b/>
        </w:rPr>
        <w:t xml:space="preserve">图 3.</w:t>
      </w:r>
      <w:r>
        <w:t xml:space="preserve"> </w:t>
      </w:r>
      <w:r>
        <w:t xml:space="preserve">欧盟 27 国专业服务 NLG 采用及技术对照。</w:t>
      </w:r>
    </w:p>
    <w:p>
      <w:pPr>
        <w:pStyle w:val="BodyText"/>
      </w:pPr>
      <w:r>
        <w:rPr>
          <w:bCs/>
          <w:b/>
        </w:rPr>
        <w:t xml:space="preserve">图 4.</w:t>
      </w:r>
      <w:r>
        <w:t xml:space="preserve"> </w:t>
      </w:r>
      <w:r>
        <w:t xml:space="preserve">进口国 ΔTNLG 与印度 SJ3 进口变化。</w:t>
      </w:r>
    </w:p>
    <w:p>
      <w:pPr>
        <w:pStyle w:val="BodyText"/>
      </w:pPr>
      <w:r>
        <w:rPr>
          <w:bCs/>
          <w:b/>
        </w:rPr>
        <w:t xml:space="preserve">图 5.</w:t>
      </w:r>
      <w:r>
        <w:t xml:space="preserve"> </w:t>
      </w:r>
      <w:r>
        <w:t xml:space="preserve">M71 与建筑业营业额增长，2021—2024 年。</w:t>
      </w:r>
    </w:p>
    <w:bookmarkEnd w:id="39"/>
    <w:bookmarkStart w:id="55" w:name="图"/>
    <w:p>
      <w:pPr>
        <w:pStyle w:val="Heading2"/>
      </w:pPr>
      <w:r>
        <w:t xml:space="preserve">图</w:t>
      </w:r>
    </w:p>
    <w:p>
      <w:pPr>
        <w:pStyle w:val="FirstParagraph"/>
      </w:pPr>
      <w:r>
        <w:drawing>
          <wp:inline>
            <wp:extent cx="5334000" cy="3188804"/>
            <wp:effectExtent b="0" l="0" r="0" t="0"/>
            <wp:docPr descr="图 1" title="" id="41" name="Picture"/>
            <a:graphic>
              <a:graphicData uri="http://schemas.openxmlformats.org/drawingml/2006/picture">
                <pic:pic>
                  <pic:nvPicPr>
                    <pic:cNvPr descr="figures/figure22_uk_india_china_sj3.png" id="42" name="Picture"/>
                    <pic:cNvPicPr>
                      <a:picLocks noChangeArrowheads="1" noChangeAspect="1"/>
                    </pic:cNvPicPr>
                  </pic:nvPicPr>
                  <pic:blipFill>
                    <a:blip r:embed="rId40"/>
                    <a:stretch>
                      <a:fillRect/>
                    </a:stretch>
                  </pic:blipFill>
                  <pic:spPr bwMode="auto">
                    <a:xfrm>
                      <a:off x="0" y="0"/>
                      <a:ext cx="5334000" cy="3188804"/>
                    </a:xfrm>
                    <a:prstGeom prst="rect">
                      <a:avLst/>
                    </a:prstGeom>
                    <a:noFill/>
                    <a:ln w="9525">
                      <a:noFill/>
                      <a:headEnd/>
                      <a:tailEnd/>
                    </a:ln>
                  </pic:spPr>
                </pic:pic>
              </a:graphicData>
            </a:graphic>
          </wp:inline>
        </w:drawing>
      </w:r>
    </w:p>
    <w:p>
      <w:pPr>
        <w:pStyle w:val="BodyText"/>
      </w:pPr>
      <w:r>
        <w:drawing>
          <wp:inline>
            <wp:extent cx="5334000" cy="2133600"/>
            <wp:effectExtent b="0" l="0" r="0" t="0"/>
            <wp:docPr descr="图 2" title="" id="44" name="Picture"/>
            <a:graphic>
              <a:graphicData uri="http://schemas.openxmlformats.org/drawingml/2006/picture">
                <pic:pic>
                  <pic:nvPicPr>
                    <pic:cNvPr descr="figures/figure23_uk_india_china_service_growth.png" id="45" name="Picture"/>
                    <pic:cNvPicPr>
                      <a:picLocks noChangeArrowheads="1" noChangeAspect="1"/>
                    </pic:cNvPicPr>
                  </pic:nvPicPr>
                  <pic:blipFill>
                    <a:blip r:embed="rId43"/>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drawing>
          <wp:inline>
            <wp:extent cx="5334000" cy="3048000"/>
            <wp:effectExtent b="0" l="0" r="0" t="0"/>
            <wp:docPr descr="图 3" title="" id="47" name="Picture"/>
            <a:graphic>
              <a:graphicData uri="http://schemas.openxmlformats.org/drawingml/2006/picture">
                <pic:pic>
                  <pic:nvPicPr>
                    <pic:cNvPr descr="figures/figure12_tnlg_vs_tml.png" id="48" name="Picture"/>
                    <pic:cNvPicPr>
                      <a:picLocks noChangeArrowheads="1" noChangeAspect="1"/>
                    </pic:cNvPicPr>
                  </pic:nvPicPr>
                  <pic:blipFill>
                    <a:blip r:embed="rId4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drawing>
          <wp:inline>
            <wp:extent cx="5334000" cy="3765176"/>
            <wp:effectExtent b="0" l="0" r="0" t="0"/>
            <wp:docPr descr="图 4" title="" id="50" name="Picture"/>
            <a:graphic>
              <a:graphicData uri="http://schemas.openxmlformats.org/drawingml/2006/picture">
                <pic:pic>
                  <pic:nvPicPr>
                    <pic:cNvPr descr="figures/figure15_cross_section_tnlg.png" id="51" name="Picture"/>
                    <pic:cNvPicPr>
                      <a:picLocks noChangeArrowheads="1" noChangeAspect="1"/>
                    </pic:cNvPicPr>
                  </pic:nvPicPr>
                  <pic:blipFill>
                    <a:blip r:embed="rId49"/>
                    <a:stretch>
                      <a:fillRect/>
                    </a:stretch>
                  </pic:blipFill>
                  <pic:spPr bwMode="auto">
                    <a:xfrm>
                      <a:off x="0" y="0"/>
                      <a:ext cx="5334000" cy="3765176"/>
                    </a:xfrm>
                    <a:prstGeom prst="rect">
                      <a:avLst/>
                    </a:prstGeom>
                    <a:noFill/>
                    <a:ln w="9525">
                      <a:noFill/>
                      <a:headEnd/>
                      <a:tailEnd/>
                    </a:ln>
                  </pic:spPr>
                </pic:pic>
              </a:graphicData>
            </a:graphic>
          </wp:inline>
        </w:drawing>
      </w:r>
    </w:p>
    <w:p>
      <w:pPr>
        <w:pStyle w:val="BodyText"/>
      </w:pPr>
      <w:r>
        <w:drawing>
          <wp:inline>
            <wp:extent cx="5334000" cy="3429000"/>
            <wp:effectExtent b="0" l="0" r="0" t="0"/>
            <wp:docPr descr="图 5" title="" id="53" name="Picture"/>
            <a:graphic>
              <a:graphicData uri="http://schemas.openxmlformats.org/drawingml/2006/picture">
                <pic:pic>
                  <pic:nvPicPr>
                    <pic:cNvPr descr="figures/figure17_sbs_turnover_m71_vs_F.png" id="54" name="Picture"/>
                    <pic:cNvPicPr>
                      <a:picLocks noChangeArrowheads="1" noChangeAspect="1"/>
                    </pic:cNvPicPr>
                  </pic:nvPicPr>
                  <pic:blipFill>
                    <a:blip r:embed="rId52"/>
                    <a:stretch>
                      <a:fillRect/>
                    </a:stretch>
                  </pic:blipFill>
                  <pic:spPr bwMode="auto">
                    <a:xfrm>
                      <a:off x="0" y="0"/>
                      <a:ext cx="5334000" cy="3429000"/>
                    </a:xfrm>
                    <a:prstGeom prst="rect">
                      <a:avLst/>
                    </a:prstGeom>
                    <a:noFill/>
                    <a:ln w="9525">
                      <a:noFill/>
                      <a:headEnd/>
                      <a:tailEnd/>
                    </a:ln>
                  </pic:spPr>
                </pic:pic>
              </a:graphicData>
            </a:graphic>
          </wp:inline>
        </w:drawing>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CN_full_article</dc:title>
  <dc:creator/>
  <dc:language>en</dc:language>
  <cp:keywords/>
  <dcterms:created xsi:type="dcterms:W3CDTF">2026-09-18T18:04:21Z</dcterms:created>
  <dcterms:modified xsi:type="dcterms:W3CDTF">2026-09-18T18:04:21Z</dcterms:modified>
</cp:coreProperties>
</file>

<file path=docProps/custom.xml><?xml version="1.0" encoding="utf-8"?>
<Properties xmlns="http://schemas.openxmlformats.org/officeDocument/2006/custom-properties" xmlns:vt="http://schemas.openxmlformats.org/officeDocument/2006/docPropsVTypes"/>
</file>