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Study 4 — experimental results</w:t>
      </w:r>
    </w:p>
    <w:p>
      <w:r>
        <w:rPr>
          <w:rFonts w:ascii="Times New Roman" w:hAnsi="Times New Roman" w:eastAsia="Times New Roman"/>
          <w:b w:val="0"/>
          <w:i/>
          <w:sz w:val="22"/>
        </w:rPr>
        <w:t>Machine-readable copies: results/results.json, results_nlg.json, results_industry.json.</w:t>
      </w:r>
    </w:p>
    <w:p>
      <w:r>
        <w:rPr>
          <w:rFonts w:ascii="Times New Roman" w:hAnsi="Times New Roman" w:eastAsia="Times New Roman"/>
          <w:b/>
          <w:i w:val="0"/>
          <w:sz w:val="28"/>
        </w:rPr>
        <w:t>Experiment log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# Experiments run from official CSVs</w:t>
      </w:r>
    </w:p>
    <w:p>
      <w:r>
        <w:rPr>
          <w:rFonts w:ascii="Times New Roman" w:hAnsi="Times New Roman" w:eastAsia="Times New Roman"/>
          <w:b w:val="0"/>
          <w:i w:val="0"/>
          <w:sz w:val="22"/>
        </w:rPr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Date: 2026-09-17</w:t>
      </w:r>
    </w:p>
    <w:p>
      <w:r>
        <w:rPr>
          <w:rFonts w:ascii="Times New Roman" w:hAnsi="Times New Roman" w:eastAsia="Times New Roman"/>
          <w:b w:val="0"/>
          <w:i w:val="0"/>
          <w:sz w:val="22"/>
        </w:rPr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Scripts (in order):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`scripts/run_analysis.py` — TANY Mode-1 SJ3 panel, APS, BaTIS corridors, event study, ILO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`scripts/run_novelty_layer.py` — M71 GVA, SJ1/SJ2 placebos, Eloundou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`scripts/inherit_legacy_instruments.py` — Felten AIOE/AIIE vs APS (instruments only)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4. `scripts/run_nlg_shock.py` — preferred E_AI_TNLG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5. `scripts/run_industry_economy.py` — SBS M71 2021–24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6. `scripts/build_article_assets.py` — article tables markdown</w:t>
      </w:r>
    </w:p>
    <w:p>
      <w:r>
        <w:rPr>
          <w:rFonts w:ascii="Times New Roman" w:hAnsi="Times New Roman" w:eastAsia="Times New Roman"/>
          <w:b w:val="0"/>
          <w:i w:val="0"/>
          <w:sz w:val="22"/>
        </w:rPr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Headline estimates written to `results.json`, `results_nlg.json`, `results_industry.json`:</w:t>
      </w:r>
    </w:p>
    <w:p>
      <w:r>
        <w:rPr>
          <w:rFonts w:ascii="Times New Roman" w:hAnsi="Times New Roman" w:eastAsia="Times New Roman"/>
          <w:b w:val="0"/>
          <w:i w:val="0"/>
          <w:sz w:val="22"/>
        </w:rPr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- TANY Post × ΔM 2021–24: from results.json `did_post_deltaM`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- TNLG preferred: 0.009 (0.005) N=357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- TNLG Post-2024: 0.007** (0.003) N=357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- TNLG India: 0.021*** (0.008) N=119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- SBS M71 turnover: -0.007** (0.003) N=68</w:t>
      </w:r>
    </w:p>
    <w:p>
      <w:r>
        <w:rPr>
          <w:rFonts w:ascii="Times New Roman" w:hAnsi="Times New Roman" w:eastAsia="Times New Roman"/>
          <w:b w:val="0"/>
          <w:i w:val="0"/>
          <w:sz w:val="22"/>
        </w:rPr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EU-27 M TNLG: {'2021': 2.6, '2023': 4.55, '2024': 11.51, '2025': 17.74}</w:t>
      </w:r>
    </w:p>
    <w:p>
      <w:r>
        <w:rPr>
          <w:rFonts w:ascii="Times New Roman" w:hAnsi="Times New Roman" w:eastAsia="Times New Roman"/>
          <w:b w:val="0"/>
          <w:i w:val="0"/>
          <w:sz w:val="22"/>
        </w:rPr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Figures 1–21 and all CSV tables were overwritten by these runs. No interpolated cells.</w:t>
      </w:r>
    </w:p>
    <w:p>
      <w:r>
        <w:rPr>
          <w:rFonts w:ascii="Times New Roman" w:hAnsi="Times New Roman" w:eastAsia="Times New Roman"/>
          <w:b/>
          <w:i w:val="0"/>
          <w:sz w:val="28"/>
        </w:rPr>
        <w:t>Any-AI (TANY)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Specification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Coefficient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(1) Post × M-AI 2024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0.002 (0.003)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EU importers × IND/PHL/VNM; TWFE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(2) Post × ΔM 2021–24 [headline]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 (0.006)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Preferred: GenAI window is the 2023–24 jump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(3) Horse race: Post × ΔM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0.001 (0.008)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Same regression as (4)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(4) Horse race: Post × ΔF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-0.004 (0.029)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AI change, controlling for 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(5) Placebo SI Mode-1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-0.002 (0.007)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Computer services from same partners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(6) Placebo SE from China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-0.002 (0.007)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Mode-3 construction services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(7) Placebo SJ3 from China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0.009 (0.010)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SJ3 from China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(8) Placebo SE from Mode-1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-0.009 (0.014)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services from IND/PHL/VNM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(9) Post × (M−F) 2024 gap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 (0.004)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Professional minus construction AI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(10) Time-varying M-AI 2021/23/24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 (0.003)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Eurostat years overlapping BaTIS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(11) Placebo time-varying F-AI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-0.010 (0.010)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AI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(12) Drop 2020–21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0.002 (0.004)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Omit COVID years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(13) Fake post=2020 × ΔM, sample 2018–21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-0.000 (0.005)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Pre-trend placebo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(14) IHS(value), Post × ΔM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0.001 (0.006)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arcsinh instead of log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(15) WLS by 2019 SJ3 value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-0.007 (0.009)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Larger corridors weighted more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(H) India only, Post × ΔM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 (0.005)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Partner = IND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(H) Philippines only, Post × ΔM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-0.014 (0.014)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Partner = PHL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(H) Viet Nam only, Post × ΔM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0.010 (0.006)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Partner = VNM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(16) Cross-section Δlog IN SJ3 22–24 on ΔM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0.007 (0.004)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 FE; one obs per importer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(17) EU-8 only: Post × ΔM 2021–24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0.019*** (0.006)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DEU FRA NLD POL ITA ESP IRL ROU; fragility check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(18) EU-8 only: time-varying M-AI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0.023** (0.010)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Same 8 importers, 2021/23/24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8"/>
        </w:rPr>
        <w:t>NLG (TNLG) identification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EU-27 NACE M TNLG: 2021=2.6, 2023=4.55, 2024=11.51, 2025=17.74.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Preferred shock: Eurostat E_AI_TNLG NACE M, 2024 minus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Specification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Coefficient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(N1) Post×ΔM TNLG 2023–24 [preferred GenAI shock]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0.009 (0.005)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NLG jump is the ChatGPT window; EU × IND/PHL/VNM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(N2) Post2024×ΔM TNLG 2023–24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0.007** (0.003)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Treat only 2024 as post (BaTIS ends 2024)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(N3) Post×ΔM TNLG 2021–24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0.007 (0.005)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Comparable window to generic TANY ΔM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(N4) Post× TNLG M 2024 level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0.006 (0.004)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Level not change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(N5) Placebo Post×ΔF TNLG 2023–24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0.015 (0.020)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enterprises using NLG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(N6) Horse: Post×ΔM 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0.015*** (0.004)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Same regression as N7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(N7) Horse: Post×ΔM TML (ML placebo)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-0.026* (0.014)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Machine learning, not generative NLG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(N8) Placebo Post×ΔM TTM 2023–24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0.004 (0.008)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Text mining (also jumped; not NLG)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(N9) Placebo Post×ΔM TIR 2023–24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-0.010 (0.020)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Image recognition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(N10) Comparison Post×ΔM TANY 2021–24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 (0.006)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Generic any-AI; mixes ML and GenAI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(N11) Placebo SI Post×ΔM 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-0.002 (0.006)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Computer services from same partners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(N12) Placebo China SE Post×ΔM 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-0.008 (0.009)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Mode-3 construction from China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(N13) Placebo China SJ3 Post×ΔM 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 (0.010)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SJ3 from China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(N14) Placebo Post×ΔJ TNLG 2023–24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0.009** (0.004)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ICT sector NLG (NACE J), not M71-containing 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(N15) Placebo Post×ΔC TNLG 2023–24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0.017** (0.008)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Manufacturing NLG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(N16) Placebo Post×ΔN TNLG 2023–24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0.015** (0.007)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Administrative/support NLG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(NH) India only Post×ΔM TNLG 2023–24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0.021*** (0.008)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Partner = IND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(NH) Philippines only Post×ΔM TNLG 2023–24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-0.007 (0.015)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Partner = PHL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(NH) Viet Nam only Post×ΔM TNLG 2023–24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0.011 (0.008)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Partner = VNM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(N17) EU-8 Post×ΔM TNLG 2023–24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0.029*** (0.006)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Same fragile eight-country sample as TANY EU-8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(N18) Cross-section Δlog IN SJ3 22–24 on ΔTNLG 23–24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0.017*** (0.004)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 FE; one obs per importer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(N19) log M71 GVA Post×ΔM TNLG 2023–24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-0.007* (0.004)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Domestic architectural &amp; engineering GVA; GVA only to 2023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(N20) SJ2 consulting Post×ΔM 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0.006 (0.011)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Same importers/partners as SJ3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(N20) SJ1 R&amp;D Post×ΔM 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0.007 (0.011)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Same importers/partners as SJ3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8"/>
        </w:rPr>
        <w:t>SBS M71 industry-economy identification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Identified object: Importer/domestic NACE M71 SBS economy associated with TNLG shock; F placebo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Cannot identify: APS 2121 causing partner GDP or ISCO 2142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Specification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Coefficient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(I1) log M71 turnover Post2024×ΔTNLG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-0.007** (0.003)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sbs_sc_ovw M71 NETTUR_MEUR; country+year FE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(I2) log M71 employment Post2024×ΔTNLG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-0.000 (0.002)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sbs_ovw_act M71 EMP_NR; country+year FE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(I3) log M71 wages Post2024×ΔTNLG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-0.009*** (0.003)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sbs_ovw_act M71 WAGE_MEUR; country+year FE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(I4) log M71 value added Post2024×ΔTNLG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-0.006*** (0.002)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sbs_ovw_act M71 AV_MEUR; country+year FE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(I5) log M71 GOS Post2024×ΔTNLG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-0.003 (0.005)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sbs_ovw_act M71 GOS_MEUR; country+year FE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(I6) log F turnover Post2024×ΔTNLG placebo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-0.010*** (0.003)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sbs_sc_ovw F NETTUR_MEUR; country+year FE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(I7) log F employment Post2024×ΔTNLG placebo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-0.003 (0.002)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sbs_ovw_act F EMP_NR; country+year FE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(I8) log M turnover Post2024×ΔTNLG placebo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-0.005** (0.002)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sbs_sc_ovw M NETTUR_MEUR; country+year FE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(I9) log M71 turnover Post2023×ΔTNLG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-0.009** (0.004)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sbs_sc_ovw M71 NETTUR_MEUR; country+year FE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(I10) Δlog≈ M71 turnover 2023–24 on ΔTNLG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-0.002 (0.001)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Cross-section; LHS is percent/100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(I11) M71 employment % 2023–24 on ΔTNLG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-0.000 (0.001)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Cross-section; LHS percent/100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(I12) log M71 compensation Post×ΔTNLG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-0.009** (0.004)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nama_10_a64 current EUR; series ends 2023 so misses 2024 NLG year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(I12) log M71 output Post×ΔTNLG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-0.009*** (0.003)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nama_10_a64 current EUR; series ends 2023 so misses 2024 NLG year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(I12) log F compensation Post×ΔTNLG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-0.011*** (0.004)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nama_10_a64 current EUR; series ends 2023 so misses 2024 NLG year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(I12) log F output Post×ΔTNLG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-0.014*** (0.004)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nama_10_a64 current EUR; series ends 2023 so misses 2024 NLG year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