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International Journal of Construction Management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Original research article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How Does the Civil Engineering Industry Economy Change under an AI Shock? The United Kingdom’s Service Links with India and China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Yuxuan Chai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University of Strathclyde, Glasgow, United Kingdom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Corresponding author: Yuxuan Chai, University of Strathclyde, Glasgow, United Kingdom. Email: yuxuanchai98@outlook.com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Manuscript details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Running head: AI and the civil engineering economy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Word count (including abstract, tables, captions and references): 7304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Tables: 6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Figures: 5 (separate 300 dpi PNG files)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Supplementary material: numbered replication package Data_Study4_IJCM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Declarations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Author contribution: Yuxuan Chai is the sole author of this manuscript.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Disclosure statement: No potential conflict of interest was reported by the author.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Funding: This research received no specific grant from any funding agency in the public, commercial, or not-for-profit sectors.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Ethics: The study analyses published aggregate statistical series and does not involve human participants, personal data or animal subjects.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Data availability: The replication files that support the findings are in Data_Study4_IJCM. Third-party Eurostat, OECD–WTO BaTIS, ILOSTAT and World Bank material remains subject to the publishers’ terms.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4"/>
        </w:rPr>
        <w:t>This title page is not for peer review. The anonymous manuscript is supplied separately.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AI and the civil engineering economy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