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International Journal of Construction Management</w:t>
      </w:r>
    </w:p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Original research article</w:t>
      </w:r>
    </w:p>
    <w:p/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How Does the Civil Engineering Industry Economy Change under an AI Shock? The United Kingdom’s Service Links with India and China</w:t>
      </w:r>
    </w:p>
    <w:p/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Yuxuan Chai</w:t>
      </w:r>
    </w:p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University of Strathclyde, Glasgow, United Kingdom</w:t>
      </w:r>
    </w:p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Corresponding author: Yuxuan Chai, University of Strathclyde, Glasgow, United Kingdom. Email: yuxuanchai98@outlook.com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Manuscript details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Running head: AI and the civil engineering economy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Main-text word count (Introduction through Conclusion, excluding title page, abstract, references, and figure/table captions): 5218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Full manuscript word count (including abstract, tables, captions and references): 7130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Tables: 6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Figures: 5 (separate 300 dpi PNG files)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Supplementary material: 06_Supplementary_Figures.docx and 07_Supplementary_Tables.docx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Declarations</w:t>
      </w:r>
    </w:p>
    <w:p>
      <w:pPr>
        <w:spacing w:line="480" w:lineRule="auto" w:after="0"/>
        <w:ind w:firstLine="720"/>
      </w:pPr>
      <w:r>
        <w:rPr>
          <w:rFonts w:ascii="Times New Roman" w:hAnsi="Times New Roman" w:eastAsia="Times New Roman"/>
          <w:b w:val="0"/>
          <w:i w:val="0"/>
          <w:sz w:val="24"/>
        </w:rPr>
        <w:t>Author contribution: Yuxuan Chai is the sole author of this manuscript.</w:t>
      </w:r>
    </w:p>
    <w:p>
      <w:pPr>
        <w:spacing w:line="480" w:lineRule="auto" w:after="0"/>
        <w:ind w:firstLine="720"/>
      </w:pPr>
      <w:r>
        <w:rPr>
          <w:rFonts w:ascii="Times New Roman" w:hAnsi="Times New Roman" w:eastAsia="Times New Roman"/>
          <w:b w:val="0"/>
          <w:i w:val="0"/>
          <w:sz w:val="24"/>
        </w:rPr>
        <w:t>Disclosure statement: No potential conflict of interest was reported by the author.</w:t>
      </w:r>
    </w:p>
    <w:p>
      <w:pPr>
        <w:spacing w:line="480" w:lineRule="auto" w:after="0"/>
        <w:ind w:firstLine="720"/>
      </w:pPr>
      <w:r>
        <w:rPr>
          <w:rFonts w:ascii="Times New Roman" w:hAnsi="Times New Roman" w:eastAsia="Times New Roman"/>
          <w:b w:val="0"/>
          <w:i w:val="0"/>
          <w:sz w:val="24"/>
        </w:rPr>
        <w:t>Funding: This research received no specific grant from any funding agency in the public, commercial, or not-for-profit sectors.</w:t>
      </w:r>
    </w:p>
    <w:p>
      <w:pPr>
        <w:spacing w:line="480" w:lineRule="auto" w:after="0"/>
        <w:ind w:firstLine="720"/>
      </w:pPr>
      <w:r>
        <w:rPr>
          <w:rFonts w:ascii="Times New Roman" w:hAnsi="Times New Roman" w:eastAsia="Times New Roman"/>
          <w:b w:val="0"/>
          <w:i w:val="0"/>
          <w:sz w:val="24"/>
        </w:rPr>
        <w:t>Ethics: The study analyses published aggregate statistical series and does not involve human participants, personal data or animal subjects.</w:t>
      </w:r>
    </w:p>
    <w:p>
      <w:pPr>
        <w:spacing w:line="480" w:lineRule="auto" w:after="0"/>
        <w:ind w:firstLine="720"/>
      </w:pPr>
      <w:r>
        <w:rPr>
          <w:rFonts w:ascii="Times New Roman" w:hAnsi="Times New Roman" w:eastAsia="Times New Roman"/>
          <w:b w:val="0"/>
          <w:i w:val="0"/>
          <w:sz w:val="24"/>
        </w:rPr>
        <w:t>Data availability: Official Eurostat, OECD–WTO BaTIS, ILOSTAT and World Bank material remains subject to the publishers’ terms. Supplementary tables and figures are included; the full replication package is available on request.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4"/>
        </w:rPr>
        <w:t>This title page is not for peer review. The anonymous manuscript is supplied separately.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i/>
        <w:sz w:val="20"/>
      </w:rPr>
      <w:t>AI and the civil engineering economy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480" w:lineRule="auto" w:before="24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