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Figure captions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Figure 1. The United Kingdom’s SJ3 service corridors with India and China, 2015–2024 (2019 = 100).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/>
          <w:sz w:val="22"/>
        </w:rPr>
        <w:t>File: Figure1.png (300 dpi PNG, anonymised).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Figure 2. Growth in UK–India and UK–China services trade by category, 2019–2024.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/>
          <w:sz w:val="22"/>
        </w:rPr>
        <w:t>File: Figure2.png (300 dpi PNG, anonymised).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Figure 3. EU-27 professional-service NLG adoption and technology comparisons.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/>
          <w:sz w:val="22"/>
        </w:rPr>
        <w:t>File: Figure3.png (300 dpi PNG, anonymised).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Figure 4. Importer ΔTNLG and the change in Indian SJ3 imports.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/>
          <w:sz w:val="22"/>
        </w:rPr>
        <w:t>File: Figure4.png (300 dpi PNG, anonymised).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Figure 5. M71 and construction turnover growth, 2021–2024.</w:t>
      </w:r>
    </w:p>
    <w:p>
      <w:pPr>
        <w:spacing w:line="480" w:lineRule="auto" w:after="0"/>
        <w:ind w:firstLine="0"/>
      </w:pPr>
      <w:r>
        <w:rPr>
          <w:rFonts w:ascii="Times New Roman" w:hAnsi="Times New Roman" w:eastAsia="Times New Roman"/>
          <w:b w:val="0"/>
          <w:i/>
          <w:sz w:val="22"/>
        </w:rPr>
        <w:t>File: Figure5.png (300 dpi PNG, anonymised).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 w:line="48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24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