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International Journal of Construction Management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Original research article</w:t>
      </w:r>
    </w:p>
    <w:p/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How Does the Civil Engineering Industry Economy Change under an AI Shock? The United Kingdom’s Service Links with India and China</w:t>
      </w:r>
    </w:p>
    <w:p/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Yuxuan Chai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University of Strathclyde, Glasgow, United Kingdom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Corresponding author: Yuxuan Chai, University of Strathclyde, Glasgow, United Kingdom. Email: yuxuanchai98@outlook.com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Manuscript details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Running head: AI and the civil engineering economy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Main-text word count (Introduction through Conclusion, excluding title page, abstract, references, and figure/table captions): 5218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Full manuscript word count (including abstract, tables, captions and references): 7130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Tables: 6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Figures: 5 (separate 300 dpi PNG files)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Supplementary material: 06_Supplementary_Figures.docx and 07_Supplementary_Tables.docx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Declarations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Author contribution: Yuxuan Chai is the sole author of this manuscript.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Disclosure statement: No potential conflict of interest was reported by the author.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Funding: This research received no specific grant from any funding agency in the public, commercial, or not-for-profit sectors.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Ethics: The study analyses published aggregate statistical series and does not involve human participants, personal data or animal subjects.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Data availability: Official Eurostat, OECD–WTO BaTIS, ILOSTAT and World Bank material remains subject to the publishers’ terms. Supplementary tables and figures are included; the full replication package is available on request.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4"/>
        </w:rPr>
        <w:t>This title page is not for peer review. The anonymous manuscript is supplied separately.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sz w:val="20"/>
      </w:rPr>
      <w:t>AI and the civil engineering economy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