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83f0a50215dd99b2a0e46de05e4f04c1d0bd71"/>
    <w:p>
      <w:pPr>
        <w:pStyle w:val="Title"/>
        <w:spacing w:after="240"/>
        <w:ind w:firstLine="0"/>
        <w:jc w:val="center"/>
      </w:pPr>
      <w:r>
        <w:rPr>
          <w:rFonts w:ascii="Times New Roman" w:hAnsi="Times New Roman" w:eastAsia="Times New Roman"/>
          <w:b/>
          <w:sz w:val="32"/>
        </w:rPr>
        <w:t xml:space="preserve">How Does the Civil Engineering Industry Economy Change under an AI Shock? The United Kingdom’s Service Links with India and China</w:t>
      </w:r>
    </w:p>
    <w:bookmarkStart w:id="20" w:name="abstract"/>
    <w:p>
      <w:pPr>
        <w:pStyle w:val="Heading2"/>
        <w:spacing w:line="480" w:lineRule="auto"/>
        <w:ind w:firstLine="0"/>
      </w:pPr>
      <w:r>
        <w:rPr>
          <w:rFonts w:ascii="Times New Roman" w:hAnsi="Times New Roman" w:eastAsia="Times New Roman"/>
          <w:b/>
          <w:sz w:val="24"/>
        </w:rPr>
        <w:t xml:space="preserve">Abstract</w:t>
      </w:r>
    </w:p>
    <w:p>
      <w:pPr>
        <w:pStyle w:val="FirstParagraph"/>
        <w:spacing w:line="480" w:lineRule="auto" w:after="0"/>
        <w:ind w:firstLine="720"/>
      </w:pPr>
      <w:r>
        <w:rPr>
          <w:rFonts w:ascii="Times New Roman" w:hAnsi="Times New Roman" w:eastAsia="Times New Roman"/>
          <w:sz w:val="24"/>
        </w:rPr>
        <w:t xml:space="preserve">This paper studies the civil-engineering economy under a generative-AI shock through two United Kingdom-centred relationships: UK–India and UK–China. Bilateral evidence covers technical and other business services (SJ3), construction services (SE), and computer and information services (SI). A panel of 17 EU importers supplies harmonised variation in enterprise use of natural-language-generation (NLG) AI. UK trends are descriptive; the panel tests whether importer adoption is associated with Indian Mode-1 services or Chinese project-based construction services. The shock is the 2023–24 change in Eurostat NLG use among professional-service enterprises. Domestic outcomes are turnover, employment, wages and value added in NACE M71 architectural and engineering activities; trade outcomes come from OECD–WTO BaTIS. Between 2019 and 2024, UK imports of Indian SJ3 rose 127.7% and UK imports of Chinese SJ3 rose 99.3%. In the importer panel, the India-only SJ3 coefficient is 0.021 (s.e. 0.008), whereas Chinese construction services are unrelated to importer NLG adoption (−0.008, s.e. 0.009). Domestic M71 turnover and wages grew more slowly in higher-adoption economies, while employment was unchanged. The evidence is consistent with generative tools changing the coordination of digitally deliverable services, especially between the UK and India. It does not show that AI caused the bilateral changes or that civil-engineering jobs or GDP relocated.</w:t>
      </w:r>
    </w:p>
    <w:p>
      <w:pPr>
        <w:pStyle w:val="BodyText"/>
        <w:spacing w:line="480" w:lineRule="auto" w:after="0"/>
        <w:ind w:firstLine="0"/>
      </w:pPr>
      <w:r>
        <w:rPr>
          <w:bCs/>
          <w:b/>
        </w:rPr>
        <w:t xml:space="preserve">Keywords:</w:t>
      </w:r>
      <w:r>
        <w:t xml:space="preserve"> </w:t>
      </w:r>
      <w:r>
        <w:t xml:space="preserve">generative AI; civil engineering; construction management; services trade; NACE M71; Mode 1</w:t>
      </w:r>
    </w:p>
    <w:bookmarkEnd w:id="20"/>
    <w:bookmarkStart w:id="21" w:name="introduction"/>
    <w:p>
      <w:pPr>
        <w:pStyle w:val="Heading2"/>
        <w:spacing w:line="480" w:lineRule="auto"/>
        <w:ind w:firstLine="0"/>
      </w:pPr>
      <w:r>
        <w:rPr>
          <w:rFonts w:ascii="Times New Roman" w:hAnsi="Times New Roman" w:eastAsia="Times New Roman"/>
          <w:b/>
          <w:sz w:val="24"/>
        </w:rPr>
        <w:t xml:space="preserve">1. Introduction</w:t>
      </w:r>
    </w:p>
    <w:p>
      <w:pPr>
        <w:pStyle w:val="FirstParagraph"/>
        <w:spacing w:line="480" w:lineRule="auto" w:after="0"/>
        <w:ind w:firstLine="720"/>
      </w:pPr>
      <w:r>
        <w:rPr>
          <w:rFonts w:ascii="Times New Roman" w:hAnsi="Times New Roman" w:eastAsia="Times New Roman"/>
          <w:sz w:val="24"/>
        </w:rP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spacing w:line="480" w:lineRule="auto" w:after="0"/>
        <w:ind w:firstLine="720"/>
      </w:pPr>
      <w:r>
        <w:rPr>
          <w:rFonts w:ascii="Times New Roman" w:hAnsi="Times New Roman" w:eastAsia="Times New Roman"/>
          <w:sz w:val="24"/>
        </w:rP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spacing w:line="480" w:lineRule="auto" w:after="0"/>
        <w:ind w:firstLine="720"/>
      </w:pPr>
      <w:r>
        <w:rPr>
          <w:rFonts w:ascii="Times New Roman" w:hAnsi="Times New Roman" w:eastAsia="Times New Roman"/>
          <w:sz w:val="24"/>
        </w:rP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spacing w:line="480" w:lineRule="auto" w:after="0"/>
        <w:ind w:firstLine="720"/>
      </w:pPr>
      <w:r>
        <w:rPr>
          <w:rFonts w:ascii="Times New Roman" w:hAnsi="Times New Roman" w:eastAsia="Times New Roman"/>
          <w:sz w:val="24"/>
        </w:rP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spacing w:line="480" w:lineRule="auto" w:after="0"/>
        <w:ind w:firstLine="720"/>
      </w:pPr>
      <w:r>
        <w:rPr>
          <w:rFonts w:ascii="Times New Roman" w:hAnsi="Times New Roman" w:eastAsia="Times New Roman"/>
          <w:sz w:val="24"/>
        </w:rP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mode-specific comparison of domestic M71 outcomes and cross-border adjustment during the first observable generative-AI adoption wave.</w:t>
      </w:r>
    </w:p>
    <w:p>
      <w:pPr>
        <w:pStyle w:val="BodyText"/>
        <w:spacing w:line="480" w:lineRule="auto" w:after="0"/>
        <w:ind w:firstLine="720"/>
      </w:pPr>
      <w:r>
        <w:rPr>
          <w:rFonts w:ascii="Times New Roman" w:hAnsi="Times New Roman" w:eastAsia="Times New Roman"/>
          <w:sz w:val="24"/>
        </w:rPr>
        <w:t xml:space="preserve">A complete replication package accompanies this submission. Missing series are catalogued there; their absence is part of the claim boundary.</w:t>
      </w:r>
    </w:p>
    <w:p>
      <w:pPr>
        <w:spacing w:line="480" w:lineRule="auto" w:after="0"/>
        <w:ind w:firstLine="0"/>
      </w:pPr>
      <w:r>
        <w:pict>
          <v:rect style="width:0;height:1.5pt" o:hralign="center" o:hrstd="t" o:hr="t"/>
        </w:pict>
      </w:r>
    </w:p>
    <w:bookmarkEnd w:id="21"/>
    <w:bookmarkStart w:id="29" w:name="literature-review"/>
    <w:p>
      <w:pPr>
        <w:pStyle w:val="Heading2"/>
        <w:spacing w:line="480" w:lineRule="auto"/>
        <w:ind w:firstLine="0"/>
      </w:pPr>
      <w:r>
        <w:rPr>
          <w:rFonts w:ascii="Times New Roman" w:hAnsi="Times New Roman" w:eastAsia="Times New Roman"/>
          <w:b/>
          <w:sz w:val="24"/>
        </w:rPr>
        <w:t xml:space="preserve">2. Literature review</w:t>
      </w:r>
    </w:p>
    <w:bookmarkStart w:id="22" w:name="tasks-firms-and-industry-outcomes"/>
    <w:p>
      <w:pPr>
        <w:pStyle w:val="Heading3"/>
        <w:spacing w:line="480" w:lineRule="auto"/>
        <w:ind w:firstLine="0"/>
      </w:pPr>
      <w:r>
        <w:rPr>
          <w:rFonts w:ascii="Times New Roman" w:hAnsi="Times New Roman" w:eastAsia="Times New Roman"/>
          <w:b/>
          <w:sz w:val="24"/>
        </w:rPr>
        <w:t xml:space="preserve">2.1 Tasks, firms and industry outcomes</w:t>
      </w:r>
    </w:p>
    <w:p>
      <w:pPr>
        <w:pStyle w:val="FirstParagraph"/>
        <w:spacing w:line="480" w:lineRule="auto" w:after="0"/>
        <w:ind w:firstLine="720"/>
      </w:pPr>
      <w:r>
        <w:rPr>
          <w:rFonts w:ascii="Times New Roman" w:hAnsi="Times New Roman" w:eastAsia="Times New Roman"/>
          <w:sz w:val="24"/>
        </w:rP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spacing w:line="480" w:lineRule="auto" w:after="0"/>
        <w:ind w:firstLine="720"/>
      </w:pPr>
      <w:r>
        <w:rPr>
          <w:rFonts w:ascii="Times New Roman" w:hAnsi="Times New Roman" w:eastAsia="Times New Roman"/>
          <w:sz w:val="24"/>
        </w:rP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spacing w:line="480" w:lineRule="auto"/>
        <w:ind w:firstLine="0"/>
      </w:pPr>
      <w:r>
        <w:rPr>
          <w:rFonts w:ascii="Times New Roman" w:hAnsi="Times New Roman" w:eastAsia="Times New Roman"/>
          <w:b/>
          <w:sz w:val="24"/>
        </w:rPr>
        <w:t xml:space="preserve">2.2 Measuring the generative shock</w:t>
      </w:r>
    </w:p>
    <w:p>
      <w:pPr>
        <w:pStyle w:val="FirstParagraph"/>
        <w:spacing w:line="480" w:lineRule="auto" w:after="0"/>
        <w:ind w:firstLine="720"/>
      </w:pPr>
      <w:r>
        <w:rPr>
          <w:rFonts w:ascii="Times New Roman" w:hAnsi="Times New Roman" w:eastAsia="Times New Roman"/>
          <w:sz w:val="24"/>
        </w:rP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spacing w:line="480" w:lineRule="auto" w:after="0"/>
        <w:ind w:firstLine="720"/>
      </w:pPr>
      <w:r>
        <w:rPr>
          <w:rFonts w:ascii="Times New Roman" w:hAnsi="Times New Roman" w:eastAsia="Times New Roman"/>
          <w:sz w:val="24"/>
        </w:rP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spacing w:line="480" w:lineRule="auto"/>
        <w:ind w:firstLine="0"/>
      </w:pPr>
      <w:r>
        <w:rPr>
          <w:rFonts w:ascii="Times New Roman" w:hAnsi="Times New Roman" w:eastAsia="Times New Roman"/>
          <w:b/>
          <w:sz w:val="24"/>
        </w:rPr>
        <w:t xml:space="preserve">2.3 Generative AI as a labour-market shock</w:t>
      </w:r>
    </w:p>
    <w:p>
      <w:pPr>
        <w:pStyle w:val="FirstParagraph"/>
        <w:spacing w:line="480" w:lineRule="auto" w:after="0"/>
        <w:ind w:firstLine="720"/>
      </w:pPr>
      <w:r>
        <w:rPr>
          <w:rFonts w:ascii="Times New Roman" w:hAnsi="Times New Roman" w:eastAsia="Times New Roman"/>
          <w:sz w:val="24"/>
        </w:rP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jagged frontier</w:t>
      </w:r>
      <w:r>
        <w:rPr>
          <w:rFonts w:ascii="Times New Roman" w:hAnsi="Times New Roman" w:eastAsia="Times New Roman"/>
          <w:sz w:val="24"/>
        </w:rPr>
        <w:t xml:space="preserve">”</w:t>
      </w:r>
      <w:r>
        <w:rPr>
          <w:rFonts w:ascii="Times New Roman" w:hAnsi="Times New Roman" w:eastAsia="Times New Roman"/>
          <w:sz w:val="24"/>
        </w:rPr>
        <w:t xml:space="preserve">: AI helps some knowledge tasks and fails on others inside the same job. Hui, Reshef and Zhou (2024) study freelance coding after Copilot.</w:t>
      </w:r>
    </w:p>
    <w:p>
      <w:pPr>
        <w:pStyle w:val="BodyText"/>
        <w:spacing w:line="480" w:lineRule="auto" w:after="0"/>
        <w:ind w:firstLine="720"/>
      </w:pPr>
      <w:r>
        <w:rPr>
          <w:rFonts w:ascii="Times New Roman" w:hAnsi="Times New Roman" w:eastAsia="Times New Roman"/>
          <w:sz w:val="24"/>
        </w:rP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spacing w:line="480" w:lineRule="auto" w:after="0"/>
        <w:ind w:firstLine="720"/>
      </w:pPr>
      <w:r>
        <w:rPr>
          <w:rFonts w:ascii="Times New Roman" w:hAnsi="Times New Roman" w:eastAsia="Times New Roman"/>
          <w:sz w:val="24"/>
        </w:rPr>
        <w:t xml:space="preserve">Agrawal, Gans and Goldfarb (2018, 2022) frame AI as cheaper prediction. Korinek and Stiglitz (2021) warn that the distribution of gains depends on whether AI automates or augments. This paper does not estimate welfare. It asks which</w:t>
      </w:r>
      <w:r>
        <w:rPr>
          <w:rFonts w:ascii="Times New Roman" w:hAnsi="Times New Roman" w:eastAsia="Times New Roman"/>
          <w:sz w:val="24"/>
        </w:rPr>
        <w:t xml:space="preserve"> </w:t>
      </w:r>
      <w:r>
        <w:rPr>
          <w:iCs/>
          <w:rFonts w:ascii="Times New Roman" w:hAnsi="Times New Roman" w:eastAsia="Times New Roman"/>
          <w:i/>
          <w:sz w:val="24"/>
        </w:rPr>
        <w:t xml:space="preserve">measured</w:t>
      </w:r>
      <w:r>
        <w:rPr>
          <w:rFonts w:ascii="Times New Roman" w:hAnsi="Times New Roman" w:eastAsia="Times New Roman"/>
          <w:sz w:val="24"/>
        </w:rPr>
        <w:t xml:space="preserve"> </w:t>
      </w:r>
      <w:r>
        <w:rPr>
          <w:rFonts w:ascii="Times New Roman" w:hAnsi="Times New Roman" w:eastAsia="Times New Roman"/>
          <w:sz w:val="24"/>
        </w:rPr>
        <w:t xml:space="preserve">industry aggregates moved.</w:t>
      </w:r>
    </w:p>
    <w:bookmarkEnd w:id="24"/>
    <w:bookmarkStart w:id="25" w:name="X564b86f8e20bea7c1f319e88e9e6aa84733eeab"/>
    <w:p>
      <w:pPr>
        <w:pStyle w:val="Heading3"/>
        <w:spacing w:line="480" w:lineRule="auto"/>
        <w:ind w:firstLine="0"/>
      </w:pPr>
      <w:r>
        <w:rPr>
          <w:rFonts w:ascii="Times New Roman" w:hAnsi="Times New Roman" w:eastAsia="Times New Roman"/>
          <w:b/>
          <w:sz w:val="24"/>
        </w:rPr>
        <w:t xml:space="preserve">2.4 Tradable tasks and the UK’s partner relationships</w:t>
      </w:r>
    </w:p>
    <w:p>
      <w:pPr>
        <w:pStyle w:val="FirstParagraph"/>
        <w:spacing w:line="480" w:lineRule="auto" w:after="0"/>
        <w:ind w:firstLine="720"/>
      </w:pPr>
      <w:r>
        <w:rPr>
          <w:rFonts w:ascii="Times New Roman" w:hAnsi="Times New Roman" w:eastAsia="Times New Roman"/>
          <w:sz w:val="24"/>
        </w:rPr>
        <w:t xml:space="preserve">Blinder (2006) argued that whatever can be delivered down a wire is potentially offshorable. Grossman and Rossi-Hansberg (2008) model trade in</w:t>
      </w:r>
      <w:r>
        <w:rPr>
          <w:rFonts w:ascii="Times New Roman" w:hAnsi="Times New Roman" w:eastAsia="Times New Roman"/>
          <w:sz w:val="24"/>
        </w:rPr>
        <w:t xml:space="preserve"> </w:t>
      </w:r>
      <w:r>
        <w:rPr>
          <w:iCs/>
          <w:rFonts w:ascii="Times New Roman" w:hAnsi="Times New Roman" w:eastAsia="Times New Roman"/>
          <w:i/>
          <w:sz w:val="24"/>
        </w:rPr>
        <w:t xml:space="preserve">tasks</w:t>
      </w:r>
      <w:r>
        <w:rPr>
          <w:rFonts w:ascii="Times New Roman" w:hAnsi="Times New Roman" w:eastAsia="Times New Roman"/>
          <w:sz w:val="24"/>
        </w:rP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spacing w:line="480" w:lineRule="auto" w:after="0"/>
        <w:ind w:firstLine="720"/>
      </w:pPr>
      <w:r>
        <w:rPr>
          <w:rFonts w:ascii="Times New Roman" w:hAnsi="Times New Roman" w:eastAsia="Times New Roman"/>
          <w:sz w:val="24"/>
        </w:rPr>
        <w:t xml:space="preserve">For civil engineering, the mode split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margins to be compared.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spacing w:line="480" w:lineRule="auto" w:after="0"/>
        <w:ind w:firstLine="720"/>
      </w:pPr>
      <w:r>
        <w:rPr>
          <w:rFonts w:ascii="Times New Roman" w:hAnsi="Times New Roman" w:eastAsia="Times New Roman"/>
          <w:sz w:val="24"/>
        </w:rP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spacing w:line="480" w:lineRule="auto"/>
        <w:ind w:firstLine="0"/>
      </w:pPr>
      <w:r>
        <w:rPr>
          <w:rFonts w:ascii="Times New Roman" w:hAnsi="Times New Roman" w:eastAsia="Times New Roman"/>
          <w:b/>
          <w:sz w:val="24"/>
        </w:rPr>
        <w:t xml:space="preserve">2.5 Construction economics versus professional engineering</w:t>
      </w:r>
    </w:p>
    <w:p>
      <w:pPr>
        <w:pStyle w:val="FirstParagraph"/>
        <w:spacing w:line="480" w:lineRule="auto" w:after="0"/>
        <w:ind w:firstLine="720"/>
      </w:pPr>
      <w:r>
        <w:rPr>
          <w:rFonts w:ascii="Times New Roman" w:hAnsi="Times New Roman" w:eastAsia="Times New Roman"/>
          <w:sz w:val="24"/>
        </w:rP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rPr>
          <w:rFonts w:ascii="Times New Roman" w:hAnsi="Times New Roman" w:eastAsia="Times New Roman"/>
          <w:sz w:val="24"/>
        </w:rPr>
        <w:t xml:space="preserve"> </w:t>
      </w:r>
      <w:r>
        <w:rPr>
          <w:iCs/>
          <w:rFonts w:ascii="Times New Roman" w:hAnsi="Times New Roman" w:eastAsia="Times New Roman"/>
          <w:i/>
          <w:sz w:val="24"/>
        </w:rPr>
        <w:t xml:space="preserve">design and coordination</w:t>
      </w:r>
      <w:r>
        <w:rPr>
          <w:rFonts w:ascii="Times New Roman" w:hAnsi="Times New Roman" w:eastAsia="Times New Roman"/>
          <w:sz w:val="24"/>
        </w:rPr>
        <w:t xml:space="preserve">, which live in NACE M71 and related consultancies, not necessarily in NACE F. Whyte (2019) similarly locates digital delivery in professional organisations rather than only on the construction site.</w:t>
      </w:r>
    </w:p>
    <w:p>
      <w:pPr>
        <w:pStyle w:val="BodyText"/>
        <w:spacing w:line="480" w:lineRule="auto" w:after="0"/>
        <w:ind w:firstLine="720"/>
      </w:pPr>
      <w:r>
        <w:rPr>
          <w:rFonts w:ascii="Times New Roman" w:hAnsi="Times New Roman" w:eastAsia="Times New Roman"/>
          <w:sz w:val="24"/>
        </w:rPr>
        <w:t xml:space="preserve">Eurostat (2024) confirms the split. Professional-service enterprises adopted natural-language-generation tools much more rapidly than construction enterprises (Table 2, Figure 3). Felten et al. (2021) also report low industry AI-exposure scores for highway and heavy-civil contractors. On-site construction is therefore a comparison industry rather than the treated professional industry.</w:t>
      </w:r>
    </w:p>
    <w:bookmarkEnd w:id="26"/>
    <w:bookmarkStart w:id="27" w:name="the-empirical-gap"/>
    <w:p>
      <w:pPr>
        <w:pStyle w:val="Heading3"/>
        <w:spacing w:line="480" w:lineRule="auto"/>
        <w:ind w:firstLine="0"/>
      </w:pPr>
      <w:r>
        <w:rPr>
          <w:rFonts w:ascii="Times New Roman" w:hAnsi="Times New Roman" w:eastAsia="Times New Roman"/>
          <w:b/>
          <w:sz w:val="24"/>
        </w:rPr>
        <w:t xml:space="preserve">2.6 The empirical gap</w:t>
      </w:r>
    </w:p>
    <w:p>
      <w:pPr>
        <w:pStyle w:val="FirstParagraph"/>
        <w:spacing w:line="480" w:lineRule="auto" w:after="0"/>
        <w:ind w:firstLine="720"/>
      </w:pPr>
      <w:r>
        <w:rPr>
          <w:rFonts w:ascii="Times New Roman" w:hAnsi="Times New Roman" w:eastAsia="Times New Roman"/>
          <w:sz w:val="24"/>
        </w:rP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spacing w:line="480" w:lineRule="auto"/>
        <w:ind w:firstLine="0"/>
      </w:pPr>
      <w:r>
        <w:rPr>
          <w:rFonts w:ascii="Times New Roman" w:hAnsi="Times New Roman" w:eastAsia="Times New Roman"/>
          <w:b/>
          <w:sz w:val="24"/>
        </w:rPr>
        <w:t xml:space="preserve">2.7 Why the two UK relationships are informative</w:t>
      </w:r>
    </w:p>
    <w:p>
      <w:pPr>
        <w:pStyle w:val="FirstParagraph"/>
        <w:spacing w:line="480" w:lineRule="auto" w:after="0"/>
        <w:ind w:firstLine="720"/>
      </w:pPr>
      <w:r>
        <w:rPr>
          <w:rFonts w:ascii="Times New Roman" w:hAnsi="Times New Roman" w:eastAsia="Times New Roman"/>
          <w:sz w:val="24"/>
        </w:rP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spacing w:line="480" w:lineRule="auto" w:after="0"/>
        <w:ind w:firstLine="720"/>
      </w:pPr>
      <w:r>
        <w:rPr>
          <w:rFonts w:ascii="Times New Roman" w:hAnsi="Times New Roman" w:eastAsia="Times New Roman"/>
          <w:sz w:val="24"/>
        </w:rP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services trade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from being mistaken for a civil-engineering response.</w:t>
      </w:r>
    </w:p>
    <w:p>
      <w:pPr>
        <w:pStyle w:val="BodyText"/>
        <w:spacing w:line="480" w:lineRule="auto" w:after="0"/>
        <w:ind w:firstLine="720"/>
      </w:pPr>
      <w:r>
        <w:rPr>
          <w:rFonts w:ascii="Times New Roman" w:hAnsi="Times New Roman" w:eastAsia="Times New Roman"/>
          <w:sz w:val="24"/>
        </w:rP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spacing w:line="480" w:lineRule="auto" w:after="0"/>
        <w:ind w:firstLine="720"/>
      </w:pPr>
      <w:r>
        <w:rPr>
          <w:rFonts w:ascii="Times New Roman" w:hAnsi="Times New Roman" w:eastAsia="Times New Roman"/>
          <w:sz w:val="24"/>
        </w:rP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pPr>
        <w:spacing w:line="480" w:lineRule="auto" w:after="0"/>
        <w:ind w:firstLine="0"/>
      </w:pPr>
      <w:r>
        <w:pict>
          <v:rect style="width:0;height:1.5pt" o:hralign="center" o:hrstd="t" o:hr="t"/>
        </w:pict>
      </w:r>
    </w:p>
    <w:bookmarkEnd w:id="28"/>
    <w:bookmarkEnd w:id="29"/>
    <w:bookmarkStart w:id="35" w:name="data"/>
    <w:p>
      <w:pPr>
        <w:pStyle w:val="Heading2"/>
        <w:spacing w:line="480" w:lineRule="auto"/>
        <w:ind w:firstLine="0"/>
      </w:pPr>
      <w:r>
        <w:rPr>
          <w:rFonts w:ascii="Times New Roman" w:hAnsi="Times New Roman" w:eastAsia="Times New Roman"/>
          <w:b/>
          <w:sz w:val="24"/>
        </w:rPr>
        <w:t xml:space="preserve">3. Data</w:t>
      </w:r>
    </w:p>
    <w:p>
      <w:pPr>
        <w:pStyle w:val="FirstParagraph"/>
        <w:spacing w:line="480" w:lineRule="auto" w:after="0"/>
        <w:ind w:firstLine="720"/>
      </w:pPr>
      <w:r>
        <w:rPr>
          <w:rFonts w:ascii="Times New Roman" w:hAnsi="Times New Roman" w:eastAsia="Times New Roman"/>
          <w:sz w:val="24"/>
        </w:rPr>
        <w:t xml:space="preserve">The analysis uses retrieved official series only (Eurostat 2024; OECD &amp; WTO n.d.; ILO n.d.). No country, industry or trade cell is interpolated. Retrieval dates and unsuccessful pulls (including OWID ChatGPT files, an empty IMF AI Preparedness response, OECD ICT_BUS, and ILO M71) are documented in the supplementary replication package and are not filled.</w:t>
      </w:r>
    </w:p>
    <w:bookmarkStart w:id="30" w:name="country-pair-design"/>
    <w:p>
      <w:pPr>
        <w:pStyle w:val="Heading3"/>
        <w:spacing w:line="480" w:lineRule="auto"/>
        <w:ind w:firstLine="0"/>
      </w:pPr>
      <w:r>
        <w:rPr>
          <w:rFonts w:ascii="Times New Roman" w:hAnsi="Times New Roman" w:eastAsia="Times New Roman"/>
          <w:b/>
          <w:sz w:val="24"/>
        </w:rPr>
        <w:t xml:space="preserve">3.1 Country-pair design</w:t>
      </w:r>
    </w:p>
    <w:p>
      <w:pPr>
        <w:pStyle w:val="FirstParagraph"/>
        <w:spacing w:line="480" w:lineRule="auto" w:after="0"/>
        <w:ind w:firstLine="720"/>
      </w:pPr>
      <w:r>
        <w:rPr>
          <w:rFonts w:ascii="Times New Roman" w:hAnsi="Times New Roman" w:eastAsia="Times New Roman"/>
          <w:sz w:val="24"/>
        </w:rP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spacing w:line="480" w:lineRule="auto" w:after="0"/>
        <w:ind w:firstLine="720"/>
      </w:pPr>
      <w:r>
        <w:rPr>
          <w:rFonts w:ascii="Times New Roman" w:hAnsi="Times New Roman" w:eastAsia="Times New Roman"/>
          <w:sz w:val="24"/>
        </w:rP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spacing w:line="480" w:lineRule="auto"/>
        <w:ind w:firstLine="0"/>
      </w:pPr>
      <w:r>
        <w:rPr>
          <w:rFonts w:ascii="Times New Roman" w:hAnsi="Times New Roman" w:eastAsia="Times New Roman"/>
          <w:b/>
          <w:sz w:val="24"/>
        </w:rPr>
        <w:t xml:space="preserve">3.2 AI shock</w:t>
      </w:r>
    </w:p>
    <w:p>
      <w:pPr>
        <w:pStyle w:val="FirstParagraph"/>
        <w:spacing w:line="480" w:lineRule="auto" w:after="0"/>
        <w:ind w:firstLine="720"/>
      </w:pPr>
      <w:r>
        <w:rPr>
          <w:rFonts w:ascii="Times New Roman" w:hAnsi="Times New Roman" w:eastAsia="Times New Roman"/>
          <w:sz w:val="24"/>
        </w:rPr>
        <w:t xml:space="preserve">Eurostat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isoc_eb_ain2</w:t>
      </w:r>
      <w:r>
        <w:rPr>
          <w:rFonts w:ascii="Times New Roman" w:hAnsi="Times New Roman" w:eastAsia="Times New Roman"/>
          <w:sz w:val="24"/>
        </w:rPr>
        <w:t xml:space="preserve">, enterprises with 10+ persons, percent using AI (Eurostat 2024):</w:t>
      </w:r>
    </w:p>
    <w:p>
      <w:pPr>
        <w:numPr>
          <w:ilvl w:val="0"/>
          <w:numId w:val="1001"/>
        </w:numPr>
        <w:pStyle w:val="Compact"/>
        <w:spacing w:line="480" w:lineRule="auto" w:after="0"/>
        <w:ind w:firstLine="720"/>
      </w:pPr>
      <w:r>
        <w:rPr>
          <w:rFonts w:ascii="Times New Roman" w:hAnsi="Times New Roman" w:eastAsia="Times New Roman"/>
          <w:sz w:val="24"/>
        </w:rPr>
        <w:t xml:space="preserve">E_AI_TANY, NACE F and M: generic comparison (</w:t>
      </w:r>
      <w:r>
        <w:rPr>
          <w:rStyle w:val="VerbatimChar"/>
          <w:rFonts w:ascii="Times New Roman" w:hAnsi="Times New Roman" w:eastAsia="Times New Roman"/>
          <w:sz w:val="24"/>
        </w:rPr>
        <w:t xml:space="preserve">eurostat_ai_raw.csv</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E_AI_TNLG, TML, TTM, TIR, TPVSG, NACE F and M: generative and technology placebos (</w:t>
      </w:r>
      <w:r>
        <w:rPr>
          <w:rStyle w:val="VerbatimChar"/>
          <w:rFonts w:ascii="Times New Roman" w:hAnsi="Times New Roman" w:eastAsia="Times New Roman"/>
          <w:sz w:val="24"/>
        </w:rPr>
        <w:t xml:space="preserve">eurostat_ai_genai_types.csv</w:t>
      </w:r>
      <w:r>
        <w:rPr>
          <w:rFonts w:ascii="Times New Roman" w:hAnsi="Times New Roman" w:eastAsia="Times New Roman"/>
          <w:sz w:val="24"/>
        </w:rPr>
        <w:t xml:space="preserve">). TPVSG (pictures/video/sound) exists for</w:t>
      </w:r>
      <w:r>
        <w:rPr>
          <w:rFonts w:ascii="Times New Roman" w:hAnsi="Times New Roman" w:eastAsia="Times New Roman"/>
          <w:sz w:val="24"/>
        </w:rPr>
        <w:t xml:space="preserve"> </w:t>
      </w:r>
      <w:r>
        <w:rPr>
          <w:bCs/>
          <w:rFonts w:ascii="Times New Roman" w:hAnsi="Times New Roman" w:eastAsia="Times New Roman"/>
          <w:b/>
          <w:sz w:val="24"/>
        </w:rPr>
        <w:t xml:space="preserve">2025 only</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Same indicators, NACE C, J, N: sector placebos (</w:t>
      </w:r>
      <w:r>
        <w:rPr>
          <w:rStyle w:val="VerbatimChar"/>
          <w:rFonts w:ascii="Times New Roman" w:hAnsi="Times New Roman" w:eastAsia="Times New Roman"/>
          <w:sz w:val="24"/>
        </w:rPr>
        <w:t xml:space="preserve">eurostat_ai_nace_placebos.csv</w:t>
      </w:r>
      <w:r>
        <w:rPr>
          <w:rFonts w:ascii="Times New Roman" w:hAnsi="Times New Roman" w:eastAsia="Times New Roman"/>
          <w:sz w:val="24"/>
        </w:rPr>
        <w:t xml:space="preserve">). NACE K (finance) is empty.</w:t>
      </w:r>
      <w:r>
        <w:rPr>
          <w:rFonts w:ascii="Times New Roman" w:hAnsi="Times New Roman" w:eastAsia="Times New Roman"/>
          <w:sz w:val="24"/>
        </w:rPr>
        <w:t xml:space="preserve"> </w:t>
      </w:r>
      <w:r>
        <w:rPr>
          <w:bCs/>
          <w:rFonts w:ascii="Times New Roman" w:hAnsi="Times New Roman" w:eastAsia="Times New Roman"/>
          <w:b/>
          <w:sz w:val="24"/>
        </w:rPr>
        <w:t xml:space="preserve">NACE M71 is not in the survey</w:t>
      </w:r>
      <w:r>
        <w:rPr>
          <w:rFonts w:ascii="Times New Roman" w:hAnsi="Times New Roman" w:eastAsia="Times New Roman"/>
          <w:sz w:val="24"/>
        </w:rPr>
        <w:t xml:space="preserve"> </w:t>
      </w:r>
      <w:r>
        <w:rPr>
          <w:rFonts w:ascii="Times New Roman" w:hAnsi="Times New Roman" w:eastAsia="Times New Roman"/>
          <w:sz w:val="24"/>
        </w:rPr>
        <w:t xml:space="preserve">(HTTP 400). NACE M is the finest cell that contains M71 firms.</w:t>
      </w:r>
    </w:p>
    <w:p>
      <w:pPr>
        <w:pStyle w:val="FirstParagraph"/>
        <w:spacing w:line="480" w:lineRule="auto" w:after="0"/>
        <w:ind w:firstLine="720"/>
      </w:pPr>
      <w:r>
        <w:rPr>
          <w:bCs/>
          <w:rFonts w:ascii="Times New Roman" w:hAnsi="Times New Roman" w:eastAsia="Times New Roman"/>
          <w:b/>
          <w:sz w:val="24"/>
        </w:rPr>
        <w:t xml:space="preserve">Preferred shock:</w:t>
      </w:r>
      <w:r>
        <w:rPr>
          <w:rFonts w:ascii="Times New Roman" w:hAnsi="Times New Roman" w:eastAsia="Times New Roman"/>
          <w:sz w:val="24"/>
        </w:rPr>
        <w:t xml:space="preserve"> </w:t>
      </w:r>
      <w:r>
        <w:rPr>
          <w:rFonts w:ascii="Times New Roman" w:hAnsi="Times New Roman" w:eastAsia="Times New Roman"/>
          <w:sz w:val="24"/>
        </w:rPr>
        <w:t xml:space="preserve">ΔTNLG in NACE M, 2024 minus 2023. EU-27 M: 2.60 (2021), 4.55 (2023), 11.51 (2024), 17.74 (2025). Construction: 0.99, 0.58, 2.42, 3.25.</w:t>
      </w:r>
    </w:p>
    <w:bookmarkEnd w:id="31"/>
    <w:bookmarkStart w:id="32" w:name="civil-industry-economy"/>
    <w:p>
      <w:pPr>
        <w:pStyle w:val="Heading3"/>
        <w:spacing w:line="480" w:lineRule="auto"/>
        <w:ind w:firstLine="0"/>
      </w:pPr>
      <w:r>
        <w:rPr>
          <w:rFonts w:ascii="Times New Roman" w:hAnsi="Times New Roman" w:eastAsia="Times New Roman"/>
          <w:b/>
          <w:sz w:val="24"/>
        </w:rPr>
        <w:t xml:space="preserve">3.3 Civil industry economy</w:t>
      </w:r>
    </w:p>
    <w:p>
      <w:pPr>
        <w:numPr>
          <w:ilvl w:val="0"/>
          <w:numId w:val="1002"/>
        </w:numPr>
        <w:pStyle w:val="Compact"/>
        <w:spacing w:line="480" w:lineRule="auto" w:after="0"/>
        <w:ind w:firstLine="720"/>
      </w:pPr>
      <w:r>
        <w:rPr>
          <w:rFonts w:ascii="Times New Roman" w:hAnsi="Times New Roman" w:eastAsia="Times New Roman"/>
          <w:sz w:val="24"/>
        </w:rPr>
        <w:t xml:space="preserve">National accounts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nama_10_a64</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_e</w:t>
      </w:r>
      <w:r>
        <w:rPr>
          <w:rFonts w:ascii="Times New Roman" w:hAnsi="Times New Roman" w:eastAsia="Times New Roman"/>
          <w:sz w:val="24"/>
        </w:rPr>
        <w:t xml:space="preserve">: GVA, employment, compensation (D1), output (P1) for M71, F, M. UK M71 GVA/D1 stop in</w:t>
      </w:r>
      <w:r>
        <w:rPr>
          <w:rFonts w:ascii="Times New Roman" w:hAnsi="Times New Roman" w:eastAsia="Times New Roman"/>
          <w:sz w:val="24"/>
        </w:rPr>
        <w:t xml:space="preserve"> </w:t>
      </w:r>
      <w:r>
        <w:rPr>
          <w:bCs/>
          <w:rFonts w:ascii="Times New Roman" w:hAnsi="Times New Roman" w:eastAsia="Times New Roman"/>
          <w:b/>
          <w:sz w:val="24"/>
        </w:rPr>
        <w:t xml:space="preserve">2018</w:t>
      </w:r>
      <w:r>
        <w:rPr>
          <w:rFonts w:ascii="Times New Roman" w:hAnsi="Times New Roman" w:eastAsia="Times New Roman"/>
          <w:sz w:val="24"/>
        </w:rPr>
        <w:t xml:space="preserve">.</w:t>
      </w:r>
    </w:p>
    <w:p>
      <w:pPr>
        <w:numPr>
          <w:ilvl w:val="0"/>
          <w:numId w:val="1002"/>
        </w:numPr>
        <w:pStyle w:val="Compact"/>
        <w:spacing w:line="480" w:lineRule="auto" w:after="0"/>
        <w:ind w:firstLine="720"/>
      </w:pPr>
      <w:r>
        <w:rPr>
          <w:rFonts w:ascii="Times New Roman" w:hAnsi="Times New Roman" w:eastAsia="Times New Roman"/>
          <w:sz w:val="24"/>
        </w:rPr>
        <w:t xml:space="preserve">Structural business statistics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sbs_ovw_act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sbs_sc_ovw</w:t>
      </w:r>
      <w:r>
        <w:rPr>
          <w:rFonts w:ascii="Times New Roman" w:hAnsi="Times New Roman" w:eastAsia="Times New Roman"/>
          <w:sz w:val="24"/>
        </w:rPr>
        <w:t xml:space="preserve">: M71 vs F vs M, 2021–</w:t>
      </w:r>
      <w:r>
        <w:rPr>
          <w:bCs/>
          <w:rFonts w:ascii="Times New Roman" w:hAnsi="Times New Roman" w:eastAsia="Times New Roman"/>
          <w:b/>
          <w:sz w:val="24"/>
        </w:rPr>
        <w:t xml:space="preserve">2024</w:t>
      </w:r>
      <w:r>
        <w:rPr>
          <w:rFonts w:ascii="Times New Roman" w:hAnsi="Times New Roman" w:eastAsia="Times New Roman"/>
          <w:sz w:val="24"/>
        </w:rPr>
        <w:t xml:space="preserve">, net turnover, persons employed, wages, value added, GOS. This is the industry-economy file that overlaps the 2024 NLG year.</w:t>
      </w:r>
    </w:p>
    <w:p>
      <w:pPr>
        <w:numPr>
          <w:ilvl w:val="0"/>
          <w:numId w:val="1002"/>
        </w:numPr>
        <w:pStyle w:val="Compact"/>
        <w:spacing w:line="480" w:lineRule="auto" w:after="0"/>
        <w:ind w:firstLine="720"/>
      </w:pPr>
      <w:r>
        <w:rPr>
          <w:rFonts w:ascii="Times New Roman" w:hAnsi="Times New Roman" w:eastAsia="Times New Roman"/>
          <w:sz w:val="24"/>
        </w:rPr>
        <w:t xml:space="preserve">ILOSTAT employment by sex and economic activity for ISIC F versus M (ILO n.d.). China is empty in this pull. ISIC M71 is not published (404).</w:t>
      </w:r>
    </w:p>
    <w:p>
      <w:pPr>
        <w:numPr>
          <w:ilvl w:val="0"/>
          <w:numId w:val="1002"/>
        </w:numPr>
        <w:pStyle w:val="Compact"/>
        <w:spacing w:line="480" w:lineRule="auto" w:after="0"/>
        <w:ind w:firstLine="720"/>
      </w:pPr>
      <w:r>
        <w:rPr>
          <w:rFonts w:ascii="Times New Roman" w:hAnsi="Times New Roman" w:eastAsia="Times New Roman"/>
          <w:sz w:val="24"/>
        </w:rPr>
        <w:t xml:space="preserve">The US BLS series returned NAICS 54 rather than engineering-specific 54133 and is retained only in the supplementary data.</w:t>
      </w:r>
    </w:p>
    <w:p>
      <w:pPr>
        <w:pStyle w:val="FirstParagraph"/>
        <w:spacing w:line="480" w:lineRule="auto" w:after="0"/>
        <w:ind w:firstLine="720"/>
      </w:pPr>
      <w:r>
        <w:rPr>
          <w:rFonts w:ascii="Times New Roman" w:hAnsi="Times New Roman" w:eastAsia="Times New Roman"/>
          <w:sz w:val="24"/>
        </w:rPr>
        <w:t xml:space="preserve">Values are</w:t>
      </w:r>
      <w:r>
        <w:rPr>
          <w:rFonts w:ascii="Times New Roman" w:hAnsi="Times New Roman" w:eastAsia="Times New Roman"/>
          <w:sz w:val="24"/>
        </w:rPr>
        <w:t xml:space="preserve"> </w:t>
      </w:r>
      <w:r>
        <w:rPr>
          <w:bCs/>
          <w:rFonts w:ascii="Times New Roman" w:hAnsi="Times New Roman" w:eastAsia="Times New Roman"/>
          <w:b/>
          <w:sz w:val="24"/>
        </w:rPr>
        <w:t xml:space="preserve">current prices</w:t>
      </w:r>
      <w:r>
        <w:rPr>
          <w:rFonts w:ascii="Times New Roman" w:hAnsi="Times New Roman" w:eastAsia="Times New Roman"/>
          <w:sz w:val="24"/>
        </w:rPr>
        <w:t xml:space="preserve"> </w:t>
      </w:r>
      <w:r>
        <w:rPr>
          <w:rFonts w:ascii="Times New Roman" w:hAnsi="Times New Roman" w:eastAsia="Times New Roman"/>
          <w:sz w:val="24"/>
        </w:rPr>
        <w:t xml:space="preserve">where applicable. Nominal growth is not a GenAI effect; the DiD asks whether high-NLG countries grew</w:t>
      </w:r>
      <w:r>
        <w:rPr>
          <w:rFonts w:ascii="Times New Roman" w:hAnsi="Times New Roman" w:eastAsia="Times New Roman"/>
          <w:sz w:val="24"/>
        </w:rPr>
        <w:t xml:space="preserve"> </w:t>
      </w:r>
      <w:r>
        <w:rPr>
          <w:iCs/>
          <w:rFonts w:ascii="Times New Roman" w:hAnsi="Times New Roman" w:eastAsia="Times New Roman"/>
          <w:i/>
          <w:sz w:val="24"/>
        </w:rPr>
        <w:t xml:space="preserve">faster</w:t>
      </w:r>
      <w:r>
        <w:rPr>
          <w:rFonts w:ascii="Times New Roman" w:hAnsi="Times New Roman" w:eastAsia="Times New Roman"/>
          <w:sz w:val="24"/>
        </w:rPr>
        <w:t xml:space="preserve">.</w:t>
      </w:r>
    </w:p>
    <w:bookmarkEnd w:id="32"/>
    <w:bookmarkStart w:id="33" w:name="ukindia-and-ukchina-trade-outcomes"/>
    <w:p>
      <w:pPr>
        <w:pStyle w:val="Heading3"/>
        <w:spacing w:line="480" w:lineRule="auto"/>
        <w:ind w:firstLine="0"/>
      </w:pPr>
      <w:r>
        <w:rPr>
          <w:rFonts w:ascii="Times New Roman" w:hAnsi="Times New Roman" w:eastAsia="Times New Roman"/>
          <w:b/>
          <w:sz w:val="24"/>
        </w:rPr>
        <w:t xml:space="preserve">3.4 UK–India and UK–China trade outcomes</w:t>
      </w:r>
    </w:p>
    <w:p>
      <w:pPr>
        <w:pStyle w:val="FirstParagraph"/>
        <w:spacing w:line="480" w:lineRule="auto" w:after="0"/>
        <w:ind w:firstLine="720"/>
      </w:pPr>
      <w:r>
        <w:rPr>
          <w:rFonts w:ascii="Times New Roman" w:hAnsi="Times New Roman" w:eastAsia="Times New Roman"/>
          <w:sz w:val="24"/>
        </w:rPr>
        <w:t xml:space="preserve">OECD &amp; WTO (n.d.) BaTIS, adjustment B, supplies annual bilateral values in USD million from 2015 to 2024 (Fortanier et al. 2017). The corridor extract 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spacing w:line="480" w:lineRule="auto" w:after="0"/>
        <w:ind w:firstLine="720"/>
      </w:pPr>
      <w:r>
        <w:rPr>
          <w:rFonts w:ascii="Times New Roman" w:hAnsi="Times New Roman" w:eastAsia="Times New Roman"/>
          <w:sz w:val="24"/>
        </w:rPr>
        <w:t xml:space="preserve">For the panel analysis, the headline outcome remains SJ3 imported from India. Chinese SE construction services are the project-delivery comparison. A pooled Mode-1 sample containing two additional exporters is retained as a robustness exercise but is not part of the bilateral narrative.</w:t>
      </w:r>
    </w:p>
    <w:bookmarkEnd w:id="33"/>
    <w:bookmarkStart w:id="34" w:name="comparability-and-data-quality"/>
    <w:p>
      <w:pPr>
        <w:pStyle w:val="Heading3"/>
        <w:spacing w:line="480" w:lineRule="auto"/>
        <w:ind w:firstLine="0"/>
      </w:pPr>
      <w:r>
        <w:rPr>
          <w:rFonts w:ascii="Times New Roman" w:hAnsi="Times New Roman" w:eastAsia="Times New Roman"/>
          <w:b/>
          <w:sz w:val="24"/>
        </w:rPr>
        <w:t xml:space="preserve">3.5 Comparability and data quality</w:t>
      </w:r>
    </w:p>
    <w:p>
      <w:pPr>
        <w:pStyle w:val="FirstParagraph"/>
        <w:spacing w:line="480" w:lineRule="auto" w:after="0"/>
        <w:ind w:firstLine="720"/>
      </w:pPr>
      <w:r>
        <w:rPr>
          <w:rFonts w:ascii="Times New Roman" w:hAnsi="Times New Roman" w:eastAsia="Times New Roman"/>
          <w:sz w:val="24"/>
        </w:rP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spacing w:line="480" w:lineRule="auto" w:after="0"/>
        <w:ind w:firstLine="720"/>
      </w:pPr>
      <w:r>
        <w:rPr>
          <w:rFonts w:ascii="Times New Roman" w:hAnsi="Times New Roman" w:eastAsia="Times New Roman"/>
          <w:sz w:val="24"/>
        </w:rP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spacing w:line="480" w:lineRule="auto" w:after="0"/>
        <w:ind w:firstLine="720"/>
      </w:pPr>
      <w:r>
        <w:rPr>
          <w:rFonts w:ascii="Times New Roman" w:hAnsi="Times New Roman" w:eastAsia="Times New Roman"/>
          <w:sz w:val="24"/>
        </w:rP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pPr>
        <w:spacing w:line="480" w:lineRule="auto" w:after="0"/>
        <w:ind w:firstLine="0"/>
      </w:pPr>
      <w:r>
        <w:pict>
          <v:rect style="width:0;height:1.5pt" o:hralign="center" o:hrstd="t" o:hr="t"/>
        </w:pict>
      </w:r>
    </w:p>
    <w:bookmarkEnd w:id="34"/>
    <w:bookmarkEnd w:id="35"/>
    <w:bookmarkStart w:id="40" w:name="empirical-design"/>
    <w:p>
      <w:pPr>
        <w:pStyle w:val="Heading2"/>
        <w:spacing w:line="480" w:lineRule="auto"/>
        <w:ind w:firstLine="0"/>
      </w:pPr>
      <w:r>
        <w:rPr>
          <w:rFonts w:ascii="Times New Roman" w:hAnsi="Times New Roman" w:eastAsia="Times New Roman"/>
          <w:b/>
          <w:sz w:val="24"/>
        </w:rPr>
        <w:t xml:space="preserve">4. Empirical design</w:t>
      </w:r>
    </w:p>
    <w:bookmarkStart w:id="36" w:name="trade-equation"/>
    <w:p>
      <w:pPr>
        <w:pStyle w:val="Heading3"/>
        <w:spacing w:line="480" w:lineRule="auto"/>
        <w:ind w:firstLine="0"/>
      </w:pPr>
      <w:r>
        <w:rPr>
          <w:rFonts w:ascii="Times New Roman" w:hAnsi="Times New Roman" w:eastAsia="Times New Roman"/>
          <w:b/>
          <w:sz w:val="24"/>
        </w:rPr>
        <w:t xml:space="preserve">4.1 Trade equation</w:t>
      </w:r>
    </w:p>
    <w:p>
      <w:pPr>
        <w:pStyle w:val="FirstParagraph"/>
        <w:spacing w:line="480" w:lineRule="auto" w:after="0"/>
        <w:ind w:firstLine="720"/>
      </w:pPr>
      <w:r>
        <w:rPr>
          <w:rFonts w:ascii="Times New Roman" w:hAnsi="Times New Roman" w:eastAsia="Times New Roman"/>
          <w:sz w:val="24"/>
        </w:rPr>
        <w:t xml:space="preserve">For EU importers (i), the preferred India specification for (t = 2018,</w:t>
      </w:r>
      <w:r>
        <w:rPr>
          <w:rFonts w:ascii="Times New Roman" w:hAnsi="Times New Roman" w:eastAsia="Times New Roman"/>
          <w:sz w:val="24"/>
        </w:rPr>
        <w:t xml:space="preserve">,2024) is:</w:t>
      </w:r>
    </w:p>
    <w:p>
      <w:pPr>
        <w:pStyle w:val="BodyText"/>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M^{SJ3,IND}_{it}=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t_0]</w:t>
      </w:r>
      <w:r>
        <w:rPr>
          <w:iCs/>
          <w:rFonts w:ascii="Times New Roman" w:hAnsi="Times New Roman" w:eastAsia="Times New Roman"/>
          <w:i/>
          <w:sz w:val="24"/>
        </w:rPr>
        <w:t xml:space="preserve">TNLG_i</w:t>
      </w:r>
      <w:r>
        <w:rPr>
          <w:iCs/>
          <w:rFonts w:ascii="Times New Roman" w:hAnsi="Times New Roman" w:eastAsia="Times New Roman"/>
          <w:i/>
          <w:sz w:val="24"/>
        </w:rPr>
        <w:t xml:space="preserve">)+</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Standard errors are clustered by importer after an iterative within transformation. (t_0=2023) is reported; (t_0=2024) matches the year BaTIS still covers after the NLG jump. The India-only panel contains 119 importer-year observations. The pooled Mode-1 robustness model adds partner fixed effects and has 357 observations.</w:t>
      </w:r>
    </w:p>
    <w:p>
      <w:pPr>
        <w:pStyle w:val="BodyText"/>
        <w:spacing w:line="480" w:lineRule="auto" w:after="0"/>
        <w:ind w:firstLine="720"/>
      </w:pPr>
      <w:r>
        <w:rPr>
          <w:rFonts w:ascii="Times New Roman" w:hAnsi="Times New Roman" w:eastAsia="Times New Roman"/>
          <w:sz w:val="24"/>
        </w:rPr>
        <w:t xml:space="preserve">Comparisons replace Indian SJ3 with Indian SI, Chinese SE or Chinese SJ3, or replace ΔTNLG-M with generic any-AI and other technology measures. Event studies interact year dummies with ΔTNLG, omitting 2022.</w:t>
      </w:r>
    </w:p>
    <w:p>
      <w:pPr>
        <w:pStyle w:val="BodyText"/>
        <w:spacing w:line="480" w:lineRule="auto" w:after="0"/>
        <w:ind w:firstLine="720"/>
      </w:pPr>
      <w:r>
        <w:rPr>
          <w:rFonts w:ascii="Times New Roman" w:hAnsi="Times New Roman" w:eastAsia="Times New Roman"/>
          <w:sz w:val="24"/>
        </w:rP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spacing w:line="480" w:lineRule="auto"/>
        <w:ind w:firstLine="0"/>
      </w:pPr>
      <w:r>
        <w:rPr>
          <w:rFonts w:ascii="Times New Roman" w:hAnsi="Times New Roman" w:eastAsia="Times New Roman"/>
          <w:b/>
          <w:sz w:val="24"/>
        </w:rPr>
        <w:t xml:space="preserve">4.2 Industry-economy equation</w:t>
      </w:r>
    </w:p>
    <w:p>
      <w:pPr>
        <w:pStyle w:val="FirstParagraph"/>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Y^{M71}_{it}=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TNLG_i</w:t>
      </w:r>
      <w:r>
        <w:rPr>
          <w:iCs/>
          <w:rFonts w:ascii="Times New Roman" w:hAnsi="Times New Roman" w:eastAsia="Times New Roman"/>
          <w:i/>
          <w:sz w:val="24"/>
        </w:rPr>
        <w:t xml:space="preserve">)+u</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SBS 2021–2024, 17 countries ((N=68)). Construction F and all-professional M are placebos. National-accounts GVA/D1/P1 use post-2023 because those series largely end in 2023.</w:t>
      </w:r>
    </w:p>
    <w:bookmarkEnd w:id="37"/>
    <w:bookmarkStart w:id="38" w:name="what-is-not-identified"/>
    <w:p>
      <w:pPr>
        <w:pStyle w:val="Heading3"/>
        <w:spacing w:line="480" w:lineRule="auto"/>
        <w:ind w:firstLine="0"/>
      </w:pPr>
      <w:r>
        <w:rPr>
          <w:rFonts w:ascii="Times New Roman" w:hAnsi="Times New Roman" w:eastAsia="Times New Roman"/>
          <w:b/>
          <w:sz w:val="24"/>
        </w:rPr>
        <w:t xml:space="preserve">4.3 What is not identified</w:t>
      </w:r>
    </w:p>
    <w:p>
      <w:pPr>
        <w:pStyle w:val="FirstParagraph"/>
        <w:spacing w:line="480" w:lineRule="auto" w:after="0"/>
        <w:ind w:firstLine="720"/>
      </w:pPr>
      <w:r>
        <w:rPr>
          <w:rFonts w:ascii="Times New Roman" w:hAnsi="Times New Roman" w:eastAsia="Times New Roman"/>
          <w:sz w:val="24"/>
        </w:rP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 Table 6 records this claim boundary in compact form.</w:t>
      </w:r>
    </w:p>
    <w:bookmarkEnd w:id="38"/>
    <w:bookmarkStart w:id="39" w:name="interpreting-the-two-empirical-layers"/>
    <w:p>
      <w:pPr>
        <w:pStyle w:val="Heading3"/>
        <w:spacing w:line="480" w:lineRule="auto"/>
        <w:ind w:firstLine="0"/>
      </w:pPr>
      <w:r>
        <w:rPr>
          <w:rFonts w:ascii="Times New Roman" w:hAnsi="Times New Roman" w:eastAsia="Times New Roman"/>
          <w:b/>
          <w:sz w:val="24"/>
        </w:rPr>
        <w:t xml:space="preserve">4.4 Interpreting the two empirical layers</w:t>
      </w:r>
    </w:p>
    <w:p>
      <w:pPr>
        <w:pStyle w:val="FirstParagraph"/>
        <w:spacing w:line="480" w:lineRule="auto" w:after="0"/>
        <w:ind w:firstLine="720"/>
      </w:pPr>
      <w:r>
        <w:rPr>
          <w:rFonts w:ascii="Times New Roman" w:hAnsi="Times New Roman" w:eastAsia="Times New Roman"/>
          <w:sz w:val="24"/>
        </w:rP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spacing w:line="480" w:lineRule="auto" w:after="0"/>
        <w:ind w:firstLine="720"/>
      </w:pPr>
      <w:r>
        <w:rPr>
          <w:rFonts w:ascii="Times New Roman" w:hAnsi="Times New Roman" w:eastAsia="Times New Roman"/>
          <w:sz w:val="24"/>
        </w:rP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spacing w:line="480" w:lineRule="auto" w:after="0"/>
        <w:ind w:firstLine="720"/>
      </w:pPr>
      <w:r>
        <w:rPr>
          <w:rFonts w:ascii="Times New Roman" w:hAnsi="Times New Roman" w:eastAsia="Times New Roman"/>
          <w:sz w:val="24"/>
        </w:rP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spacing w:line="480" w:lineRule="auto" w:after="0"/>
        <w:ind w:firstLine="720"/>
      </w:pPr>
      <w:r>
        <w:rPr>
          <w:rFonts w:ascii="Times New Roman" w:hAnsi="Times New Roman" w:eastAsia="Times New Roman"/>
          <w:sz w:val="24"/>
        </w:rP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pPr>
        <w:spacing w:line="480" w:lineRule="auto" w:after="0"/>
        <w:ind w:firstLine="0"/>
      </w:pPr>
      <w:r>
        <w:pict>
          <v:rect style="width:0;height:1.5pt" o:hralign="center" o:hrstd="t" o:hr="t"/>
        </w:pict>
      </w:r>
    </w:p>
    <w:bookmarkEnd w:id="39"/>
    <w:bookmarkEnd w:id="40"/>
    <w:bookmarkStart w:id="47" w:name="results"/>
    <w:p>
      <w:pPr>
        <w:pStyle w:val="Heading2"/>
        <w:spacing w:line="480" w:lineRule="auto"/>
        <w:ind w:firstLine="0"/>
      </w:pPr>
      <w:r>
        <w:rPr>
          <w:rFonts w:ascii="Times New Roman" w:hAnsi="Times New Roman" w:eastAsia="Times New Roman"/>
          <w:b/>
          <w:sz w:val="24"/>
        </w:rPr>
        <w:t xml:space="preserve">5. Results</w:t>
      </w:r>
    </w:p>
    <w:bookmarkStart w:id="41" w:name="X8228d7849e047ca85d40660cfc044a4a8ef1ddf"/>
    <w:p>
      <w:pPr>
        <w:pStyle w:val="Heading3"/>
        <w:spacing w:line="480" w:lineRule="auto"/>
        <w:ind w:firstLine="0"/>
      </w:pPr>
      <w:r>
        <w:rPr>
          <w:rFonts w:ascii="Times New Roman" w:hAnsi="Times New Roman" w:eastAsia="Times New Roman"/>
          <w:b/>
          <w:sz w:val="24"/>
        </w:rPr>
        <w:t xml:space="preserve">5.1 The UK–China relationship (Figures 1–2, Table 1)</w:t>
      </w:r>
    </w:p>
    <w:p>
      <w:pPr>
        <w:pStyle w:val="FirstParagraph"/>
        <w:spacing w:line="480" w:lineRule="auto" w:after="0"/>
        <w:ind w:firstLine="720"/>
      </w:pPr>
      <w:r>
        <w:rPr>
          <w:rFonts w:ascii="Times New Roman" w:hAnsi="Times New Roman" w:eastAsia="Times New Roman"/>
          <w:sz w:val="24"/>
        </w:rP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spacing w:line="480" w:lineRule="auto" w:after="0"/>
        <w:ind w:firstLine="720"/>
      </w:pPr>
      <w:r>
        <w:rPr>
          <w:rFonts w:ascii="Times New Roman" w:hAnsi="Times New Roman" w:eastAsia="Times New Roman"/>
          <w:sz w:val="24"/>
        </w:rP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spacing w:line="480" w:lineRule="auto"/>
        <w:ind w:firstLine="0"/>
      </w:pPr>
      <w:r>
        <w:rPr>
          <w:rFonts w:ascii="Times New Roman" w:hAnsi="Times New Roman" w:eastAsia="Times New Roman"/>
          <w:b/>
          <w:sz w:val="24"/>
        </w:rPr>
        <w:t xml:space="preserve">5.2 The UK–India relationship (Figures 1–2, Table 1)</w:t>
      </w:r>
    </w:p>
    <w:p>
      <w:pPr>
        <w:pStyle w:val="FirstParagraph"/>
        <w:spacing w:line="480" w:lineRule="auto" w:after="0"/>
        <w:ind w:firstLine="720"/>
      </w:pPr>
      <w:r>
        <w:rPr>
          <w:rFonts w:ascii="Times New Roman" w:hAnsi="Times New Roman" w:eastAsia="Times New Roman"/>
          <w:sz w:val="24"/>
        </w:rP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spacing w:line="480" w:lineRule="auto" w:after="0"/>
        <w:ind w:firstLine="720"/>
      </w:pPr>
      <w:r>
        <w:rPr>
          <w:rFonts w:ascii="Times New Roman" w:hAnsi="Times New Roman" w:eastAsia="Times New Roman"/>
          <w:sz w:val="24"/>
        </w:rP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spacing w:line="480" w:lineRule="auto" w:after="0"/>
        <w:ind w:firstLine="720"/>
      </w:pPr>
      <w:r>
        <w:rPr>
          <w:rFonts w:ascii="Times New Roman" w:hAnsi="Times New Roman" w:eastAsia="Times New Roman"/>
          <w:sz w:val="24"/>
        </w:rP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da52455fcc86697018a14a5627c5dbf2b6c19bd"/>
    <w:p>
      <w:pPr>
        <w:pStyle w:val="Heading3"/>
        <w:spacing w:line="480" w:lineRule="auto"/>
        <w:ind w:firstLine="0"/>
      </w:pPr>
      <w:r>
        <w:rPr>
          <w:rFonts w:ascii="Times New Roman" w:hAnsi="Times New Roman" w:eastAsia="Times New Roman"/>
          <w:b/>
          <w:sz w:val="24"/>
        </w:rPr>
        <w:t xml:space="preserve">5.3 Generic any-AI is the wrong shock (Table 3)</w:t>
      </w:r>
    </w:p>
    <w:p>
      <w:pPr>
        <w:pStyle w:val="FirstParagraph"/>
        <w:spacing w:line="480" w:lineRule="auto" w:after="0"/>
        <w:ind w:firstLine="720"/>
      </w:pPr>
      <w:r>
        <w:rPr>
          <w:rFonts w:ascii="Times New Roman" w:hAnsi="Times New Roman" w:eastAsia="Times New Roman"/>
          <w:sz w:val="24"/>
        </w:rPr>
        <w:t xml:space="preserve">The generic any-AI measure produces little evidence of a trade relationship (Table 3). In the 16-member sample, the post-shock interaction between the change in NACE 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AI</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spacing w:line="480" w:lineRule="auto"/>
        <w:ind w:firstLine="0"/>
      </w:pPr>
      <w:r>
        <w:rPr>
          <w:rFonts w:ascii="Times New Roman" w:hAnsi="Times New Roman" w:eastAsia="Times New Roman"/>
          <w:b/>
          <w:sz w:val="24"/>
        </w:rPr>
        <w:t xml:space="preserve">5.4 Preferred shock and Indian SJ3 (Figures 3–4, Tables 2–3)</w:t>
      </w:r>
    </w:p>
    <w:p>
      <w:pPr>
        <w:pStyle w:val="FirstParagraph"/>
        <w:spacing w:line="480" w:lineRule="auto" w:after="0"/>
        <w:ind w:firstLine="720"/>
      </w:pPr>
      <w:r>
        <w:rPr>
          <w:rFonts w:ascii="Times New Roman" w:hAnsi="Times New Roman" w:eastAsia="Times New Roman"/>
          <w:sz w:val="24"/>
        </w:rPr>
        <w:t xml:space="preserve">NLG use in professional services rose sharply between 2023 and 2024, although the size of the change differed substantially across EU members (Figure 3). This cross-sectional variation identifies the preferred specification. In the pooled Mode-1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spacing w:line="480" w:lineRule="auto" w:after="0"/>
        <w:ind w:firstLine="720"/>
      </w:pPr>
      <w:r>
        <w:rPr>
          <w:rFonts w:ascii="Times New Roman" w:hAnsi="Times New Roman" w:eastAsia="Times New Roman"/>
          <w:sz w:val="24"/>
        </w:rP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spacing w:line="480" w:lineRule="auto" w:after="0"/>
        <w:ind w:firstLine="720"/>
      </w:pPr>
      <w:r>
        <w:rPr>
          <w:rFonts w:ascii="Times New Roman" w:hAnsi="Times New Roman" w:eastAsia="Times New Roman"/>
          <w:sz w:val="24"/>
        </w:rP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Mode-1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spacing w:line="480" w:lineRule="auto"/>
        <w:ind w:firstLine="0"/>
      </w:pPr>
      <w:r>
        <w:rPr>
          <w:rFonts w:ascii="Times New Roman" w:hAnsi="Times New Roman" w:eastAsia="Times New Roman"/>
          <w:b/>
          <w:sz w:val="24"/>
        </w:rPr>
        <w:t xml:space="preserve">5.5 Domestic M71 industry economy (Figure 5, Table 4)</w:t>
      </w:r>
    </w:p>
    <w:p>
      <w:pPr>
        <w:pStyle w:val="FirstParagraph"/>
        <w:spacing w:line="480" w:lineRule="auto" w:after="0"/>
        <w:ind w:firstLine="720"/>
      </w:pPr>
      <w:r>
        <w:rPr>
          <w:rFonts w:ascii="Times New Roman" w:hAnsi="Times New Roman" w:eastAsia="Times New Roman"/>
          <w:sz w:val="24"/>
        </w:rP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spacing w:line="480" w:lineRule="auto" w:after="0"/>
        <w:ind w:firstLine="720"/>
      </w:pPr>
      <w:r>
        <w:rPr>
          <w:rFonts w:ascii="Times New Roman" w:hAnsi="Times New Roman" w:eastAsia="Times New Roman"/>
          <w:sz w:val="24"/>
        </w:rP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spacing w:line="480" w:lineRule="auto" w:after="0"/>
        <w:ind w:firstLine="720"/>
      </w:pPr>
      <w:r>
        <w:rPr>
          <w:rFonts w:ascii="Times New Roman" w:hAnsi="Times New Roman" w:eastAsia="Times New Roman"/>
          <w:sz w:val="24"/>
        </w:rP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f6335cbef6cd4ec692bcd5cb7de1a6bb271a968"/>
    <w:p>
      <w:pPr>
        <w:pStyle w:val="Heading3"/>
        <w:spacing w:line="480" w:lineRule="auto"/>
        <w:ind w:firstLine="0"/>
      </w:pPr>
      <w:r>
        <w:rPr>
          <w:rFonts w:ascii="Times New Roman" w:hAnsi="Times New Roman" w:eastAsia="Times New Roman"/>
          <w:b/>
          <w:sz w:val="24"/>
        </w:rPr>
        <w:t xml:space="preserve">5.6 India and China in the importer panel (Tables 3 and 5)</w:t>
      </w:r>
    </w:p>
    <w:p>
      <w:pPr>
        <w:pStyle w:val="FirstParagraph"/>
        <w:spacing w:line="480" w:lineRule="auto" w:after="0"/>
        <w:ind w:firstLine="720"/>
      </w:pPr>
      <w:r>
        <w:rPr>
          <w:rFonts w:ascii="Times New Roman" w:hAnsi="Times New Roman" w:eastAsia="Times New Roman"/>
          <w:sz w:val="24"/>
        </w:rPr>
        <w:t xml:space="preserve">The panel comparison helps distinguish the bilateral trends from the NLG association (Table 3). Indian SJ3 has a positive post-shock coefficient of 0.021 (0.008), while Chinese construction services have a coefficient of −0.008 (0.009). Chinese SJ3 is also null. When Chinese construction exports are divided by destination adoption, exports to lower-TNLG destinations increased by 65.4% between 2019 and 2024, compared with 47.5% for higher-TNLG destinations (Table 5). Project-based Chinese services did not reorient toward the importers with the largest NLG increase.</w:t>
      </w:r>
    </w:p>
    <w:p>
      <w:pPr>
        <w:pStyle w:val="BodyText"/>
        <w:spacing w:line="480" w:lineRule="auto" w:after="0"/>
        <w:ind w:firstLine="720"/>
      </w:pPr>
      <w:r>
        <w:rPr>
          <w:rFonts w:ascii="Times New Roman" w:hAnsi="Times New Roman" w:eastAsia="Times New Roman"/>
          <w:sz w:val="24"/>
        </w:rP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pPr>
        <w:spacing w:line="480" w:lineRule="auto" w:after="0"/>
        <w:ind w:firstLine="0"/>
      </w:pPr>
      <w:r>
        <w:pict>
          <v:rect style="width:0;height:1.5pt" o:hralign="center" o:hrstd="t" o:hr="t"/>
        </w:pict>
      </w:r>
    </w:p>
    <w:bookmarkEnd w:id="46"/>
    <w:bookmarkEnd w:id="47"/>
    <w:bookmarkStart w:id="48" w:name="discussion"/>
    <w:p>
      <w:pPr>
        <w:pStyle w:val="Heading2"/>
        <w:spacing w:line="480" w:lineRule="auto"/>
        <w:ind w:firstLine="0"/>
      </w:pPr>
      <w:r>
        <w:rPr>
          <w:rFonts w:ascii="Times New Roman" w:hAnsi="Times New Roman" w:eastAsia="Times New Roman"/>
          <w:b/>
          <w:sz w:val="24"/>
        </w:rPr>
        <w:t xml:space="preserve">6. Discussion</w:t>
      </w:r>
    </w:p>
    <w:p>
      <w:pPr>
        <w:pStyle w:val="FirstParagraph"/>
        <w:spacing w:line="480" w:lineRule="auto" w:after="0"/>
        <w:ind w:firstLine="720"/>
      </w:pPr>
      <w:r>
        <w:rPr>
          <w:rFonts w:ascii="Times New Roman" w:hAnsi="Times New Roman" w:eastAsia="Times New Roman"/>
          <w:sz w:val="24"/>
        </w:rP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spacing w:line="480" w:lineRule="auto" w:after="0"/>
        <w:ind w:firstLine="720"/>
      </w:pPr>
      <w:r>
        <w:rPr>
          <w:rFonts w:ascii="Times New Roman" w:hAnsi="Times New Roman" w:eastAsia="Times New Roman"/>
          <w:sz w:val="24"/>
        </w:rP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spacing w:line="480" w:lineRule="auto" w:after="0"/>
        <w:ind w:firstLine="720"/>
      </w:pPr>
      <w:r>
        <w:rPr>
          <w:rFonts w:ascii="Times New Roman" w:hAnsi="Times New Roman" w:eastAsia="Times New Roman"/>
          <w:sz w:val="24"/>
        </w:rP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spacing w:line="480" w:lineRule="auto" w:after="0"/>
        <w:ind w:firstLine="720"/>
      </w:pPr>
      <w:r>
        <w:rPr>
          <w:rFonts w:ascii="Times New Roman" w:hAnsi="Times New Roman" w:eastAsia="Times New Roman"/>
          <w:sz w:val="24"/>
        </w:rP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spacing w:line="480" w:lineRule="auto" w:after="0"/>
        <w:ind w:firstLine="720"/>
      </w:pPr>
      <w:r>
        <w:rPr>
          <w:rFonts w:ascii="Times New Roman" w:hAnsi="Times New Roman" w:eastAsia="Times New Roman"/>
          <w:sz w:val="24"/>
        </w:rP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spacing w:line="480" w:lineRule="auto" w:after="0"/>
        <w:ind w:firstLine="720"/>
      </w:pPr>
      <w:r>
        <w:rPr>
          <w:rFonts w:ascii="Times New Roman" w:hAnsi="Times New Roman" w:eastAsia="Times New Roman"/>
          <w:sz w:val="24"/>
        </w:rP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spacing w:line="480" w:lineRule="auto" w:after="0"/>
        <w:ind w:firstLine="720"/>
      </w:pPr>
      <w:r>
        <w:rPr>
          <w:rFonts w:ascii="Times New Roman" w:hAnsi="Times New Roman" w:eastAsia="Times New Roman"/>
          <w:sz w:val="24"/>
        </w:rP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spacing w:line="480" w:lineRule="auto" w:after="0"/>
        <w:ind w:firstLine="720"/>
      </w:pPr>
      <w:r>
        <w:rPr>
          <w:rFonts w:ascii="Times New Roman" w:hAnsi="Times New Roman" w:eastAsia="Times New Roman"/>
          <w:sz w:val="24"/>
        </w:rP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spacing w:line="480" w:lineRule="auto" w:after="0"/>
        <w:ind w:firstLine="720"/>
      </w:pPr>
      <w:r>
        <w:rPr>
          <w:rFonts w:ascii="Times New Roman" w:hAnsi="Times New Roman" w:eastAsia="Times New Roman"/>
          <w:sz w:val="24"/>
        </w:rPr>
        <w:t xml:space="preserve">The results therefore support a restrained interpretation (Table 6).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pPr>
        <w:spacing w:line="480" w:lineRule="auto" w:after="0"/>
        <w:ind w:firstLine="0"/>
      </w:pPr>
      <w:r>
        <w:pict>
          <v:rect style="width:0;height:1.5pt" o:hralign="center" o:hrstd="t" o:hr="t"/>
        </w:pict>
      </w:r>
    </w:p>
    <w:bookmarkEnd w:id="48"/>
    <w:bookmarkStart w:id="49" w:name="limitations"/>
    <w:p>
      <w:pPr>
        <w:pStyle w:val="Heading2"/>
        <w:spacing w:line="480" w:lineRule="auto"/>
        <w:ind w:firstLine="0"/>
      </w:pPr>
      <w:r>
        <w:rPr>
          <w:rFonts w:ascii="Times New Roman" w:hAnsi="Times New Roman" w:eastAsia="Times New Roman"/>
          <w:b/>
          <w:sz w:val="24"/>
        </w:rPr>
        <w:t xml:space="preserve">7. Limitations</w:t>
      </w:r>
    </w:p>
    <w:p>
      <w:pPr>
        <w:pStyle w:val="FirstParagraph"/>
        <w:spacing w:line="480" w:lineRule="auto" w:after="0"/>
        <w:ind w:firstLine="720"/>
      </w:pPr>
      <w:r>
        <w:rPr>
          <w:rFonts w:ascii="Times New Roman" w:hAnsi="Times New Roman" w:eastAsia="Times New Roman"/>
          <w:sz w:val="24"/>
        </w:rP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spacing w:line="480" w:lineRule="auto" w:after="0"/>
        <w:ind w:firstLine="720"/>
      </w:pPr>
      <w:r>
        <w:rPr>
          <w:rFonts w:ascii="Times New Roman" w:hAnsi="Times New Roman" w:eastAsia="Times New Roman"/>
          <w:sz w:val="24"/>
        </w:rP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spacing w:line="480" w:lineRule="auto" w:after="0"/>
        <w:ind w:firstLine="720"/>
      </w:pPr>
      <w:r>
        <w:rPr>
          <w:rFonts w:ascii="Times New Roman" w:hAnsi="Times New Roman" w:eastAsia="Times New Roman"/>
          <w:sz w:val="24"/>
        </w:rP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w:t>
      </w:r>
    </w:p>
    <w:p>
      <w:pPr>
        <w:pStyle w:val="BodyText"/>
        <w:spacing w:line="480" w:lineRule="auto" w:after="0"/>
        <w:ind w:firstLine="720"/>
      </w:pPr>
      <w:r>
        <w:rPr>
          <w:rFonts w:ascii="Times New Roman" w:hAnsi="Times New Roman" w:eastAsia="Times New Roman"/>
          <w:sz w:val="24"/>
        </w:rP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pPr>
        <w:spacing w:line="480" w:lineRule="auto" w:after="0"/>
        <w:ind w:firstLine="0"/>
      </w:pPr>
      <w:r>
        <w:pict>
          <v:rect style="width:0;height:1.5pt" o:hralign="center" o:hrstd="t" o:hr="t"/>
        </w:pict>
      </w:r>
    </w:p>
    <w:bookmarkEnd w:id="49"/>
    <w:bookmarkStart w:id="50" w:name="conclusion"/>
    <w:p>
      <w:pPr>
        <w:pStyle w:val="Heading2"/>
        <w:spacing w:line="480" w:lineRule="auto"/>
        <w:ind w:firstLine="0"/>
      </w:pPr>
      <w:r>
        <w:rPr>
          <w:rFonts w:ascii="Times New Roman" w:hAnsi="Times New Roman" w:eastAsia="Times New Roman"/>
          <w:b/>
          <w:sz w:val="24"/>
        </w:rPr>
        <w:t xml:space="preserve">8. Conclusion</w:t>
      </w:r>
    </w:p>
    <w:p>
      <w:pPr>
        <w:pStyle w:val="FirstParagraph"/>
        <w:spacing w:line="480" w:lineRule="auto" w:after="0"/>
        <w:ind w:firstLine="720"/>
      </w:pPr>
      <w:r>
        <w:rPr>
          <w:rFonts w:ascii="Times New Roman" w:hAnsi="Times New Roman" w:eastAsia="Times New Roman"/>
          <w:sz w:val="24"/>
        </w:rP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spacing w:line="480" w:lineRule="auto" w:after="0"/>
        <w:ind w:firstLine="720"/>
      </w:pPr>
      <w:r>
        <w:rPr>
          <w:rFonts w:ascii="Times New Roman" w:hAnsi="Times New Roman" w:eastAsia="Times New Roman"/>
          <w:sz w:val="24"/>
        </w:rP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spacing w:line="480" w:lineRule="auto" w:after="0"/>
        <w:ind w:firstLine="720"/>
      </w:pPr>
      <w:r>
        <w:rPr>
          <w:rFonts w:ascii="Times New Roman" w:hAnsi="Times New Roman" w:eastAsia="Times New Roman"/>
          <w:sz w:val="24"/>
        </w:rP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 (Table 6).</w:t>
      </w:r>
    </w:p>
    <w:p>
      <w:pPr>
        <w:spacing w:line="480" w:lineRule="auto" w:after="0"/>
        <w:ind w:firstLine="0"/>
      </w:pPr>
      <w:r>
        <w:pict>
          <v:rect style="width:0;height:1.5pt" o:hralign="center" o:hrstd="t" o:hr="t"/>
        </w:pict>
      </w:r>
    </w:p>
    <w:bookmarkEnd w:id="50"/>
    <w:bookmarkStart w:id="51" w:name="disclosure-statement"/>
    <w:p>
      <w:pPr>
        <w:pStyle w:val="Heading2"/>
        <w:spacing w:line="480" w:lineRule="auto"/>
        <w:ind w:firstLine="0"/>
      </w:pPr>
      <w:r>
        <w:rPr>
          <w:rFonts w:ascii="Times New Roman" w:hAnsi="Times New Roman" w:eastAsia="Times New Roman"/>
          <w:b/>
          <w:sz w:val="24"/>
        </w:rPr>
        <w:t xml:space="preserve">Disclosure statement</w:t>
      </w:r>
    </w:p>
    <w:p>
      <w:pPr>
        <w:pStyle w:val="FirstParagraph"/>
        <w:spacing w:line="480" w:lineRule="auto" w:after="0"/>
        <w:ind w:firstLine="720"/>
      </w:pPr>
      <w:r>
        <w:rPr>
          <w:rFonts w:ascii="Times New Roman" w:hAnsi="Times New Roman" w:eastAsia="Times New Roman"/>
          <w:sz w:val="24"/>
        </w:rPr>
        <w:t xml:space="preserve">No potential conflict of interest was reported by the author.</w:t>
      </w:r>
    </w:p>
    <w:bookmarkEnd w:id="51"/>
    <w:bookmarkStart w:id="52" w:name="data-availability-statement"/>
    <w:p>
      <w:pPr>
        <w:pStyle w:val="Heading2"/>
        <w:spacing w:line="480" w:lineRule="auto"/>
        <w:ind w:firstLine="0"/>
      </w:pPr>
      <w:r>
        <w:rPr>
          <w:rFonts w:ascii="Times New Roman" w:hAnsi="Times New Roman" w:eastAsia="Times New Roman"/>
          <w:b/>
          <w:sz w:val="24"/>
        </w:rPr>
        <w:t xml:space="preserve">Data availability statement</w:t>
      </w:r>
    </w:p>
    <w:p>
      <w:pPr>
        <w:pStyle w:val="FirstParagraph"/>
        <w:spacing w:line="480" w:lineRule="auto" w:after="0"/>
        <w:ind w:firstLine="720"/>
      </w:pPr>
      <w:r>
        <w:rPr>
          <w:rFonts w:ascii="Times New Roman" w:hAnsi="Times New Roman" w:eastAsia="Times New Roman"/>
          <w:sz w:val="24"/>
        </w:rPr>
        <w:t xml:space="preserve">The data that support the findings of this study are included in the accompanying replication package (supplied as supplementary material). Eurostat, OECD–WTO BaTIS and ILOSTAT series remain subject to their publishers’ terms and should be cited as in the reference list. Author-generated files are released under CC BY 4.0.</w:t>
      </w:r>
    </w:p>
    <w:bookmarkEnd w:id="52"/>
    <w:bookmarkStart w:id="53" w:name="references"/>
    <w:p>
      <w:pPr>
        <w:pStyle w:val="Heading2"/>
        <w:spacing w:line="480" w:lineRule="auto"/>
        <w:ind w:firstLine="0"/>
      </w:pPr>
      <w:r>
        <w:rPr>
          <w:rFonts w:ascii="Times New Roman" w:hAnsi="Times New Roman" w:eastAsia="Times New Roman"/>
          <w:b/>
          <w:sz w:val="24"/>
        </w:rPr>
        <w:t xml:space="preserve">References</w:t>
      </w:r>
    </w:p>
    <w:p>
      <w:pPr>
        <w:pStyle w:val="FirstParagraph"/>
        <w:spacing w:line="480" w:lineRule="auto" w:after="0"/>
        <w:ind w:firstLine="720"/>
      </w:pPr>
      <w:r>
        <w:rPr>
          <w:rFonts w:ascii="Times New Roman" w:hAnsi="Times New Roman" w:eastAsia="Times New Roman"/>
          <w:sz w:val="24"/>
        </w:rPr>
        <w:t xml:space="preserve">Acemoglu, D., &amp; Restrepo, P. (2018). The race between man and machine: Implications of technology for growth, factor shares, and employment.</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108</w:t>
      </w:r>
      <w:r>
        <w:rPr>
          <w:rFonts w:ascii="Times New Roman" w:hAnsi="Times New Roman" w:eastAsia="Times New Roman"/>
          <w:sz w:val="24"/>
        </w:rPr>
        <w:t xml:space="preserve">(6), 1488–1542.</w:t>
      </w:r>
    </w:p>
    <w:p>
      <w:pPr>
        <w:pStyle w:val="BodyText"/>
        <w:spacing w:line="480" w:lineRule="auto" w:after="0"/>
        <w:ind w:firstLine="720"/>
      </w:pPr>
      <w:r>
        <w:rPr>
          <w:rFonts w:ascii="Times New Roman" w:hAnsi="Times New Roman" w:eastAsia="Times New Roman"/>
          <w:sz w:val="24"/>
        </w:rPr>
        <w:t xml:space="preserve">Acemoglu, D., &amp; Restrepo, P. (2019). Automation and new tasks: How technology displaces and reinstates labor.</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33</w:t>
      </w:r>
      <w:r>
        <w:rPr>
          <w:rFonts w:ascii="Times New Roman" w:hAnsi="Times New Roman" w:eastAsia="Times New Roman"/>
          <w:sz w:val="24"/>
        </w:rPr>
        <w:t xml:space="preserve">(2), 3–30.</w:t>
      </w:r>
    </w:p>
    <w:p>
      <w:pPr>
        <w:pStyle w:val="BodyText"/>
        <w:spacing w:line="480" w:lineRule="auto" w:after="0"/>
        <w:ind w:firstLine="720"/>
      </w:pPr>
      <w:r>
        <w:rPr>
          <w:rFonts w:ascii="Times New Roman" w:hAnsi="Times New Roman" w:eastAsia="Times New Roman"/>
          <w:sz w:val="24"/>
        </w:rPr>
        <w:t xml:space="preserve">Acemoglu, D., &amp; Restrepo, P. (2020). Robots and jobs: Evidence from US labor markets.</w:t>
      </w:r>
      <w:r>
        <w:rPr>
          <w:rFonts w:ascii="Times New Roman" w:hAnsi="Times New Roman" w:eastAsia="Times New Roman"/>
          <w:sz w:val="24"/>
        </w:rPr>
        <w:t xml:space="preserve"> </w:t>
      </w:r>
      <w:r>
        <w:rPr>
          <w:iCs/>
          <w:rFonts w:ascii="Times New Roman" w:hAnsi="Times New Roman" w:eastAsia="Times New Roman"/>
          <w:i/>
          <w:sz w:val="24"/>
        </w:rPr>
        <w:t xml:space="preserve">Journal of Political Economy, 128</w:t>
      </w:r>
      <w:r>
        <w:rPr>
          <w:rFonts w:ascii="Times New Roman" w:hAnsi="Times New Roman" w:eastAsia="Times New Roman"/>
          <w:sz w:val="24"/>
        </w:rPr>
        <w:t xml:space="preserve">(6), 2188–2244.</w:t>
      </w:r>
    </w:p>
    <w:p>
      <w:pPr>
        <w:pStyle w:val="BodyText"/>
        <w:spacing w:line="480" w:lineRule="auto" w:after="0"/>
        <w:ind w:firstLine="720"/>
      </w:pPr>
      <w:r>
        <w:rPr>
          <w:rFonts w:ascii="Times New Roman" w:hAnsi="Times New Roman" w:eastAsia="Times New Roman"/>
          <w:sz w:val="24"/>
        </w:rPr>
        <w:t xml:space="preserve">Agrawal, A., Gans, J., &amp; Goldfarb, A. (2018).</w:t>
      </w:r>
      <w:r>
        <w:rPr>
          <w:rFonts w:ascii="Times New Roman" w:hAnsi="Times New Roman" w:eastAsia="Times New Roman"/>
          <w:sz w:val="24"/>
        </w:rPr>
        <w:t xml:space="preserve"> </w:t>
      </w:r>
      <w:r>
        <w:rPr>
          <w:iCs/>
          <w:rFonts w:ascii="Times New Roman" w:hAnsi="Times New Roman" w:eastAsia="Times New Roman"/>
          <w:i/>
          <w:sz w:val="24"/>
        </w:rPr>
        <w:t xml:space="preserve">Prediction machines: The simple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Agrawal, A., Gans, J., &amp; Goldfarb, A. (2022).</w:t>
      </w:r>
      <w:r>
        <w:rPr>
          <w:rFonts w:ascii="Times New Roman" w:hAnsi="Times New Roman" w:eastAsia="Times New Roman"/>
          <w:sz w:val="24"/>
        </w:rPr>
        <w:t xml:space="preserve"> </w:t>
      </w:r>
      <w:r>
        <w:rPr>
          <w:iCs/>
          <w:rFonts w:ascii="Times New Roman" w:hAnsi="Times New Roman" w:eastAsia="Times New Roman"/>
          <w:i/>
          <w:sz w:val="24"/>
        </w:rPr>
        <w:t xml:space="preserve">Power and prediction: The disruptive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Autor, D. H. (2015). Why are there still so many jobs? The history and future of workplace automation.</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29</w:t>
      </w:r>
      <w:r>
        <w:rPr>
          <w:rFonts w:ascii="Times New Roman" w:hAnsi="Times New Roman" w:eastAsia="Times New Roman"/>
          <w:sz w:val="24"/>
        </w:rPr>
        <w:t xml:space="preserve">(3), 3–30.</w:t>
      </w:r>
    </w:p>
    <w:p>
      <w:pPr>
        <w:pStyle w:val="BodyText"/>
        <w:spacing w:line="480" w:lineRule="auto" w:after="0"/>
        <w:ind w:firstLine="720"/>
      </w:pPr>
      <w:r>
        <w:rPr>
          <w:rFonts w:ascii="Times New Roman" w:hAnsi="Times New Roman" w:eastAsia="Times New Roman"/>
          <w:sz w:val="24"/>
        </w:rPr>
        <w:t xml:space="preserve">Autor, D. H., Levy, F., &amp; Murnane, R. J. (2003). The skill content of recent technological change: An empirical exploration.</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118</w:t>
      </w:r>
      <w:r>
        <w:rPr>
          <w:rFonts w:ascii="Times New Roman" w:hAnsi="Times New Roman" w:eastAsia="Times New Roman"/>
          <w:sz w:val="24"/>
        </w:rPr>
        <w:t xml:space="preserve">(4), 1279–1333.</w:t>
      </w:r>
    </w:p>
    <w:p>
      <w:pPr>
        <w:pStyle w:val="BodyText"/>
        <w:spacing w:line="480" w:lineRule="auto" w:after="0"/>
        <w:ind w:firstLine="720"/>
      </w:pPr>
      <w:r>
        <w:rPr>
          <w:rFonts w:ascii="Times New Roman" w:hAnsi="Times New Roman" w:eastAsia="Times New Roman"/>
          <w:sz w:val="24"/>
        </w:rPr>
        <w:t xml:space="preserve">Baldwin, R. (2016).</w:t>
      </w:r>
      <w:r>
        <w:rPr>
          <w:rFonts w:ascii="Times New Roman" w:hAnsi="Times New Roman" w:eastAsia="Times New Roman"/>
          <w:sz w:val="24"/>
        </w:rPr>
        <w:t xml:space="preserve"> </w:t>
      </w:r>
      <w:r>
        <w:rPr>
          <w:iCs/>
          <w:rFonts w:ascii="Times New Roman" w:hAnsi="Times New Roman" w:eastAsia="Times New Roman"/>
          <w:i/>
          <w:sz w:val="24"/>
        </w:rPr>
        <w:t xml:space="preserve">The great convergence: Information technology and the new globalization</w:t>
      </w:r>
      <w:r>
        <w:rPr>
          <w:rFonts w:ascii="Times New Roman" w:hAnsi="Times New Roman" w:eastAsia="Times New Roman"/>
          <w:sz w:val="24"/>
        </w:rPr>
        <w:t xml:space="preserve">. Harvard University Press.</w:t>
      </w:r>
    </w:p>
    <w:p>
      <w:pPr>
        <w:pStyle w:val="BodyText"/>
        <w:spacing w:line="480" w:lineRule="auto" w:after="0"/>
        <w:ind w:firstLine="720"/>
      </w:pPr>
      <w:r>
        <w:rPr>
          <w:rFonts w:ascii="Times New Roman" w:hAnsi="Times New Roman" w:eastAsia="Times New Roman"/>
          <w:sz w:val="24"/>
        </w:rPr>
        <w:t xml:space="preserve">Baldwin, R. (2019).</w:t>
      </w:r>
      <w:r>
        <w:rPr>
          <w:rFonts w:ascii="Times New Roman" w:hAnsi="Times New Roman" w:eastAsia="Times New Roman"/>
          <w:sz w:val="24"/>
        </w:rPr>
        <w:t xml:space="preserve"> </w:t>
      </w:r>
      <w:r>
        <w:rPr>
          <w:iCs/>
          <w:rFonts w:ascii="Times New Roman" w:hAnsi="Times New Roman" w:eastAsia="Times New Roman"/>
          <w:i/>
          <w:sz w:val="24"/>
        </w:rPr>
        <w:t xml:space="preserve">The globotics upheaval: Globalization, robotics, and the future of work</w:t>
      </w:r>
      <w:r>
        <w:rPr>
          <w:rFonts w:ascii="Times New Roman" w:hAnsi="Times New Roman" w:eastAsia="Times New Roman"/>
          <w:sz w:val="24"/>
        </w:rPr>
        <w:t xml:space="preserve">. Oxford University Press.</w:t>
      </w:r>
    </w:p>
    <w:p>
      <w:pPr>
        <w:pStyle w:val="BodyText"/>
        <w:spacing w:line="480" w:lineRule="auto" w:after="0"/>
        <w:ind w:firstLine="720"/>
      </w:pPr>
      <w:r>
        <w:rPr>
          <w:rFonts w:ascii="Times New Roman" w:hAnsi="Times New Roman" w:eastAsia="Times New Roman"/>
          <w:sz w:val="24"/>
        </w:rPr>
        <w:t xml:space="preserve">Blinder, A. S. (2006). Offshoring: The next industrial revolution?</w:t>
      </w:r>
      <w:r>
        <w:rPr>
          <w:rFonts w:ascii="Times New Roman" w:hAnsi="Times New Roman" w:eastAsia="Times New Roman"/>
          <w:sz w:val="24"/>
        </w:rPr>
        <w:t xml:space="preserve"> </w:t>
      </w:r>
      <w:r>
        <w:rPr>
          <w:iCs/>
          <w:rFonts w:ascii="Times New Roman" w:hAnsi="Times New Roman" w:eastAsia="Times New Roman"/>
          <w:i/>
          <w:sz w:val="24"/>
        </w:rPr>
        <w:t xml:space="preserve">Foreign Affairs, 85</w:t>
      </w:r>
      <w:r>
        <w:rPr>
          <w:rFonts w:ascii="Times New Roman" w:hAnsi="Times New Roman" w:eastAsia="Times New Roman"/>
          <w:sz w:val="24"/>
        </w:rPr>
        <w:t xml:space="preserve">(2), 113–128.</w:t>
      </w:r>
    </w:p>
    <w:p>
      <w:pPr>
        <w:pStyle w:val="BodyText"/>
        <w:spacing w:line="480" w:lineRule="auto" w:after="0"/>
        <w:ind w:firstLine="720"/>
      </w:pPr>
      <w:r>
        <w:rPr>
          <w:rFonts w:ascii="Times New Roman" w:hAnsi="Times New Roman" w:eastAsia="Times New Roman"/>
          <w:sz w:val="24"/>
        </w:rPr>
        <w:t xml:space="preserve">Brynjolfsson, E., Li, D., &amp; Raymond, L. (2025). Generative AI at work.</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140</w:t>
      </w:r>
      <w:r>
        <w:rPr>
          <w:rFonts w:ascii="Times New Roman" w:hAnsi="Times New Roman" w:eastAsia="Times New Roman"/>
          <w:sz w:val="24"/>
        </w:rPr>
        <w:t xml:space="preserve">(2), 889–942.</w:t>
      </w:r>
    </w:p>
    <w:p>
      <w:pPr>
        <w:pStyle w:val="BodyText"/>
        <w:spacing w:line="480" w:lineRule="auto" w:after="0"/>
        <w:ind w:firstLine="720"/>
      </w:pPr>
      <w:r>
        <w:rPr>
          <w:rFonts w:ascii="Times New Roman" w:hAnsi="Times New Roman" w:eastAsia="Times New Roman"/>
          <w:sz w:val="24"/>
        </w:rPr>
        <w:t xml:space="preserve">Dell’Acqua, F., McFowland, E., Mollick, E., Lifshitz-Assaf, H., Kellogg, K. C., Rajendran, S., Krayer, L., Candelon, F., &amp; Lakhani, K. R. (2023). Navigating the jagged technological frontier: Field experimental evidence of the effects of AI on knowledge worker productivity and quality (Harvard Business School Working Paper 24-013).</w:t>
      </w:r>
    </w:p>
    <w:p>
      <w:pPr>
        <w:pStyle w:val="BodyText"/>
        <w:spacing w:line="480" w:lineRule="auto" w:after="0"/>
        <w:ind w:firstLine="720"/>
      </w:pPr>
      <w:r>
        <w:rPr>
          <w:rFonts w:ascii="Times New Roman" w:hAnsi="Times New Roman" w:eastAsia="Times New Roman"/>
          <w:sz w:val="24"/>
        </w:rPr>
        <w:t xml:space="preserve">Eastman, C., Teicholz, P., Sacks, R., &amp; Liston, K. (2011).</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w:t>
      </w:r>
      <w:r>
        <w:rPr>
          <w:rFonts w:ascii="Times New Roman" w:hAnsi="Times New Roman" w:eastAsia="Times New Roman"/>
          <w:sz w:val="24"/>
        </w:rPr>
        <w:t xml:space="preserve"> </w:t>
      </w:r>
      <w:r>
        <w:rPr>
          <w:rFonts w:ascii="Times New Roman" w:hAnsi="Times New Roman" w:eastAsia="Times New Roman"/>
          <w:sz w:val="24"/>
        </w:rPr>
        <w:t xml:space="preserve">(2nd ed.). Wiley.</w:t>
      </w:r>
    </w:p>
    <w:p>
      <w:pPr>
        <w:pStyle w:val="BodyText"/>
        <w:spacing w:line="480" w:lineRule="auto" w:after="0"/>
        <w:ind w:firstLine="720"/>
      </w:pPr>
      <w:r>
        <w:rPr>
          <w:rFonts w:ascii="Times New Roman" w:hAnsi="Times New Roman" w:eastAsia="Times New Roman"/>
          <w:sz w:val="24"/>
        </w:rPr>
        <w:t xml:space="preserve">Eloundou, T., Manning, S., Mishkin, P., &amp; Rock, D. (2023). GPTs are GPTs: An early look at the labor market impact potential of large language models. arXiv:2303.10130.</w:t>
      </w:r>
    </w:p>
    <w:p>
      <w:pPr>
        <w:pStyle w:val="BodyText"/>
        <w:spacing w:line="480" w:lineRule="auto" w:after="0"/>
        <w:ind w:firstLine="720"/>
      </w:pPr>
      <w:r>
        <w:rPr>
          <w:rFonts w:ascii="Times New Roman" w:hAnsi="Times New Roman" w:eastAsia="Times New Roman"/>
          <w:sz w:val="24"/>
        </w:rPr>
        <w:t xml:space="preserve">Eloundou, T., Manning, S., Mishkin, P., &amp; Rock, D. (2024). GPTs are GPTs: Labor market impact potential of LLMs.</w:t>
      </w:r>
      <w:r>
        <w:rPr>
          <w:rFonts w:ascii="Times New Roman" w:hAnsi="Times New Roman" w:eastAsia="Times New Roman"/>
          <w:sz w:val="24"/>
        </w:rPr>
        <w:t xml:space="preserve"> </w:t>
      </w:r>
      <w:r>
        <w:rPr>
          <w:iCs/>
          <w:rFonts w:ascii="Times New Roman" w:hAnsi="Times New Roman" w:eastAsia="Times New Roman"/>
          <w:i/>
          <w:sz w:val="24"/>
        </w:rPr>
        <w:t xml:space="preserve">Science, 384</w:t>
      </w:r>
      <w:r>
        <w:rPr>
          <w:rFonts w:ascii="Times New Roman" w:hAnsi="Times New Roman" w:eastAsia="Times New Roman"/>
          <w:sz w:val="24"/>
        </w:rPr>
        <w:t xml:space="preserve">(6702), 1306–1308.</w:t>
      </w:r>
    </w:p>
    <w:p>
      <w:pPr>
        <w:pStyle w:val="BodyText"/>
        <w:spacing w:line="480" w:lineRule="auto" w:after="0"/>
        <w:ind w:firstLine="720"/>
      </w:pPr>
      <w:r>
        <w:rPr>
          <w:rFonts w:ascii="Times New Roman" w:hAnsi="Times New Roman" w:eastAsia="Times New Roman"/>
          <w:sz w:val="24"/>
        </w:rPr>
        <w:t xml:space="preserve">Eurostat. (2024).</w:t>
      </w:r>
      <w:r>
        <w:rPr>
          <w:rFonts w:ascii="Times New Roman" w:hAnsi="Times New Roman" w:eastAsia="Times New Roman"/>
          <w:sz w:val="24"/>
        </w:rPr>
        <w:t xml:space="preserve"> </w:t>
      </w:r>
      <w:r>
        <w:rPr>
          <w:iCs/>
          <w:rFonts w:ascii="Times New Roman" w:hAnsi="Times New Roman" w:eastAsia="Times New Roman"/>
          <w:i/>
          <w:sz w:val="24"/>
        </w:rPr>
        <w:t xml:space="preserve">ICT usage in enterprises: Artificial intelligence (isoc_eb_ain2); national accounts (nama_10_a64); structural business statistics (sbs_ovw_act, sbs_sc_ovw)</w:t>
      </w:r>
      <w:r>
        <w:rPr>
          <w:rFonts w:ascii="Times New Roman" w:hAnsi="Times New Roman" w:eastAsia="Times New Roman"/>
          <w:sz w:val="24"/>
        </w:rPr>
        <w:t xml:space="preserve">. European Commission.</w:t>
      </w:r>
    </w:p>
    <w:p>
      <w:pPr>
        <w:pStyle w:val="BodyText"/>
        <w:spacing w:line="480" w:lineRule="auto" w:after="0"/>
        <w:ind w:firstLine="720"/>
      </w:pPr>
      <w:r>
        <w:rPr>
          <w:rFonts w:ascii="Times New Roman" w:hAnsi="Times New Roman" w:eastAsia="Times New Roman"/>
          <w:sz w:val="24"/>
        </w:rPr>
        <w:t xml:space="preserve">Felten, E., Raj, M., &amp; Seamans, R. (2018). A method to link advances in artificial intelligence to occupational abilities.</w:t>
      </w:r>
      <w:r>
        <w:rPr>
          <w:rFonts w:ascii="Times New Roman" w:hAnsi="Times New Roman" w:eastAsia="Times New Roman"/>
          <w:sz w:val="24"/>
        </w:rPr>
        <w:t xml:space="preserve"> </w:t>
      </w:r>
      <w:r>
        <w:rPr>
          <w:iCs/>
          <w:rFonts w:ascii="Times New Roman" w:hAnsi="Times New Roman" w:eastAsia="Times New Roman"/>
          <w:i/>
          <w:sz w:val="24"/>
        </w:rPr>
        <w:t xml:space="preserve">AEA Papers and Proceedings, 108</w:t>
      </w:r>
      <w:r>
        <w:rPr>
          <w:rFonts w:ascii="Times New Roman" w:hAnsi="Times New Roman" w:eastAsia="Times New Roman"/>
          <w:sz w:val="24"/>
        </w:rPr>
        <w:t xml:space="preserve">, 54–57.</w:t>
      </w:r>
    </w:p>
    <w:p>
      <w:pPr>
        <w:pStyle w:val="BodyText"/>
        <w:spacing w:line="480" w:lineRule="auto" w:after="0"/>
        <w:ind w:firstLine="720"/>
      </w:pPr>
      <w:r>
        <w:rPr>
          <w:rFonts w:ascii="Times New Roman" w:hAnsi="Times New Roman" w:eastAsia="Times New Roman"/>
          <w:sz w:val="24"/>
        </w:rPr>
        <w:t xml:space="preserve">Felten, E., Raj, M., &amp; Seamans, R. (2021). Occupational, industry, and geographic exposure to artificial intelligence: A novel dataset and its potential uses.</w:t>
      </w:r>
      <w:r>
        <w:rPr>
          <w:rFonts w:ascii="Times New Roman" w:hAnsi="Times New Roman" w:eastAsia="Times New Roman"/>
          <w:sz w:val="24"/>
        </w:rPr>
        <w:t xml:space="preserve"> </w:t>
      </w:r>
      <w:r>
        <w:rPr>
          <w:iCs/>
          <w:rFonts w:ascii="Times New Roman" w:hAnsi="Times New Roman" w:eastAsia="Times New Roman"/>
          <w:i/>
          <w:sz w:val="24"/>
        </w:rPr>
        <w:t xml:space="preserve">Strategic Management Journal, 42</w:t>
      </w:r>
      <w:r>
        <w:rPr>
          <w:rFonts w:ascii="Times New Roman" w:hAnsi="Times New Roman" w:eastAsia="Times New Roman"/>
          <w:sz w:val="24"/>
        </w:rPr>
        <w:t xml:space="preserve">(12), 2195–2217.</w:t>
      </w:r>
    </w:p>
    <w:p>
      <w:pPr>
        <w:pStyle w:val="BodyText"/>
        <w:spacing w:line="480" w:lineRule="auto" w:after="0"/>
        <w:ind w:firstLine="720"/>
      </w:pPr>
      <w:r>
        <w:rPr>
          <w:rFonts w:ascii="Times New Roman" w:hAnsi="Times New Roman" w:eastAsia="Times New Roman"/>
          <w:sz w:val="24"/>
        </w:rPr>
        <w:t xml:space="preserve">Fortanier, F., Liberatore, A., Maurer, A., &amp; Pilgrim, G. (2017).</w:t>
      </w:r>
      <w:r>
        <w:rPr>
          <w:rFonts w:ascii="Times New Roman" w:hAnsi="Times New Roman" w:eastAsia="Times New Roman"/>
          <w:sz w:val="24"/>
        </w:rPr>
        <w:t xml:space="preserve"> </w:t>
      </w:r>
      <w:r>
        <w:rPr>
          <w:iCs/>
          <w:rFonts w:ascii="Times New Roman" w:hAnsi="Times New Roman" w:eastAsia="Times New Roman"/>
          <w:i/>
          <w:sz w:val="24"/>
        </w:rPr>
        <w:t xml:space="preserve">The OECD–WTO Balanced Trade in Services database</w:t>
      </w:r>
      <w:r>
        <w:rPr>
          <w:rFonts w:ascii="Times New Roman" w:hAnsi="Times New Roman" w:eastAsia="Times New Roman"/>
          <w:sz w:val="24"/>
        </w:rPr>
        <w:t xml:space="preserve">. OECD/WTO.</w:t>
      </w:r>
    </w:p>
    <w:p>
      <w:pPr>
        <w:pStyle w:val="BodyText"/>
        <w:spacing w:line="480" w:lineRule="auto" w:after="0"/>
        <w:ind w:firstLine="720"/>
      </w:pPr>
      <w:r>
        <w:rPr>
          <w:rFonts w:ascii="Times New Roman" w:hAnsi="Times New Roman" w:eastAsia="Times New Roman"/>
          <w:sz w:val="24"/>
        </w:rPr>
        <w:t xml:space="preserve">Francois, J., &amp; Hoekman, B. (2010). Services trade and policy.</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Literature, 48</w:t>
      </w:r>
      <w:r>
        <w:rPr>
          <w:rFonts w:ascii="Times New Roman" w:hAnsi="Times New Roman" w:eastAsia="Times New Roman"/>
          <w:sz w:val="24"/>
        </w:rPr>
        <w:t xml:space="preserve">(3), 642–692.</w:t>
      </w:r>
    </w:p>
    <w:p>
      <w:pPr>
        <w:pStyle w:val="BodyText"/>
        <w:spacing w:line="480" w:lineRule="auto" w:after="0"/>
        <w:ind w:firstLine="720"/>
      </w:pPr>
      <w:r>
        <w:rPr>
          <w:rFonts w:ascii="Times New Roman" w:hAnsi="Times New Roman" w:eastAsia="Times New Roman"/>
          <w:sz w:val="24"/>
        </w:rPr>
        <w:t xml:space="preserve">Gann, D. M., &amp; Salter, A. J. (2000). Innovation in project-based, service-enhanced firms: The construction of complex products and systems.</w:t>
      </w:r>
      <w:r>
        <w:rPr>
          <w:rFonts w:ascii="Times New Roman" w:hAnsi="Times New Roman" w:eastAsia="Times New Roman"/>
          <w:sz w:val="24"/>
        </w:rPr>
        <w:t xml:space="preserve"> </w:t>
      </w:r>
      <w:r>
        <w:rPr>
          <w:iCs/>
          <w:rFonts w:ascii="Times New Roman" w:hAnsi="Times New Roman" w:eastAsia="Times New Roman"/>
          <w:i/>
          <w:sz w:val="24"/>
        </w:rPr>
        <w:t xml:space="preserve">Research Policy, 29</w:t>
      </w:r>
      <w:r>
        <w:rPr>
          <w:rFonts w:ascii="Times New Roman" w:hAnsi="Times New Roman" w:eastAsia="Times New Roman"/>
          <w:sz w:val="24"/>
        </w:rPr>
        <w:t xml:space="preserve">(7–8), 955–972.</w:t>
      </w:r>
    </w:p>
    <w:p>
      <w:pPr>
        <w:pStyle w:val="BodyText"/>
        <w:spacing w:line="480" w:lineRule="auto" w:after="0"/>
        <w:ind w:firstLine="720"/>
      </w:pPr>
      <w:r>
        <w:rPr>
          <w:rFonts w:ascii="Times New Roman" w:hAnsi="Times New Roman" w:eastAsia="Times New Roman"/>
          <w:sz w:val="24"/>
        </w:rPr>
        <w:t xml:space="preserve">Grossman, G. M., &amp; Rossi-Hansberg, E. (2008). Trading tasks: A simple theory of offshoring.</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98</w:t>
      </w:r>
      <w:r>
        <w:rPr>
          <w:rFonts w:ascii="Times New Roman" w:hAnsi="Times New Roman" w:eastAsia="Times New Roman"/>
          <w:sz w:val="24"/>
        </w:rPr>
        <w:t xml:space="preserve">(5), 1978–1997.</w:t>
      </w:r>
    </w:p>
    <w:p>
      <w:pPr>
        <w:pStyle w:val="BodyText"/>
        <w:spacing w:line="480" w:lineRule="auto" w:after="0"/>
        <w:ind w:firstLine="720"/>
      </w:pPr>
      <w:r>
        <w:rPr>
          <w:rFonts w:ascii="Times New Roman" w:hAnsi="Times New Roman" w:eastAsia="Times New Roman"/>
          <w:sz w:val="24"/>
        </w:rPr>
        <w:t xml:space="preserve">Hui, X., Reshef, O., &amp; Zhou, L. (2024). The short-term effects of generative artificial intelligence on employment: Evidence from an online labor market.</w:t>
      </w:r>
      <w:r>
        <w:rPr>
          <w:rFonts w:ascii="Times New Roman" w:hAnsi="Times New Roman" w:eastAsia="Times New Roman"/>
          <w:sz w:val="24"/>
        </w:rPr>
        <w:t xml:space="preserve"> </w:t>
      </w:r>
      <w:r>
        <w:rPr>
          <w:iCs/>
          <w:rFonts w:ascii="Times New Roman" w:hAnsi="Times New Roman" w:eastAsia="Times New Roman"/>
          <w:i/>
          <w:sz w:val="24"/>
        </w:rPr>
        <w:t xml:space="preserve">Organization Science</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ILO. (n.d.).</w:t>
      </w:r>
      <w:r>
        <w:rPr>
          <w:rFonts w:ascii="Times New Roman" w:hAnsi="Times New Roman" w:eastAsia="Times New Roman"/>
          <w:sz w:val="24"/>
        </w:rPr>
        <w:t xml:space="preserve"> </w:t>
      </w:r>
      <w:r>
        <w:rPr>
          <w:iCs/>
          <w:rFonts w:ascii="Times New Roman" w:hAnsi="Times New Roman" w:eastAsia="Times New Roman"/>
          <w:i/>
          <w:sz w:val="24"/>
        </w:rPr>
        <w:t xml:space="preserve">ILOSTAT: Employment by sex and economic activity</w:t>
      </w:r>
      <w:r>
        <w:rPr>
          <w:rFonts w:ascii="Times New Roman" w:hAnsi="Times New Roman" w:eastAsia="Times New Roman"/>
          <w:sz w:val="24"/>
        </w:rPr>
        <w:t xml:space="preserve">. International Labour Organization.</w:t>
      </w:r>
    </w:p>
    <w:p>
      <w:pPr>
        <w:pStyle w:val="BodyText"/>
        <w:spacing w:line="480" w:lineRule="auto" w:after="0"/>
        <w:ind w:firstLine="720"/>
      </w:pPr>
      <w:r>
        <w:rPr>
          <w:rFonts w:ascii="Times New Roman" w:hAnsi="Times New Roman" w:eastAsia="Times New Roman"/>
          <w:sz w:val="24"/>
        </w:rPr>
        <w:t xml:space="preserve">Korinek, A., &amp; Stiglitz, J. E. (2021). Artificial intelligence, globalization, and strategies for economic development (NBER Working Paper 28453).</w:t>
      </w:r>
    </w:p>
    <w:p>
      <w:pPr>
        <w:pStyle w:val="BodyText"/>
        <w:spacing w:line="480" w:lineRule="auto" w:after="0"/>
        <w:ind w:firstLine="720"/>
      </w:pPr>
      <w:r>
        <w:rPr>
          <w:rFonts w:ascii="Times New Roman" w:hAnsi="Times New Roman" w:eastAsia="Times New Roman"/>
          <w:sz w:val="24"/>
        </w:rPr>
        <w:t xml:space="preserve">Loungani, P., Mishra, S., Papageorgiou, C., &amp; Wang, K. (2017). World trade in services: Evidence from a new dataset (IMF Working Paper 17/77).</w:t>
      </w:r>
    </w:p>
    <w:p>
      <w:pPr>
        <w:pStyle w:val="BodyText"/>
        <w:spacing w:line="480" w:lineRule="auto" w:after="0"/>
        <w:ind w:firstLine="720"/>
      </w:pPr>
      <w:r>
        <w:rPr>
          <w:rFonts w:ascii="Times New Roman" w:hAnsi="Times New Roman" w:eastAsia="Times New Roman"/>
          <w:sz w:val="24"/>
        </w:rPr>
        <w:t xml:space="preserve">Noy, S., &amp; Zhang, W. (2023). Experimental evidence on the productivity effects of generative artificial intelligence.</w:t>
      </w:r>
      <w:r>
        <w:rPr>
          <w:rFonts w:ascii="Times New Roman" w:hAnsi="Times New Roman" w:eastAsia="Times New Roman"/>
          <w:sz w:val="24"/>
        </w:rPr>
        <w:t xml:space="preserve"> </w:t>
      </w:r>
      <w:r>
        <w:rPr>
          <w:iCs/>
          <w:rFonts w:ascii="Times New Roman" w:hAnsi="Times New Roman" w:eastAsia="Times New Roman"/>
          <w:i/>
          <w:sz w:val="24"/>
        </w:rPr>
        <w:t xml:space="preserve">Science, 381</w:t>
      </w:r>
      <w:r>
        <w:rPr>
          <w:rFonts w:ascii="Times New Roman" w:hAnsi="Times New Roman" w:eastAsia="Times New Roman"/>
          <w:sz w:val="24"/>
        </w:rPr>
        <w:t xml:space="preserve">(6654), 187–192.</w:t>
      </w:r>
    </w:p>
    <w:p>
      <w:pPr>
        <w:pStyle w:val="BodyText"/>
        <w:spacing w:line="480" w:lineRule="auto" w:after="0"/>
        <w:ind w:firstLine="720"/>
      </w:pPr>
      <w:r>
        <w:rPr>
          <w:rFonts w:ascii="Times New Roman" w:hAnsi="Times New Roman" w:eastAsia="Times New Roman"/>
          <w:sz w:val="24"/>
        </w:rPr>
        <w:t xml:space="preserve">OECD &amp; WTO. (n.d.).</w:t>
      </w:r>
      <w:r>
        <w:rPr>
          <w:rFonts w:ascii="Times New Roman" w:hAnsi="Times New Roman" w:eastAsia="Times New Roman"/>
          <w:sz w:val="24"/>
        </w:rPr>
        <w:t xml:space="preserve"> </w:t>
      </w:r>
      <w:r>
        <w:rPr>
          <w:iCs/>
          <w:rFonts w:ascii="Times New Roman" w:hAnsi="Times New Roman" w:eastAsia="Times New Roman"/>
          <w:i/>
          <w:sz w:val="24"/>
        </w:rPr>
        <w:t xml:space="preserve">BaTIS: Balanced Trade in Services dataset</w:t>
      </w:r>
      <w:r>
        <w:rPr>
          <w:rFonts w:ascii="Times New Roman" w:hAnsi="Times New Roman" w:eastAsia="Times New Roman"/>
          <w:sz w:val="24"/>
        </w:rPr>
        <w:t xml:space="preserve"> </w:t>
      </w:r>
      <w:r>
        <w:rPr>
          <w:rFonts w:ascii="Times New Roman" w:hAnsi="Times New Roman" w:eastAsia="Times New Roman"/>
          <w:sz w:val="24"/>
        </w:rPr>
        <w:t xml:space="preserve">(BPM6, adjustment B).</w:t>
      </w:r>
    </w:p>
    <w:p>
      <w:pPr>
        <w:pStyle w:val="BodyText"/>
        <w:spacing w:line="480" w:lineRule="auto" w:after="0"/>
        <w:ind w:firstLine="720"/>
      </w:pPr>
      <w:r>
        <w:rPr>
          <w:rFonts w:ascii="Times New Roman" w:hAnsi="Times New Roman" w:eastAsia="Times New Roman"/>
          <w:sz w:val="24"/>
        </w:rPr>
        <w:t xml:space="preserve">Peng, S., Kalliamvakou, E., Cihon, P., &amp; Demirer, M. (2023). The impact of AI on developer productivity: Evidence from GitHub Copilot. arXiv:2302.06590.</w:t>
      </w:r>
    </w:p>
    <w:p>
      <w:pPr>
        <w:pStyle w:val="BodyText"/>
        <w:spacing w:line="480" w:lineRule="auto" w:after="0"/>
        <w:ind w:firstLine="720"/>
      </w:pPr>
      <w:r>
        <w:rPr>
          <w:rFonts w:ascii="Times New Roman" w:hAnsi="Times New Roman" w:eastAsia="Times New Roman"/>
          <w:sz w:val="24"/>
        </w:rPr>
        <w:t xml:space="preserve">Sacks, R., Eastman, C., Lee, G., &amp; Teicholz, P. (2018).</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 for owners, designers, engineers, contractors, and facility managers</w:t>
      </w:r>
      <w:r>
        <w:rPr>
          <w:rFonts w:ascii="Times New Roman" w:hAnsi="Times New Roman" w:eastAsia="Times New Roman"/>
          <w:sz w:val="24"/>
        </w:rPr>
        <w:t xml:space="preserve"> </w:t>
      </w:r>
      <w:r>
        <w:rPr>
          <w:rFonts w:ascii="Times New Roman" w:hAnsi="Times New Roman" w:eastAsia="Times New Roman"/>
          <w:sz w:val="24"/>
        </w:rPr>
        <w:t xml:space="preserve">(3rd ed.). Wiley.</w:t>
      </w:r>
    </w:p>
    <w:p>
      <w:pPr>
        <w:pStyle w:val="BodyText"/>
        <w:spacing w:line="480" w:lineRule="auto" w:after="0"/>
        <w:ind w:firstLine="720"/>
      </w:pPr>
      <w:r>
        <w:rPr>
          <w:rFonts w:ascii="Times New Roman" w:hAnsi="Times New Roman" w:eastAsia="Times New Roman"/>
          <w:sz w:val="24"/>
        </w:rPr>
        <w:t xml:space="preserve">Webb, M. (2020).</w:t>
      </w:r>
      <w:r>
        <w:rPr>
          <w:rFonts w:ascii="Times New Roman" w:hAnsi="Times New Roman" w:eastAsia="Times New Roman"/>
          <w:sz w:val="24"/>
        </w:rPr>
        <w:t xml:space="preserve"> </w:t>
      </w:r>
      <w:r>
        <w:rPr>
          <w:iCs/>
          <w:rFonts w:ascii="Times New Roman" w:hAnsi="Times New Roman" w:eastAsia="Times New Roman"/>
          <w:i/>
          <w:sz w:val="24"/>
        </w:rPr>
        <w:t xml:space="preserve">The impact of artificial intelligence on the labor market</w:t>
      </w:r>
      <w:r>
        <w:rPr>
          <w:rFonts w:ascii="Times New Roman" w:hAnsi="Times New Roman" w:eastAsia="Times New Roman"/>
          <w:sz w:val="24"/>
        </w:rPr>
        <w:t xml:space="preserve">. Stanford University.</w:t>
      </w:r>
    </w:p>
    <w:p>
      <w:pPr>
        <w:pStyle w:val="BodyText"/>
        <w:spacing w:line="480" w:lineRule="auto" w:after="0"/>
        <w:ind w:firstLine="720"/>
      </w:pPr>
      <w:r>
        <w:rPr>
          <w:rFonts w:ascii="Times New Roman" w:hAnsi="Times New Roman" w:eastAsia="Times New Roman"/>
          <w:sz w:val="24"/>
        </w:rPr>
        <w:t xml:space="preserve">Whyte, J. (2019). How digital information transforms project delivery models.</w:t>
      </w:r>
      <w:r>
        <w:rPr>
          <w:rFonts w:ascii="Times New Roman" w:hAnsi="Times New Roman" w:eastAsia="Times New Roman"/>
          <w:sz w:val="24"/>
        </w:rPr>
        <w:t xml:space="preserve"> </w:t>
      </w:r>
      <w:r>
        <w:rPr>
          <w:iCs/>
          <w:rFonts w:ascii="Times New Roman" w:hAnsi="Times New Roman" w:eastAsia="Times New Roman"/>
          <w:i/>
          <w:sz w:val="24"/>
        </w:rPr>
        <w:t xml:space="preserve">Project Management Journal, 50</w:t>
      </w:r>
      <w:r>
        <w:rPr>
          <w:rFonts w:ascii="Times New Roman" w:hAnsi="Times New Roman" w:eastAsia="Times New Roman"/>
          <w:sz w:val="24"/>
        </w:rPr>
        <w:t xml:space="preserve">(2), 177–194.</w:t>
      </w:r>
    </w:p>
    <w:p>
      <w:pPr>
        <w:pStyle w:val="BodyText"/>
        <w:spacing w:line="480" w:lineRule="auto" w:after="0"/>
        <w:ind w:firstLine="720"/>
      </w:pPr>
      <w:r>
        <w:rPr>
          <w:rFonts w:ascii="Times New Roman" w:hAnsi="Times New Roman" w:eastAsia="Times New Roman"/>
          <w:sz w:val="24"/>
        </w:rPr>
        <w:t xml:space="preserve">Winch, G. M. (2010).</w:t>
      </w:r>
      <w:r>
        <w:rPr>
          <w:rFonts w:ascii="Times New Roman" w:hAnsi="Times New Roman" w:eastAsia="Times New Roman"/>
          <w:sz w:val="24"/>
        </w:rPr>
        <w:t xml:space="preserve"> </w:t>
      </w:r>
      <w:r>
        <w:rPr>
          <w:iCs/>
          <w:rFonts w:ascii="Times New Roman" w:hAnsi="Times New Roman" w:eastAsia="Times New Roman"/>
          <w:i/>
          <w:sz w:val="24"/>
        </w:rPr>
        <w:t xml:space="preserve">Managing construction projects</w:t>
      </w:r>
      <w:r>
        <w:rPr>
          <w:rFonts w:ascii="Times New Roman" w:hAnsi="Times New Roman" w:eastAsia="Times New Roman"/>
          <w:sz w:val="24"/>
        </w:rPr>
        <w:t xml:space="preserve"> </w:t>
      </w:r>
      <w:r>
        <w:rPr>
          <w:rFonts w:ascii="Times New Roman" w:hAnsi="Times New Roman" w:eastAsia="Times New Roman"/>
          <w:sz w:val="24"/>
        </w:rPr>
        <w:t xml:space="preserve">(2nd ed.). Wiley-Blackwell.</w:t>
      </w:r>
    </w:p>
    <w:p>
      <w:pPr>
        <w:pStyle w:val="BodyText"/>
        <w:spacing w:line="480" w:lineRule="auto" w:after="0"/>
        <w:ind w:firstLine="720"/>
      </w:pPr>
      <w:r>
        <w:rPr>
          <w:rFonts w:ascii="Times New Roman" w:hAnsi="Times New Roman" w:eastAsia="Times New Roman"/>
          <w:sz w:val="24"/>
        </w:rPr>
        <w:t xml:space="preserve">WTO. (1994).</w:t>
      </w:r>
      <w:r>
        <w:rPr>
          <w:rFonts w:ascii="Times New Roman" w:hAnsi="Times New Roman" w:eastAsia="Times New Roman"/>
          <w:sz w:val="24"/>
        </w:rPr>
        <w:t xml:space="preserve"> </w:t>
      </w:r>
      <w:r>
        <w:rPr>
          <w:iCs/>
          <w:rFonts w:ascii="Times New Roman" w:hAnsi="Times New Roman" w:eastAsia="Times New Roman"/>
          <w:i/>
          <w:sz w:val="24"/>
        </w:rPr>
        <w:t xml:space="preserve">General Agreement on Trade in Services</w:t>
      </w:r>
      <w:r>
        <w:rPr>
          <w:rFonts w:ascii="Times New Roman" w:hAnsi="Times New Roman" w:eastAsia="Times New Roman"/>
          <w:sz w:val="24"/>
        </w:rPr>
        <w:t xml:space="preserve">. World Trade Organization.</w:t>
      </w:r>
    </w:p>
    <w:bookmarkEnd w:id="53"/>
    <w:bookmarkStart w:id="54" w:name="tables"/>
    <w:p>
      <w:pPr>
        <w:pStyle w:val="Heading2"/>
        <w:spacing w:line="480" w:lineRule="auto"/>
        <w:ind w:firstLine="0"/>
      </w:pPr>
      <w:r>
        <w:rPr>
          <w:rFonts w:ascii="Times New Roman" w:hAnsi="Times New Roman" w:eastAsia="Times New Roman"/>
          <w:b/>
          <w:sz w:val="24"/>
        </w:rPr>
        <w:t xml:space="preserve">Tables</w:t>
      </w:r>
    </w:p>
    <w:p>
      <w:pPr>
        <w:pStyle w:val="FirstParagraph"/>
        <w:spacing w:line="480" w:lineRule="auto" w:after="0"/>
        <w:ind w:firstLine="0"/>
      </w:pPr>
      <w:r>
        <w:rPr>
          <w:bCs/>
          <w:b/>
        </w:rPr>
        <w:t xml:space="preserve">Table 1.</w:t>
      </w:r>
      <w:r>
        <w:t xml:space="preserve"> </w:t>
      </w:r>
      <w:r>
        <w:t xml:space="preserve">UK–India and UK–China service corridors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76" w:lineRule="auto"/>
              <w:ind w:firstLine="0"/>
              <w:jc w:val="left"/>
            </w:pPr>
            <w:r>
              <w:rPr>
                <w:rFonts w:ascii="Times New Roman" w:hAnsi="Times New Roman" w:eastAsia="Times New Roman"/>
                <w:sz w:val="20"/>
              </w:rPr>
              <w:t xml:space="preserve">Import flow</w:t>
            </w:r>
          </w:p>
        </w:tc>
        <w:tc>
          <w:tcPr/>
          <w:p>
            <w:pPr>
              <w:pStyle w:val="Compact"/>
              <w:spacing w:line="276" w:lineRule="auto"/>
              <w:ind w:firstLine="0"/>
              <w:jc w:val="left"/>
            </w:pPr>
            <w:r>
              <w:rPr>
                <w:rFonts w:ascii="Times New Roman" w:hAnsi="Times New Roman" w:eastAsia="Times New Roman"/>
                <w:sz w:val="20"/>
              </w:rPr>
              <w:t xml:space="preserve">Service</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2,186.6</w:t>
            </w:r>
          </w:p>
        </w:tc>
        <w:tc>
          <w:tcPr/>
          <w:p>
            <w:pPr>
              <w:pStyle w:val="Compact"/>
              <w:spacing w:line="276" w:lineRule="auto"/>
              <w:ind w:firstLine="0"/>
              <w:jc w:val="left"/>
            </w:pPr>
            <w:r>
              <w:rPr>
                <w:rFonts w:ascii="Times New Roman" w:hAnsi="Times New Roman" w:eastAsia="Times New Roman"/>
                <w:sz w:val="20"/>
              </w:rPr>
              <w:t xml:space="preserve">4,979.3</w:t>
            </w:r>
          </w:p>
        </w:tc>
        <w:tc>
          <w:tcPr/>
          <w:p>
            <w:pPr>
              <w:pStyle w:val="Compact"/>
              <w:spacing w:line="276" w:lineRule="auto"/>
              <w:ind w:firstLine="0"/>
              <w:jc w:val="left"/>
            </w:pPr>
            <w:r>
              <w:rPr>
                <w:rFonts w:ascii="Times New Roman" w:hAnsi="Times New Roman" w:eastAsia="Times New Roman"/>
                <w:sz w:val="20"/>
              </w:rPr>
              <w:t xml:space="preserve">127.7%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787.6</w:t>
            </w:r>
          </w:p>
        </w:tc>
        <w:tc>
          <w:tcPr/>
          <w:p>
            <w:pPr>
              <w:pStyle w:val="Compact"/>
              <w:spacing w:line="276" w:lineRule="auto"/>
              <w:ind w:firstLine="0"/>
              <w:jc w:val="left"/>
            </w:pPr>
            <w:r>
              <w:rPr>
                <w:rFonts w:ascii="Times New Roman" w:hAnsi="Times New Roman" w:eastAsia="Times New Roman"/>
                <w:sz w:val="20"/>
              </w:rPr>
              <w:t xml:space="preserve">1,554.2</w:t>
            </w:r>
          </w:p>
        </w:tc>
        <w:tc>
          <w:tcPr/>
          <w:p>
            <w:pPr>
              <w:pStyle w:val="Compact"/>
              <w:spacing w:line="276" w:lineRule="auto"/>
              <w:ind w:firstLine="0"/>
              <w:jc w:val="left"/>
            </w:pPr>
            <w:r>
              <w:rPr>
                <w:rFonts w:ascii="Times New Roman" w:hAnsi="Times New Roman" w:eastAsia="Times New Roman"/>
                <w:sz w:val="20"/>
              </w:rPr>
              <w:t xml:space="preserve">97.3%</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775.5</w:t>
            </w:r>
          </w:p>
        </w:tc>
        <w:tc>
          <w:tcPr/>
          <w:p>
            <w:pPr>
              <w:pStyle w:val="Compact"/>
              <w:spacing w:line="276" w:lineRule="auto"/>
              <w:ind w:firstLine="0"/>
              <w:jc w:val="left"/>
            </w:pPr>
            <w:r>
              <w:rPr>
                <w:rFonts w:ascii="Times New Roman" w:hAnsi="Times New Roman" w:eastAsia="Times New Roman"/>
                <w:sz w:val="20"/>
              </w:rPr>
              <w:t xml:space="preserve">1,546.0</w:t>
            </w:r>
          </w:p>
        </w:tc>
        <w:tc>
          <w:tcPr/>
          <w:p>
            <w:pPr>
              <w:pStyle w:val="Compact"/>
              <w:spacing w:line="276" w:lineRule="auto"/>
              <w:ind w:firstLine="0"/>
              <w:jc w:val="left"/>
            </w:pPr>
            <w:r>
              <w:rPr>
                <w:rFonts w:ascii="Times New Roman" w:hAnsi="Times New Roman" w:eastAsia="Times New Roman"/>
                <w:sz w:val="20"/>
              </w:rPr>
              <w:t xml:space="preserve">99.3%</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739.0</w:t>
            </w:r>
          </w:p>
        </w:tc>
        <w:tc>
          <w:tcPr/>
          <w:p>
            <w:pPr>
              <w:pStyle w:val="Compact"/>
              <w:spacing w:line="276" w:lineRule="auto"/>
              <w:ind w:firstLine="0"/>
              <w:jc w:val="left"/>
            </w:pPr>
            <w:r>
              <w:rPr>
                <w:rFonts w:ascii="Times New Roman" w:hAnsi="Times New Roman" w:eastAsia="Times New Roman"/>
                <w:sz w:val="20"/>
              </w:rPr>
              <w:t xml:space="preserve">954.6</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41.9</w:t>
            </w:r>
          </w:p>
        </w:tc>
        <w:tc>
          <w:tcPr/>
          <w:p>
            <w:pPr>
              <w:pStyle w:val="Compact"/>
              <w:spacing w:line="276" w:lineRule="auto"/>
              <w:ind w:firstLine="0"/>
              <w:jc w:val="left"/>
            </w:pPr>
            <w:r>
              <w:rPr>
                <w:rFonts w:ascii="Times New Roman" w:hAnsi="Times New Roman" w:eastAsia="Times New Roman"/>
                <w:sz w:val="20"/>
              </w:rPr>
              <w:t xml:space="preserve">72.8</w:t>
            </w:r>
          </w:p>
        </w:tc>
        <w:tc>
          <w:tcPr/>
          <w:p>
            <w:pPr>
              <w:pStyle w:val="Compact"/>
              <w:spacing w:line="276" w:lineRule="auto"/>
              <w:ind w:firstLine="0"/>
              <w:jc w:val="left"/>
            </w:pPr>
            <w:r>
              <w:rPr>
                <w:rFonts w:ascii="Times New Roman" w:hAnsi="Times New Roman" w:eastAsia="Times New Roman"/>
                <w:sz w:val="20"/>
              </w:rPr>
              <w:t xml:space="preserve">73.7%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39.3</w:t>
            </w:r>
          </w:p>
        </w:tc>
        <w:tc>
          <w:tcPr/>
          <w:p>
            <w:pPr>
              <w:pStyle w:val="Compact"/>
              <w:spacing w:line="276" w:lineRule="auto"/>
              <w:ind w:firstLine="0"/>
              <w:jc w:val="left"/>
            </w:pPr>
            <w:r>
              <w:rPr>
                <w:rFonts w:ascii="Times New Roman" w:hAnsi="Times New Roman" w:eastAsia="Times New Roman"/>
                <w:sz w:val="20"/>
              </w:rPr>
              <w:t xml:space="preserve">72.6</w:t>
            </w:r>
          </w:p>
        </w:tc>
        <w:tc>
          <w:tcPr/>
          <w:p>
            <w:pPr>
              <w:pStyle w:val="Compact"/>
              <w:spacing w:line="276" w:lineRule="auto"/>
              <w:ind w:firstLine="0"/>
              <w:jc w:val="left"/>
            </w:pPr>
            <w:r>
              <w:rPr>
                <w:rFonts w:ascii="Times New Roman" w:hAnsi="Times New Roman" w:eastAsia="Times New Roman"/>
                <w:sz w:val="20"/>
              </w:rPr>
              <w:t xml:space="preserve">84.8%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118.5</w:t>
            </w:r>
          </w:p>
        </w:tc>
        <w:tc>
          <w:tcPr/>
          <w:p>
            <w:pPr>
              <w:pStyle w:val="Compact"/>
              <w:spacing w:line="276" w:lineRule="auto"/>
              <w:ind w:firstLine="0"/>
              <w:jc w:val="left"/>
            </w:pPr>
            <w:r>
              <w:rPr>
                <w:rFonts w:ascii="Times New Roman" w:hAnsi="Times New Roman" w:eastAsia="Times New Roman"/>
                <w:sz w:val="20"/>
              </w:rPr>
              <w:t xml:space="preserve">179.8</w:t>
            </w:r>
          </w:p>
        </w:tc>
        <w:tc>
          <w:tcPr/>
          <w:p>
            <w:pPr>
              <w:pStyle w:val="Compact"/>
              <w:spacing w:line="276" w:lineRule="auto"/>
              <w:ind w:firstLine="0"/>
              <w:jc w:val="left"/>
            </w:pPr>
            <w:r>
              <w:rPr>
                <w:rFonts w:ascii="Times New Roman" w:hAnsi="Times New Roman" w:eastAsia="Times New Roman"/>
                <w:sz w:val="20"/>
              </w:rPr>
              <w:t xml:space="preserve">51.7%</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54.8</w:t>
            </w:r>
          </w:p>
        </w:tc>
        <w:tc>
          <w:tcPr/>
          <w:p>
            <w:pPr>
              <w:pStyle w:val="Compact"/>
              <w:spacing w:line="276" w:lineRule="auto"/>
              <w:ind w:firstLine="0"/>
              <w:jc w:val="left"/>
            </w:pPr>
            <w:r>
              <w:rPr>
                <w:rFonts w:ascii="Times New Roman" w:hAnsi="Times New Roman" w:eastAsia="Times New Roman"/>
                <w:sz w:val="20"/>
              </w:rPr>
              <w:t xml:space="preserve">70.8</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2,215.3</w:t>
            </w:r>
          </w:p>
        </w:tc>
        <w:tc>
          <w:tcPr/>
          <w:p>
            <w:pPr>
              <w:pStyle w:val="Compact"/>
              <w:spacing w:line="276" w:lineRule="auto"/>
              <w:ind w:firstLine="0"/>
              <w:jc w:val="left"/>
            </w:pPr>
            <w:r>
              <w:rPr>
                <w:rFonts w:ascii="Times New Roman" w:hAnsi="Times New Roman" w:eastAsia="Times New Roman"/>
                <w:sz w:val="20"/>
              </w:rPr>
              <w:t xml:space="preserve">4,723.0</w:t>
            </w:r>
          </w:p>
        </w:tc>
        <w:tc>
          <w:tcPr/>
          <w:p>
            <w:pPr>
              <w:pStyle w:val="Compact"/>
              <w:spacing w:line="276" w:lineRule="auto"/>
              <w:ind w:firstLine="0"/>
              <w:jc w:val="left"/>
            </w:pPr>
            <w:r>
              <w:rPr>
                <w:rFonts w:ascii="Times New Roman" w:hAnsi="Times New Roman" w:eastAsia="Times New Roman"/>
                <w:sz w:val="20"/>
              </w:rPr>
              <w:t xml:space="preserve">113.2%</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389.2</w:t>
            </w:r>
          </w:p>
        </w:tc>
        <w:tc>
          <w:tcPr/>
          <w:p>
            <w:pPr>
              <w:pStyle w:val="Compact"/>
              <w:spacing w:line="276" w:lineRule="auto"/>
              <w:ind w:firstLine="0"/>
              <w:jc w:val="left"/>
            </w:pPr>
            <w:r>
              <w:rPr>
                <w:rFonts w:ascii="Times New Roman" w:hAnsi="Times New Roman" w:eastAsia="Times New Roman"/>
                <w:sz w:val="20"/>
              </w:rPr>
              <w:t xml:space="preserve">707.6</w:t>
            </w:r>
          </w:p>
        </w:tc>
        <w:tc>
          <w:tcPr/>
          <w:p>
            <w:pPr>
              <w:pStyle w:val="Compact"/>
              <w:spacing w:line="276" w:lineRule="auto"/>
              <w:ind w:firstLine="0"/>
              <w:jc w:val="left"/>
            </w:pPr>
            <w:r>
              <w:rPr>
                <w:rFonts w:ascii="Times New Roman" w:hAnsi="Times New Roman" w:eastAsia="Times New Roman"/>
                <w:sz w:val="20"/>
              </w:rPr>
              <w:t xml:space="preserve">81.8%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724.7</w:t>
            </w:r>
          </w:p>
        </w:tc>
        <w:tc>
          <w:tcPr/>
          <w:p>
            <w:pPr>
              <w:pStyle w:val="Compact"/>
              <w:spacing w:line="276" w:lineRule="auto"/>
              <w:ind w:firstLine="0"/>
              <w:jc w:val="left"/>
            </w:pPr>
            <w:r>
              <w:rPr>
                <w:rFonts w:ascii="Times New Roman" w:hAnsi="Times New Roman" w:eastAsia="Times New Roman"/>
                <w:sz w:val="20"/>
              </w:rPr>
              <w:t xml:space="preserve">1,054.5</w:t>
            </w:r>
          </w:p>
        </w:tc>
        <w:tc>
          <w:tcPr/>
          <w:p>
            <w:pPr>
              <w:pStyle w:val="Compact"/>
              <w:spacing w:line="276" w:lineRule="auto"/>
              <w:ind w:firstLine="0"/>
              <w:jc w:val="left"/>
            </w:pPr>
            <w:r>
              <w:rPr>
                <w:rFonts w:ascii="Times New Roman" w:hAnsi="Times New Roman" w:eastAsia="Times New Roman"/>
                <w:sz w:val="20"/>
              </w:rPr>
              <w:t xml:space="preserve">45.5%</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1,639.3</w:t>
            </w:r>
          </w:p>
        </w:tc>
        <w:tc>
          <w:tcPr/>
          <w:p>
            <w:pPr>
              <w:pStyle w:val="Compact"/>
              <w:spacing w:line="276" w:lineRule="auto"/>
              <w:ind w:firstLine="0"/>
              <w:jc w:val="left"/>
            </w:pPr>
            <w:r>
              <w:rPr>
                <w:rFonts w:ascii="Times New Roman" w:hAnsi="Times New Roman" w:eastAsia="Times New Roman"/>
                <w:sz w:val="20"/>
              </w:rPr>
              <w:t xml:space="preserve">2,404.1</w:t>
            </w:r>
          </w:p>
        </w:tc>
        <w:tc>
          <w:tcPr/>
          <w:p>
            <w:pPr>
              <w:pStyle w:val="Compact"/>
              <w:spacing w:line="276" w:lineRule="auto"/>
              <w:ind w:firstLine="0"/>
              <w:jc w:val="left"/>
            </w:pPr>
            <w:r>
              <w:rPr>
                <w:rFonts w:ascii="Times New Roman" w:hAnsi="Times New Roman" w:eastAsia="Times New Roman"/>
                <w:sz w:val="20"/>
              </w:rPr>
              <w:t xml:space="preserve">46.7%</w:t>
            </w:r>
          </w:p>
        </w:tc>
      </w:tr>
    </w:tbl>
    <w:p>
      <w:pPr>
        <w:pStyle w:val="BodyText"/>
        <w:spacing w:line="480" w:lineRule="auto" w:after="0"/>
        <w:ind w:firstLine="0"/>
      </w:pPr>
      <w:r>
        <w:rPr>
          <w:iCs/>
          <w:i/>
        </w:rPr>
        <w:t xml:space="preserve">Note.</w:t>
      </w:r>
      <w:r>
        <w:t xml:space="preserve"> </w:t>
      </w:r>
      <w:r>
        <w:t xml:space="preserve">Source: OECD–WTO BaTIS, adjustment B. Values are balanced imports in current USD million.</w:t>
      </w:r>
    </w:p>
    <w:p>
      <w:pPr>
        <w:pStyle w:val="BodyText"/>
        <w:spacing w:line="480" w:lineRule="auto" w:after="0"/>
        <w:ind w:firstLine="0"/>
      </w:pPr>
      <w:r>
        <w:rPr>
          <w:bCs/>
          <w:b/>
        </w:rPr>
        <w:t xml:space="preserve">Table 2.</w:t>
      </w:r>
      <w:r>
        <w:t xml:space="preserve"> </w:t>
      </w:r>
      <w:r>
        <w:t xml:space="preserve">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Industry</w:t>
            </w:r>
          </w:p>
        </w:tc>
        <w:tc>
          <w:tcPr/>
          <w:p>
            <w:pPr>
              <w:pStyle w:val="Compact"/>
              <w:spacing w:line="276" w:lineRule="auto"/>
              <w:ind w:firstLine="0"/>
              <w:jc w:val="left"/>
            </w:pPr>
            <w:r>
              <w:rPr>
                <w:rFonts w:ascii="Times New Roman" w:hAnsi="Times New Roman" w:eastAsia="Times New Roman"/>
                <w:sz w:val="20"/>
              </w:rPr>
              <w:t xml:space="preserve">2023</w:t>
            </w:r>
          </w:p>
        </w:tc>
        <w:tc>
          <w:tcPr/>
          <w:p>
            <w:pPr>
              <w:pStyle w:val="Compact"/>
              <w:spacing w:line="276" w:lineRule="auto"/>
              <w:ind w:firstLine="0"/>
              <w:jc w:val="left"/>
            </w:pPr>
            <w:r>
              <w:rPr>
                <w:rFonts w:ascii="Times New Roman" w:hAnsi="Times New Roman" w:eastAsia="Times New Roman"/>
                <w:sz w:val="20"/>
              </w:rPr>
              <w:t xml:space="preserve">2024</w:t>
            </w:r>
          </w:p>
        </w:tc>
        <w:tc>
          <w:tcPr/>
          <w:p>
            <w:pPr>
              <w:pStyle w:val="Compact"/>
              <w:spacing w:line="276" w:lineRule="auto"/>
              <w:ind w:firstLine="0"/>
              <w:jc w:val="left"/>
            </w:pPr>
            <w:r>
              <w:rPr>
                <w:rFonts w:ascii="Times New Roman" w:hAnsi="Times New Roman" w:eastAsia="Times New Roman"/>
                <w:sz w:val="20"/>
              </w:rPr>
              <w:t xml:space="preserve">2025</w:t>
            </w:r>
          </w:p>
        </w:tc>
      </w:tr>
      <w:tr>
        <w:tc>
          <w:tcPr/>
          <w:p>
            <w:pPr>
              <w:pStyle w:val="Compact"/>
              <w:spacing w:line="276" w:lineRule="auto"/>
              <w:ind w:firstLine="0"/>
              <w:jc w:val="left"/>
            </w:pPr>
            <w:r>
              <w:rPr>
                <w:rFonts w:ascii="Times New Roman" w:hAnsi="Times New Roman" w:eastAsia="Times New Roman"/>
                <w:sz w:val="20"/>
              </w:rPr>
              <w:t xml:space="preserve">NACE M professional services</w:t>
            </w:r>
          </w:p>
        </w:tc>
        <w:tc>
          <w:tcPr/>
          <w:p>
            <w:pPr>
              <w:pStyle w:val="Compact"/>
              <w:spacing w:line="276" w:lineRule="auto"/>
              <w:ind w:firstLine="0"/>
              <w:jc w:val="left"/>
            </w:pPr>
            <w:r>
              <w:rPr>
                <w:rFonts w:ascii="Times New Roman" w:hAnsi="Times New Roman" w:eastAsia="Times New Roman"/>
                <w:sz w:val="20"/>
              </w:rPr>
              <w:t xml:space="preserve">4.55%</w:t>
            </w:r>
          </w:p>
        </w:tc>
        <w:tc>
          <w:tcPr/>
          <w:p>
            <w:pPr>
              <w:pStyle w:val="Compact"/>
              <w:spacing w:line="276" w:lineRule="auto"/>
              <w:ind w:firstLine="0"/>
              <w:jc w:val="left"/>
            </w:pPr>
            <w:r>
              <w:rPr>
                <w:rFonts w:ascii="Times New Roman" w:hAnsi="Times New Roman" w:eastAsia="Times New Roman"/>
                <w:sz w:val="20"/>
              </w:rPr>
              <w:t xml:space="preserve">11.51%</w:t>
            </w:r>
          </w:p>
        </w:tc>
        <w:tc>
          <w:tcPr/>
          <w:p>
            <w:pPr>
              <w:pStyle w:val="Compact"/>
              <w:spacing w:line="276" w:lineRule="auto"/>
              <w:ind w:firstLine="0"/>
              <w:jc w:val="left"/>
            </w:pPr>
            <w:r>
              <w:rPr>
                <w:rFonts w:ascii="Times New Roman" w:hAnsi="Times New Roman" w:eastAsia="Times New Roman"/>
                <w:sz w:val="20"/>
              </w:rPr>
              <w:t xml:space="preserve">17.74%</w:t>
            </w:r>
          </w:p>
        </w:tc>
      </w:tr>
      <w:tr>
        <w:tc>
          <w:tcPr/>
          <w:p>
            <w:pPr>
              <w:pStyle w:val="Compact"/>
              <w:spacing w:line="276" w:lineRule="auto"/>
              <w:ind w:firstLine="0"/>
              <w:jc w:val="left"/>
            </w:pPr>
            <w:r>
              <w:rPr>
                <w:rFonts w:ascii="Times New Roman" w:hAnsi="Times New Roman" w:eastAsia="Times New Roman"/>
                <w:sz w:val="20"/>
              </w:rPr>
              <w:t xml:space="preserve">NACE F construction</w:t>
            </w:r>
          </w:p>
        </w:tc>
        <w:tc>
          <w:tcPr/>
          <w:p>
            <w:pPr>
              <w:pStyle w:val="Compact"/>
              <w:spacing w:line="276" w:lineRule="auto"/>
              <w:ind w:firstLine="0"/>
              <w:jc w:val="left"/>
            </w:pPr>
            <w:r>
              <w:rPr>
                <w:rFonts w:ascii="Times New Roman" w:hAnsi="Times New Roman" w:eastAsia="Times New Roman"/>
                <w:sz w:val="20"/>
              </w:rPr>
              <w:t xml:space="preserve">0.58%</w:t>
            </w:r>
          </w:p>
        </w:tc>
        <w:tc>
          <w:tcPr/>
          <w:p>
            <w:pPr>
              <w:pStyle w:val="Compact"/>
              <w:spacing w:line="276" w:lineRule="auto"/>
              <w:ind w:firstLine="0"/>
              <w:jc w:val="left"/>
            </w:pPr>
            <w:r>
              <w:rPr>
                <w:rFonts w:ascii="Times New Roman" w:hAnsi="Times New Roman" w:eastAsia="Times New Roman"/>
                <w:sz w:val="20"/>
              </w:rPr>
              <w:t xml:space="preserve">2.42%</w:t>
            </w:r>
          </w:p>
        </w:tc>
        <w:tc>
          <w:tcPr/>
          <w:p>
            <w:pPr>
              <w:pStyle w:val="Compact"/>
              <w:spacing w:line="276" w:lineRule="auto"/>
              <w:ind w:firstLine="0"/>
              <w:jc w:val="left"/>
            </w:pPr>
            <w:r>
              <w:rPr>
                <w:rFonts w:ascii="Times New Roman" w:hAnsi="Times New Roman" w:eastAsia="Times New Roman"/>
                <w:sz w:val="20"/>
              </w:rPr>
              <w:t xml:space="preserve">3.25%</w:t>
            </w:r>
          </w:p>
        </w:tc>
      </w:tr>
    </w:tbl>
    <w:p>
      <w:pPr>
        <w:pStyle w:val="BodyText"/>
        <w:spacing w:line="480" w:lineRule="auto" w:after="0"/>
        <w:ind w:firstLine="0"/>
      </w:pPr>
      <w:r>
        <w:rPr>
          <w:iCs/>
          <w:i/>
        </w:rPr>
        <w:t xml:space="preserve">Note.</w:t>
      </w:r>
      <w:r>
        <w:t xml:space="preserve"> </w:t>
      </w:r>
      <w:r>
        <w:t xml:space="preserve">Source: Eurostat isoc_eb_ain2, enterprises with at least ten persons.</w:t>
      </w:r>
    </w:p>
    <w:p>
      <w:pPr>
        <w:pStyle w:val="BodyText"/>
        <w:spacing w:line="480" w:lineRule="auto" w:after="0"/>
        <w:ind w:firstLine="0"/>
      </w:pPr>
      <w:r>
        <w:rPr>
          <w:bCs/>
          <w:b/>
        </w:rPr>
        <w:t xml:space="preserve">Table 3.</w:t>
      </w:r>
      <w:r>
        <w:t xml:space="preserve"> </w:t>
      </w:r>
      <w:r>
        <w:t xml:space="preserve">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Outcome/specification</w:t>
            </w:r>
          </w:p>
        </w:tc>
        <w:tc>
          <w:tcPr/>
          <w:p>
            <w:pPr>
              <w:pStyle w:val="Compact"/>
              <w:spacing w:line="276" w:lineRule="auto"/>
              <w:ind w:firstLine="0"/>
              <w:jc w:val="left"/>
            </w:pPr>
            <w:r>
              <w:rPr>
                <w:rFonts w:ascii="Times New Roman" w:hAnsi="Times New Roman" w:eastAsia="Times New Roman"/>
                <w:sz w:val="20"/>
              </w:rPr>
              <w:t xml:space="preserve">Coefficient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Indian SJ3, Post × ΔM TNLG</w:t>
            </w:r>
          </w:p>
        </w:tc>
        <w:tc>
          <w:tcPr/>
          <w:p>
            <w:pPr>
              <w:pStyle w:val="Compact"/>
              <w:spacing w:line="276" w:lineRule="auto"/>
              <w:ind w:firstLine="0"/>
              <w:jc w:val="left"/>
            </w:pPr>
            <w:r>
              <w:rPr>
                <w:rFonts w:ascii="Times New Roman" w:hAnsi="Times New Roman" w:eastAsia="Times New Roman"/>
                <w:sz w:val="20"/>
              </w:rPr>
              <w:t xml:space="preserve">0.021*** (0.008)</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Pooled Mode-1 SJ3, Post-2024 × ΔM TNLG</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Chinese construction services (SE)</w:t>
            </w:r>
          </w:p>
        </w:tc>
        <w:tc>
          <w:tcPr/>
          <w:p>
            <w:pPr>
              <w:pStyle w:val="Compact"/>
              <w:spacing w:line="276" w:lineRule="auto"/>
              <w:ind w:firstLine="0"/>
              <w:jc w:val="left"/>
            </w:pPr>
            <w:r>
              <w:rPr>
                <w:rFonts w:ascii="Times New Roman" w:hAnsi="Times New Roman" w:eastAsia="Times New Roman"/>
                <w:sz w:val="20"/>
              </w:rPr>
              <w:t xml:space="preserve">−0.008 (0.009)</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Chinese SJ3</w:t>
            </w:r>
          </w:p>
        </w:tc>
        <w:tc>
          <w:tcPr/>
          <w:p>
            <w:pPr>
              <w:pStyle w:val="Compact"/>
              <w:spacing w:line="276" w:lineRule="auto"/>
              <w:ind w:firstLine="0"/>
              <w:jc w:val="left"/>
            </w:pPr>
            <w:r>
              <w:rPr>
                <w:rFonts w:ascii="Times New Roman" w:hAnsi="Times New Roman" w:eastAsia="Times New Roman"/>
                <w:sz w:val="20"/>
              </w:rPr>
              <w:t xml:space="preserve">0.005 (0.010)</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Indian computer services comparison</w:t>
            </w:r>
          </w:p>
        </w:tc>
        <w:tc>
          <w:tcPr/>
          <w:p>
            <w:pPr>
              <w:pStyle w:val="Compact"/>
              <w:spacing w:line="276" w:lineRule="auto"/>
              <w:ind w:firstLine="0"/>
              <w:jc w:val="left"/>
            </w:pPr>
            <w:r>
              <w:rPr>
                <w:rFonts w:ascii="Times New Roman" w:hAnsi="Times New Roman" w:eastAsia="Times New Roman"/>
                <w:sz w:val="20"/>
              </w:rPr>
              <w:t xml:space="preserve">−0.002 (0.006)</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Generic any-AI comparison</w:t>
            </w:r>
          </w:p>
        </w:tc>
        <w:tc>
          <w:tcPr/>
          <w:p>
            <w:pPr>
              <w:pStyle w:val="Compact"/>
              <w:spacing w:line="276" w:lineRule="auto"/>
              <w:ind w:firstLine="0"/>
              <w:jc w:val="left"/>
            </w:pPr>
            <w:r>
              <w:rPr>
                <w:rFonts w:ascii="Times New Roman" w:hAnsi="Times New Roman" w:eastAsia="Times New Roman"/>
                <w:sz w:val="20"/>
              </w:rPr>
              <w:t xml:space="preserve">0.000 (0.006)</w:t>
            </w:r>
          </w:p>
        </w:tc>
        <w:tc>
          <w:tcPr/>
          <w:p>
            <w:pPr>
              <w:pStyle w:val="Compact"/>
              <w:spacing w:line="276" w:lineRule="auto"/>
              <w:ind w:firstLine="0"/>
              <w:jc w:val="left"/>
            </w:pPr>
            <w:r>
              <w:rPr>
                <w:rFonts w:ascii="Times New Roman" w:hAnsi="Times New Roman" w:eastAsia="Times New Roman"/>
                <w:sz w:val="20"/>
              </w:rPr>
              <w:t xml:space="preserve">336</w:t>
            </w:r>
          </w:p>
        </w:tc>
      </w:tr>
    </w:tbl>
    <w:p>
      <w:pPr>
        <w:pStyle w:val="BodyText"/>
        <w:spacing w:line="480" w:lineRule="auto" w:after="0"/>
        <w:ind w:firstLine="0"/>
      </w:pPr>
      <w:r>
        <w:rPr>
          <w:iCs/>
          <w:i/>
        </w:rPr>
        <w:t xml:space="preserve">Note.</w:t>
      </w:r>
      <w:r>
        <w:t xml:space="preserve"> </w:t>
      </w:r>
      <w:r>
        <w:t xml:space="preserve">Importer and year fixed effects; standard errors clustered by importer. The pooled model also contains partner fixed effects.</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4.</w:t>
      </w:r>
      <w:r>
        <w:t xml:space="preserve"> </w:t>
      </w:r>
      <w:r>
        <w:t xml:space="preserve">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w:t>
            </w:r>
          </w:p>
        </w:tc>
        <w:tc>
          <w:tcPr/>
          <w:p>
            <w:pPr>
              <w:pStyle w:val="Compact"/>
              <w:spacing w:line="276" w:lineRule="auto"/>
              <w:ind w:firstLine="0"/>
              <w:jc w:val="left"/>
            </w:pPr>
            <w:r>
              <w:rPr>
                <w:rFonts w:ascii="Times New Roman" w:hAnsi="Times New Roman" w:eastAsia="Times New Roman"/>
                <w:sz w:val="20"/>
              </w:rPr>
              <w:t xml:space="preserve">Post-2024 × ΔTNLG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Log M71 turnover</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employment</w:t>
            </w:r>
          </w:p>
        </w:tc>
        <w:tc>
          <w:tcPr/>
          <w:p>
            <w:pPr>
              <w:pStyle w:val="Compact"/>
              <w:spacing w:line="276" w:lineRule="auto"/>
              <w:ind w:firstLine="0"/>
              <w:jc w:val="left"/>
            </w:pPr>
            <w:r>
              <w:rPr>
                <w:rFonts w:ascii="Times New Roman" w:hAnsi="Times New Roman" w:eastAsia="Times New Roman"/>
                <w:sz w:val="20"/>
              </w:rPr>
              <w:t xml:space="preserve">−0.000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wages</w:t>
            </w:r>
          </w:p>
        </w:tc>
        <w:tc>
          <w:tcPr/>
          <w:p>
            <w:pPr>
              <w:pStyle w:val="Compact"/>
              <w:spacing w:line="276" w:lineRule="auto"/>
              <w:ind w:firstLine="0"/>
              <w:jc w:val="left"/>
            </w:pPr>
            <w:r>
              <w:rPr>
                <w:rFonts w:ascii="Times New Roman" w:hAnsi="Times New Roman" w:eastAsia="Times New Roman"/>
                <w:sz w:val="20"/>
              </w:rPr>
              <w:t xml:space="preserve">−0.009***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value added</w:t>
            </w:r>
          </w:p>
        </w:tc>
        <w:tc>
          <w:tcPr/>
          <w:p>
            <w:pPr>
              <w:pStyle w:val="Compact"/>
              <w:spacing w:line="276" w:lineRule="auto"/>
              <w:ind w:firstLine="0"/>
              <w:jc w:val="left"/>
            </w:pPr>
            <w:r>
              <w:rPr>
                <w:rFonts w:ascii="Times New Roman" w:hAnsi="Times New Roman" w:eastAsia="Times New Roman"/>
                <w:sz w:val="20"/>
              </w:rPr>
              <w:t xml:space="preserve">−0.006***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construction turnover (comparison)</w:t>
            </w:r>
          </w:p>
        </w:tc>
        <w:tc>
          <w:tcPr/>
          <w:p>
            <w:pPr>
              <w:pStyle w:val="Compact"/>
              <w:spacing w:line="276" w:lineRule="auto"/>
              <w:ind w:firstLine="0"/>
              <w:jc w:val="left"/>
            </w:pPr>
            <w:r>
              <w:rPr>
                <w:rFonts w:ascii="Times New Roman" w:hAnsi="Times New Roman" w:eastAsia="Times New Roman"/>
                <w:sz w:val="20"/>
              </w:rPr>
              <w:t xml:space="preserve">−0.010*** (0.003)</w:t>
            </w:r>
          </w:p>
        </w:tc>
        <w:tc>
          <w:tcPr/>
          <w:p>
            <w:pPr>
              <w:pStyle w:val="Compact"/>
              <w:spacing w:line="276" w:lineRule="auto"/>
              <w:ind w:firstLine="0"/>
              <w:jc w:val="left"/>
            </w:pPr>
            <w:r>
              <w:rPr>
                <w:rFonts w:ascii="Times New Roman" w:hAnsi="Times New Roman" w:eastAsia="Times New Roman"/>
                <w:sz w:val="20"/>
              </w:rPr>
              <w:t xml:space="preserve">68</w:t>
            </w:r>
          </w:p>
        </w:tc>
      </w:tr>
    </w:tbl>
    <w:p>
      <w:pPr>
        <w:pStyle w:val="BodyText"/>
        <w:spacing w:line="480" w:lineRule="auto" w:after="0"/>
        <w:ind w:firstLine="0"/>
      </w:pPr>
      <w:r>
        <w:rPr>
          <w:iCs/>
          <w:i/>
        </w:rPr>
        <w:t xml:space="preserve">Note.</w:t>
      </w:r>
      <w:r>
        <w:t xml:space="preserve"> </w:t>
      </w:r>
      <w:r>
        <w:t xml:space="preserve">Country and year fixed effects; standard errors clustered by country.</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5.</w:t>
      </w:r>
      <w:r>
        <w:t xml:space="preserve"> </w:t>
      </w:r>
      <w:r>
        <w:t xml:space="preserve">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EU destination group</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Lower ΔTNLG</w:t>
            </w:r>
          </w:p>
        </w:tc>
        <w:tc>
          <w:tcPr/>
          <w:p>
            <w:pPr>
              <w:pStyle w:val="Compact"/>
              <w:spacing w:line="276" w:lineRule="auto"/>
              <w:ind w:firstLine="0"/>
              <w:jc w:val="left"/>
            </w:pPr>
            <w:r>
              <w:rPr>
                <w:rFonts w:ascii="Times New Roman" w:hAnsi="Times New Roman" w:eastAsia="Times New Roman"/>
                <w:sz w:val="20"/>
              </w:rPr>
              <w:t xml:space="preserve">571.9</w:t>
            </w:r>
          </w:p>
        </w:tc>
        <w:tc>
          <w:tcPr/>
          <w:p>
            <w:pPr>
              <w:pStyle w:val="Compact"/>
              <w:spacing w:line="276" w:lineRule="auto"/>
              <w:ind w:firstLine="0"/>
              <w:jc w:val="left"/>
            </w:pPr>
            <w:r>
              <w:rPr>
                <w:rFonts w:ascii="Times New Roman" w:hAnsi="Times New Roman" w:eastAsia="Times New Roman"/>
                <w:sz w:val="20"/>
              </w:rPr>
              <w:t xml:space="preserve">946.2</w:t>
            </w:r>
          </w:p>
        </w:tc>
        <w:tc>
          <w:tcPr/>
          <w:p>
            <w:pPr>
              <w:pStyle w:val="Compact"/>
              <w:spacing w:line="276" w:lineRule="auto"/>
              <w:ind w:firstLine="0"/>
              <w:jc w:val="left"/>
            </w:pPr>
            <w:r>
              <w:rPr>
                <w:rFonts w:ascii="Times New Roman" w:hAnsi="Times New Roman" w:eastAsia="Times New Roman"/>
                <w:sz w:val="20"/>
              </w:rPr>
              <w:t xml:space="preserve">65.4%</w:t>
            </w:r>
          </w:p>
        </w:tc>
      </w:tr>
      <w:tr>
        <w:tc>
          <w:tcPr/>
          <w:p>
            <w:pPr>
              <w:pStyle w:val="Compact"/>
              <w:spacing w:line="276" w:lineRule="auto"/>
              <w:ind w:firstLine="0"/>
              <w:jc w:val="left"/>
            </w:pPr>
            <w:r>
              <w:rPr>
                <w:rFonts w:ascii="Times New Roman" w:hAnsi="Times New Roman" w:eastAsia="Times New Roman"/>
                <w:sz w:val="20"/>
              </w:rPr>
              <w:t xml:space="preserve">Higher ΔTNLG</w:t>
            </w:r>
          </w:p>
        </w:tc>
        <w:tc>
          <w:tcPr/>
          <w:p>
            <w:pPr>
              <w:pStyle w:val="Compact"/>
              <w:spacing w:line="276" w:lineRule="auto"/>
              <w:ind w:firstLine="0"/>
              <w:jc w:val="left"/>
            </w:pPr>
            <w:r>
              <w:rPr>
                <w:rFonts w:ascii="Times New Roman" w:hAnsi="Times New Roman" w:eastAsia="Times New Roman"/>
                <w:sz w:val="20"/>
              </w:rPr>
              <w:t xml:space="preserve">679.9</w:t>
            </w:r>
          </w:p>
        </w:tc>
        <w:tc>
          <w:tcPr/>
          <w:p>
            <w:pPr>
              <w:pStyle w:val="Compact"/>
              <w:spacing w:line="276" w:lineRule="auto"/>
              <w:ind w:firstLine="0"/>
              <w:jc w:val="left"/>
            </w:pPr>
            <w:r>
              <w:rPr>
                <w:rFonts w:ascii="Times New Roman" w:hAnsi="Times New Roman" w:eastAsia="Times New Roman"/>
                <w:sz w:val="20"/>
              </w:rPr>
              <w:t xml:space="preserve">1,002.6</w:t>
            </w:r>
          </w:p>
        </w:tc>
        <w:tc>
          <w:tcPr/>
          <w:p>
            <w:pPr>
              <w:pStyle w:val="Compact"/>
              <w:spacing w:line="276" w:lineRule="auto"/>
              <w:ind w:firstLine="0"/>
              <w:jc w:val="left"/>
            </w:pPr>
            <w:r>
              <w:rPr>
                <w:rFonts w:ascii="Times New Roman" w:hAnsi="Times New Roman" w:eastAsia="Times New Roman"/>
                <w:sz w:val="20"/>
              </w:rPr>
              <w:t xml:space="preserve">47.5%</w:t>
            </w:r>
          </w:p>
        </w:tc>
      </w:tr>
    </w:tbl>
    <w:p>
      <w:pPr>
        <w:pStyle w:val="BodyText"/>
        <w:spacing w:line="480" w:lineRule="auto" w:after="0"/>
        <w:ind w:firstLine="0"/>
      </w:pPr>
      <w:r>
        <w:rPr>
          <w:iCs/>
          <w:i/>
        </w:rPr>
        <w:t xml:space="preserve">Note.</w:t>
      </w:r>
      <w:r>
        <w:t xml:space="preserve"> </w:t>
      </w:r>
      <w:r>
        <w:t xml:space="preserve">Source: OECD–WTO BaTIS SE. Groups split at the importer median change in NACE M TNLG.</w:t>
      </w:r>
    </w:p>
    <w:p>
      <w:pPr>
        <w:pStyle w:val="BodyText"/>
        <w:spacing w:line="480" w:lineRule="auto" w:after="0"/>
        <w:ind w:firstLine="0"/>
      </w:pPr>
      <w:r>
        <w:rPr>
          <w:bCs/>
          <w:b/>
        </w:rPr>
        <w:t xml:space="preserve">Table 6.</w:t>
      </w:r>
      <w:r>
        <w:t xml:space="preserve"> </w:t>
      </w:r>
      <w:r>
        <w:t xml:space="preserve">Interpretation boundary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ind w:firstLine="0"/>
              <w:jc w:val="left"/>
            </w:pPr>
            <w:r>
              <w:rPr>
                <w:rFonts w:ascii="Times New Roman" w:hAnsi="Times New Roman" w:eastAsia="Times New Roman"/>
                <w:sz w:val="20"/>
              </w:rPr>
              <w:t xml:space="preserve">Supported by the data</w:t>
            </w:r>
          </w:p>
        </w:tc>
        <w:tc>
          <w:tcPr/>
          <w:p>
            <w:pPr>
              <w:pStyle w:val="Compact"/>
              <w:spacing w:line="276" w:lineRule="auto"/>
              <w:ind w:firstLine="0"/>
              <w:jc w:val="left"/>
            </w:pPr>
            <w:r>
              <w:rPr>
                <w:rFonts w:ascii="Times New Roman" w:hAnsi="Times New Roman" w:eastAsia="Times New Roman"/>
                <w:sz w:val="20"/>
              </w:rPr>
              <w:t xml:space="preserve">Not identified</w:t>
            </w:r>
          </w:p>
        </w:tc>
      </w:tr>
      <w:tr>
        <w:tc>
          <w:tcPr/>
          <w:p>
            <w:pPr>
              <w:pStyle w:val="Compact"/>
              <w:spacing w:line="276" w:lineRule="auto"/>
              <w:ind w:firstLine="0"/>
              <w:jc w:val="left"/>
            </w:pPr>
            <w:r>
              <w:rPr>
                <w:rFonts w:ascii="Times New Roman" w:hAnsi="Times New Roman" w:eastAsia="Times New Roman"/>
                <w:sz w:val="20"/>
              </w:rPr>
              <w:t xml:space="preserve">Two-way UK–India and UK–China service trends</w:t>
            </w:r>
          </w:p>
        </w:tc>
        <w:tc>
          <w:tcPr/>
          <w:p>
            <w:pPr>
              <w:pStyle w:val="Compact"/>
              <w:spacing w:line="276" w:lineRule="auto"/>
              <w:ind w:firstLine="0"/>
              <w:jc w:val="left"/>
            </w:pPr>
            <w:r>
              <w:rPr>
                <w:rFonts w:ascii="Times New Roman" w:hAnsi="Times New Roman" w:eastAsia="Times New Roman"/>
                <w:sz w:val="20"/>
              </w:rPr>
              <w:t xml:space="preserve">AI causing those bilateral changes</w:t>
            </w:r>
          </w:p>
        </w:tc>
      </w:tr>
      <w:tr>
        <w:tc>
          <w:tcPr/>
          <w:p>
            <w:pPr>
              <w:pStyle w:val="Compact"/>
              <w:spacing w:line="276" w:lineRule="auto"/>
              <w:ind w:firstLine="0"/>
              <w:jc w:val="left"/>
            </w:pPr>
            <w:r>
              <w:rPr>
                <w:rFonts w:ascii="Times New Roman" w:hAnsi="Times New Roman" w:eastAsia="Times New Roman"/>
                <w:sz w:val="20"/>
              </w:rPr>
              <w:t xml:space="preserve">EU importer NLG associated with Indian SJ3</w:t>
            </w:r>
          </w:p>
        </w:tc>
        <w:tc>
          <w:tcPr/>
          <w:p>
            <w:pPr>
              <w:pStyle w:val="Compact"/>
              <w:spacing w:line="276" w:lineRule="auto"/>
              <w:ind w:firstLine="0"/>
              <w:jc w:val="left"/>
            </w:pPr>
            <w:r>
              <w:rPr>
                <w:rFonts w:ascii="Times New Roman" w:hAnsi="Times New Roman" w:eastAsia="Times New Roman"/>
                <w:sz w:val="20"/>
              </w:rPr>
              <w:t xml:space="preserve">Civil-specific SJ312 invoices</w:t>
            </w:r>
          </w:p>
        </w:tc>
      </w:tr>
      <w:tr>
        <w:tc>
          <w:tcPr/>
          <w:p>
            <w:pPr>
              <w:pStyle w:val="Compact"/>
              <w:spacing w:line="276" w:lineRule="auto"/>
              <w:ind w:firstLine="0"/>
              <w:jc w:val="left"/>
            </w:pPr>
            <w:r>
              <w:rPr>
                <w:rFonts w:ascii="Times New Roman" w:hAnsi="Times New Roman" w:eastAsia="Times New Roman"/>
                <w:sz w:val="20"/>
              </w:rPr>
              <w:t xml:space="preserve">Null Chinese construction-service comparison</w:t>
            </w:r>
          </w:p>
        </w:tc>
        <w:tc>
          <w:tcPr/>
          <w:p>
            <w:pPr>
              <w:pStyle w:val="Compact"/>
              <w:spacing w:line="276" w:lineRule="auto"/>
              <w:ind w:firstLine="0"/>
              <w:jc w:val="left"/>
            </w:pPr>
            <w:r>
              <w:rPr>
                <w:rFonts w:ascii="Times New Roman" w:hAnsi="Times New Roman" w:eastAsia="Times New Roman"/>
                <w:sz w:val="20"/>
              </w:rPr>
              <w:t xml:space="preserve">India replacing Chinese or UK civil engineers</w:t>
            </w:r>
          </w:p>
        </w:tc>
      </w:tr>
      <w:tr>
        <w:tc>
          <w:tcPr/>
          <w:p>
            <w:pPr>
              <w:pStyle w:val="Compact"/>
              <w:spacing w:line="276" w:lineRule="auto"/>
              <w:ind w:firstLine="0"/>
              <w:jc w:val="left"/>
            </w:pPr>
            <w:r>
              <w:rPr>
                <w:rFonts w:ascii="Times New Roman" w:hAnsi="Times New Roman" w:eastAsia="Times New Roman"/>
                <w:sz w:val="20"/>
              </w:rPr>
              <w:t xml:space="preserve">M71 outcomes associated with importer NLG</w:t>
            </w:r>
          </w:p>
        </w:tc>
        <w:tc>
          <w:tcPr/>
          <w:p>
            <w:pPr>
              <w:pStyle w:val="Compact"/>
              <w:spacing w:line="276" w:lineRule="auto"/>
              <w:ind w:firstLine="0"/>
              <w:jc w:val="left"/>
            </w:pPr>
            <w:r>
              <w:rPr>
                <w:rFonts w:ascii="Times New Roman" w:hAnsi="Times New Roman" w:eastAsia="Times New Roman"/>
                <w:sz w:val="20"/>
              </w:rPr>
              <w:t xml:space="preserve">Bilateral employment or GDP effects</w:t>
            </w:r>
          </w:p>
        </w:tc>
      </w:tr>
    </w:tbl>
    <w:p>
      <w:pPr>
        <w:pStyle w:val="BodyText"/>
        <w:spacing w:line="480" w:lineRule="auto" w:after="0"/>
        <w:ind w:firstLine="0"/>
      </w:pPr>
      <w:r>
        <w:rPr>
          <w:iCs/>
          <w:i/>
        </w:rPr>
        <w:t xml:space="preserve">Note.</w:t>
      </w:r>
      <w:r>
        <w:t xml:space="preserve"> </w:t>
      </w:r>
      <w:r>
        <w:t xml:space="preserve">The table restates the claim boundary; it is not an additional statistical test.</w:t>
      </w:r>
    </w:p>
    <w:bookmarkEnd w:id="54"/>
    <w:bookmarkStart w:id="55" w:name="figure-captions"/>
    <w:p>
      <w:pPr>
        <w:pStyle w:val="Heading2"/>
        <w:spacing w:line="480" w:lineRule="auto"/>
        <w:ind w:firstLine="0"/>
      </w:pPr>
      <w:r>
        <w:rPr>
          <w:rFonts w:ascii="Times New Roman" w:hAnsi="Times New Roman" w:eastAsia="Times New Roman"/>
          <w:b/>
          <w:sz w:val="24"/>
        </w:rPr>
        <w:t xml:space="preserve">Figure captions</w:t>
      </w:r>
    </w:p>
    <w:p>
      <w:pPr>
        <w:pStyle w:val="FirstParagraph"/>
        <w:spacing w:line="480" w:lineRule="auto" w:after="0"/>
        <w:ind w:firstLine="0"/>
      </w:pPr>
      <w:r>
        <w:rPr>
          <w:bCs/>
          <w:b/>
        </w:rPr>
        <w:t xml:space="preserve">Figure 1.</w:t>
      </w:r>
      <w:r>
        <w:t xml:space="preserve"> </w:t>
      </w:r>
      <w:r>
        <w:t xml:space="preserve">The United Kingdom’s SJ3 service corridors with India and China, 2015–2024 (2019 = 100).</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BodyText"/>
        <w:spacing w:line="480" w:lineRule="auto" w:after="0"/>
        <w:ind w:firstLine="0"/>
      </w:pPr>
      <w:r>
        <w:rPr>
          <w:bCs/>
          <w:b/>
        </w:rPr>
        <w:t xml:space="preserve">Figure 5.</w:t>
      </w:r>
      <w:r>
        <w:t xml:space="preserve"> </w:t>
      </w:r>
      <w:r>
        <w:t xml:space="preserve">M71 and construction turnover growth, 2021–2024.</w:t>
      </w:r>
    </w:p>
    <w:bookmarkEnd w:id="55"/>
    <w:bookmarkStart w:id="71" w:name="figures"/>
    <w:p>
      <w:pPr>
        <w:pStyle w:val="Heading2"/>
        <w:spacing w:line="480" w:lineRule="auto"/>
        <w:ind w:firstLine="0"/>
      </w:pPr>
      <w:r>
        <w:rPr>
          <w:rFonts w:ascii="Times New Roman" w:hAnsi="Times New Roman" w:eastAsia="Times New Roman"/>
          <w:b/>
          <w:sz w:val="24"/>
        </w:rPr>
        <w:t xml:space="preserve">Figures</w:t>
      </w:r>
    </w:p>
    <w:p>
      <w:pPr>
        <w:pStyle w:val="FirstParagraph"/>
        <w:spacing w:line="480" w:lineRule="auto" w:after="0"/>
        <w:ind w:firstLine="720"/>
      </w:pPr>
      <w:r>
        <w:rPr>
          <w:rFonts w:ascii="Times New Roman" w:hAnsi="Times New Roman" w:eastAsia="Times New Roman"/>
          <w:sz w:val="24"/>
        </w:rPr>
        <w:t xml:space="preserve">Figures are supplied as separate 300 dpi PNG files (</w:t>
      </w:r>
      <w:r>
        <w:rPr>
          <w:rStyle w:val="VerbatimChar"/>
          <w:rFonts w:ascii="Times New Roman" w:hAnsi="Times New Roman" w:eastAsia="Times New Roman"/>
          <w:sz w:val="24"/>
        </w:rPr>
        <w:t xml:space="preserve">Figure1.png</w:t>
      </w:r>
      <w:r>
        <w:rPr>
          <w:rFonts w:ascii="Times New Roman" w:hAnsi="Times New Roman" w:eastAsia="Times New Roman"/>
          <w:sz w:val="24"/>
        </w:rPr>
        <w:t xml:space="preserve">–</w:t>
      </w:r>
      <w:r>
        <w:rPr>
          <w:rStyle w:val="VerbatimChar"/>
          <w:rFonts w:ascii="Times New Roman" w:hAnsi="Times New Roman" w:eastAsia="Times New Roman"/>
          <w:sz w:val="24"/>
        </w:rPr>
        <w:t xml:space="preserve">Figure5.png</w:t>
      </w:r>
      <w:r>
        <w:rPr>
          <w:rFonts w:ascii="Times New Roman" w:hAnsi="Times New Roman" w:eastAsia="Times New Roman"/>
          <w:sz w:val="24"/>
        </w:rPr>
        <w:t xml:space="preserve">) and are repeated below for the convenience of reviewers.</w:t>
      </w:r>
    </w:p>
    <w:p>
      <w:pPr>
        <w:pStyle w:val="BodyText"/>
        <w:spacing w:line="480" w:lineRule="auto" w:after="0"/>
        <w:ind w:firstLine="0"/>
      </w:pPr>
      <w:r>
        <w:rPr>
          <w:bCs/>
          <w:b/>
        </w:rPr>
        <w:t xml:space="preserve">Figure 1.</w:t>
      </w:r>
      <w:r>
        <w:t xml:space="preserve"> </w:t>
      </w:r>
      <w:r>
        <w:t xml:space="preserve">The United Kingdom’s SJ3 service corridors with India and China, 2015–2024 (2019 = 100).</w:t>
      </w:r>
    </w:p>
    <w:p>
      <w:pPr>
        <w:pStyle w:val="CaptionedFigure"/>
        <w:spacing w:line="480" w:lineRule="auto" w:after="0"/>
        <w:ind w:firstLine="0"/>
      </w:pPr>
      <w:r>
        <w:drawing>
          <wp:inline>
            <wp:extent cx="5580000" cy="3335869"/>
            <wp:effectExtent b="0" l="0" r="0" t="0"/>
            <wp:docPr descr="Figure 1" title="" id="57" name="Picture"/>
            <a:graphic>
              <a:graphicData uri="http://schemas.openxmlformats.org/drawingml/2006/picture">
                <pic:pic>
                  <pic:nvPicPr>
                    <pic:cNvPr descr="figures/figure22_uk_india_china_sj3.png" id="58" name="Picture"/>
                    <pic:cNvPicPr>
                      <a:picLocks noChangeArrowheads="1" noChangeAspect="1"/>
                    </pic:cNvPicPr>
                  </pic:nvPicPr>
                  <pic:blipFill>
                    <a:blip r:embed="rId56"/>
                    <a:stretch>
                      <a:fillRect/>
                    </a:stretch>
                  </pic:blipFill>
                  <pic:spPr bwMode="auto">
                    <a:xfrm>
                      <a:off x="0" y="0"/>
                      <a:ext cx="5580000" cy="3335869"/>
                    </a:xfrm>
                    <a:prstGeom prst="rect">
                      <a:avLst/>
                    </a:prstGeom>
                    <a:noFill/>
                    <a:ln w="9525">
                      <a:noFill/>
                      <a:headEnd/>
                      <a:tailEnd/>
                    </a:ln>
                  </pic:spPr>
                </pic:pic>
              </a:graphicData>
            </a:graphic>
          </wp:inline>
        </w:drawing>
      </w:r>
    </w:p>
    <w:p>
      <w:pPr>
        <w:pStyle w:val="ImageCaption"/>
        <w:spacing w:line="480" w:lineRule="auto" w:after="0"/>
        <w:ind w:firstLine="0"/>
      </w:pPr>
      <w:r>
        <w:t xml:space="preserve">Figure 1</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CaptionedFigure"/>
        <w:spacing w:line="480" w:lineRule="auto" w:after="0"/>
        <w:ind w:firstLine="0"/>
      </w:pPr>
      <w:r>
        <w:drawing>
          <wp:inline>
            <wp:extent cx="5580000" cy="2232000"/>
            <wp:effectExtent b="0" l="0" r="0" t="0"/>
            <wp:docPr descr="Figure 2" title="" id="60" name="Picture"/>
            <a:graphic>
              <a:graphicData uri="http://schemas.openxmlformats.org/drawingml/2006/picture">
                <pic:pic>
                  <pic:nvPicPr>
                    <pic:cNvPr descr="figures/figure23_uk_india_china_service_growth.png" id="61" name="Picture"/>
                    <pic:cNvPicPr>
                      <a:picLocks noChangeArrowheads="1" noChangeAspect="1"/>
                    </pic:cNvPicPr>
                  </pic:nvPicPr>
                  <pic:blipFill>
                    <a:blip r:embed="rId59"/>
                    <a:stretch>
                      <a:fillRect/>
                    </a:stretch>
                  </pic:blipFill>
                  <pic:spPr bwMode="auto">
                    <a:xfrm>
                      <a:off x="0" y="0"/>
                      <a:ext cx="5580000" cy="2232000"/>
                    </a:xfrm>
                    <a:prstGeom prst="rect">
                      <a:avLst/>
                    </a:prstGeom>
                    <a:noFill/>
                    <a:ln w="9525">
                      <a:noFill/>
                      <a:headEnd/>
                      <a:tailEnd/>
                    </a:ln>
                  </pic:spPr>
                </pic:pic>
              </a:graphicData>
            </a:graphic>
          </wp:inline>
        </w:drawing>
      </w:r>
    </w:p>
    <w:p>
      <w:pPr>
        <w:pStyle w:val="ImageCaption"/>
        <w:spacing w:line="480" w:lineRule="auto" w:after="0"/>
        <w:ind w:firstLine="0"/>
      </w:pPr>
      <w:r>
        <w:t xml:space="preserve">Figure 2</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CaptionedFigure"/>
        <w:spacing w:line="480" w:lineRule="auto" w:after="0"/>
        <w:ind w:firstLine="0"/>
      </w:pPr>
      <w:r>
        <w:drawing>
          <wp:inline>
            <wp:extent cx="5580000" cy="3188571"/>
            <wp:effectExtent b="0" l="0" r="0" t="0"/>
            <wp:docPr descr="Figure 3" title="" id="63" name="Picture"/>
            <a:graphic>
              <a:graphicData uri="http://schemas.openxmlformats.org/drawingml/2006/picture">
                <pic:pic>
                  <pic:nvPicPr>
                    <pic:cNvPr descr="figures/figure12_tnlg_vs_tml.png" id="64" name="Picture"/>
                    <pic:cNvPicPr>
                      <a:picLocks noChangeArrowheads="1" noChangeAspect="1"/>
                    </pic:cNvPicPr>
                  </pic:nvPicPr>
                  <pic:blipFill>
                    <a:blip r:embed="rId62"/>
                    <a:stretch>
                      <a:fillRect/>
                    </a:stretch>
                  </pic:blipFill>
                  <pic:spPr bwMode="auto">
                    <a:xfrm>
                      <a:off x="0" y="0"/>
                      <a:ext cx="5580000" cy="3188571"/>
                    </a:xfrm>
                    <a:prstGeom prst="rect">
                      <a:avLst/>
                    </a:prstGeom>
                    <a:noFill/>
                    <a:ln w="9525">
                      <a:noFill/>
                      <a:headEnd/>
                      <a:tailEnd/>
                    </a:ln>
                  </pic:spPr>
                </pic:pic>
              </a:graphicData>
            </a:graphic>
          </wp:inline>
        </w:drawing>
      </w:r>
    </w:p>
    <w:p>
      <w:pPr>
        <w:pStyle w:val="ImageCaption"/>
        <w:spacing w:line="480" w:lineRule="auto" w:after="0"/>
        <w:ind w:firstLine="0"/>
      </w:pPr>
      <w:r>
        <w:t xml:space="preserve">Figure 3</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CaptionedFigure"/>
        <w:spacing w:line="480" w:lineRule="auto" w:after="0"/>
        <w:ind w:firstLine="0"/>
      </w:pPr>
      <w:r>
        <w:drawing>
          <wp:inline>
            <wp:extent cx="5580000" cy="3938823"/>
            <wp:effectExtent b="0" l="0" r="0" t="0"/>
            <wp:docPr descr="Figure 4" title="" id="66" name="Picture"/>
            <a:graphic>
              <a:graphicData uri="http://schemas.openxmlformats.org/drawingml/2006/picture">
                <pic:pic>
                  <pic:nvPicPr>
                    <pic:cNvPr descr="figures/figure15_cross_section_tnlg.png" id="67" name="Picture"/>
                    <pic:cNvPicPr>
                      <a:picLocks noChangeArrowheads="1" noChangeAspect="1"/>
                    </pic:cNvPicPr>
                  </pic:nvPicPr>
                  <pic:blipFill>
                    <a:blip r:embed="rId65"/>
                    <a:stretch>
                      <a:fillRect/>
                    </a:stretch>
                  </pic:blipFill>
                  <pic:spPr bwMode="auto">
                    <a:xfrm>
                      <a:off x="0" y="0"/>
                      <a:ext cx="5580000" cy="3938823"/>
                    </a:xfrm>
                    <a:prstGeom prst="rect">
                      <a:avLst/>
                    </a:prstGeom>
                    <a:noFill/>
                    <a:ln w="9525">
                      <a:noFill/>
                      <a:headEnd/>
                      <a:tailEnd/>
                    </a:ln>
                  </pic:spPr>
                </pic:pic>
              </a:graphicData>
            </a:graphic>
          </wp:inline>
        </w:drawing>
      </w:r>
    </w:p>
    <w:p>
      <w:pPr>
        <w:pStyle w:val="ImageCaption"/>
        <w:spacing w:line="480" w:lineRule="auto" w:after="0"/>
        <w:ind w:firstLine="0"/>
      </w:pPr>
      <w:r>
        <w:t xml:space="preserve">Figure 4</w:t>
      </w:r>
    </w:p>
    <w:p>
      <w:pPr>
        <w:pStyle w:val="BodyText"/>
        <w:spacing w:line="480" w:lineRule="auto" w:after="0"/>
        <w:ind w:firstLine="0"/>
      </w:pPr>
      <w:r>
        <w:rPr>
          <w:bCs/>
          <w:b/>
        </w:rPr>
        <w:t xml:space="preserve">Figure 5.</w:t>
      </w:r>
      <w:r>
        <w:t xml:space="preserve"> </w:t>
      </w:r>
      <w:r>
        <w:t xml:space="preserve">M71 and construction turnover growth, 2021–2024.</w:t>
      </w:r>
    </w:p>
    <w:p>
      <w:pPr>
        <w:pStyle w:val="CaptionedFigure"/>
        <w:spacing w:line="480" w:lineRule="auto" w:after="0"/>
        <w:ind w:firstLine="0"/>
      </w:pPr>
      <w:r>
        <w:drawing>
          <wp:inline>
            <wp:extent cx="5580000" cy="3587142"/>
            <wp:effectExtent b="0" l="0" r="0" t="0"/>
            <wp:docPr descr="Figure 5" title="" id="69" name="Picture"/>
            <a:graphic>
              <a:graphicData uri="http://schemas.openxmlformats.org/drawingml/2006/picture">
                <pic:pic>
                  <pic:nvPicPr>
                    <pic:cNvPr descr="figures/figure17_sbs_turnover_m71_vs_F.png" id="70" name="Picture"/>
                    <pic:cNvPicPr>
                      <a:picLocks noChangeArrowheads="1" noChangeAspect="1"/>
                    </pic:cNvPicPr>
                  </pic:nvPicPr>
                  <pic:blipFill>
                    <a:blip r:embed="rId68"/>
                    <a:stretch>
                      <a:fillRect/>
                    </a:stretch>
                  </pic:blipFill>
                  <pic:spPr bwMode="auto">
                    <a:xfrm>
                      <a:off x="0" y="0"/>
                      <a:ext cx="5580000" cy="3587142"/>
                    </a:xfrm>
                    <a:prstGeom prst="rect">
                      <a:avLst/>
                    </a:prstGeom>
                    <a:noFill/>
                    <a:ln w="9525">
                      <a:noFill/>
                      <a:headEnd/>
                      <a:tailEnd/>
                    </a:ln>
                  </pic:spPr>
                </pic:pic>
              </a:graphicData>
            </a:graphic>
          </wp:inline>
        </w:drawing>
      </w:r>
    </w:p>
    <w:p>
      <w:pPr>
        <w:pStyle w:val="ImageCaption"/>
        <w:spacing w:line="480" w:lineRule="auto" w:after="0"/>
        <w:ind w:firstLine="0"/>
      </w:pPr>
      <w:r>
        <w:t xml:space="preserve">Figure 5</w:t>
      </w:r>
    </w:p>
    <w:bookmarkEnd w:id="71"/>
    <w:bookmarkEnd w:id="72"/>
    <w:sectPr w:rsidR="00FC693F" w:rsidRPr="0006063C" w:rsidSect="00034616">
      <w:footerReference w:type="default" r:id="rId9"/>
      <w:headerReference w:type="default" r:id="rId10"/>
      <w:pgSz w:h="16838" w:w="11906"/>
      <w:pgMar w:bottom="1440" w:footer="720" w:gutter="0" w:header="720" w:left="1440" w:right="1440" w:top="1440"/>
      <w:cols w:space="720"/>
      <w:docGrid w:linePitch="360"/>
      <w:lnNumType w:countBy="1"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AI and the civil engineering economy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heme="majorBidi" w:eastAsia="Times New Roman"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240" w:line="480" w:lineRule="auto"/>
      <w:contextualSpacing/>
    </w:pPr>
    <w:rPr>
      <w:rFonts w:ascii="Times New Roman" w:asciiTheme="majorHAnsi"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56" Type="http://schemas.openxmlformats.org/officeDocument/2006/relationships/image" Target="media/rId56.png"/><Relationship Id="rId59" Type="http://schemas.openxmlformats.org/officeDocument/2006/relationships/image" Target="media/rId59.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2026-09-18T12:02:30Z</dcterms:created>
  <dcterms:modified xsi:type="dcterms:W3CDTF">2026-09-18T12:02:30Z</dcterms:modified>
</cp:coreProperties>
</file>

<file path=docProps/custom.xml><?xml version="1.0" encoding="utf-8"?>
<Properties xmlns="http://schemas.openxmlformats.org/officeDocument/2006/custom-properties" xmlns:vt="http://schemas.openxmlformats.org/officeDocument/2006/docPropsVTypes"/>
</file>