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480" w:lineRule="auto" w:after="0"/>
        <w:ind w:firstLine="0"/>
        <w:jc w:val="center"/>
      </w:pPr>
      <w:r>
        <w:rPr>
          <w:rFonts w:ascii="Times New Roman" w:hAnsi="Times New Roman" w:eastAsia="Times New Roman"/>
          <w:b/>
          <w:i w:val="0"/>
          <w:sz w:val="28"/>
        </w:rPr>
        <w:t>Tables</w:t>
      </w:r>
    </w:p>
    <w:p>
      <w:pPr>
        <w:spacing w:line="480" w:lineRule="auto" w:after="0"/>
        <w:ind w:firstLine="0"/>
      </w:pPr>
      <w:r>
        <w:rPr>
          <w:rFonts w:ascii="Times New Roman" w:hAnsi="Times New Roman" w:eastAsia="Times New Roman"/>
          <w:b w:val="0"/>
          <w:i/>
          <w:sz w:val="24"/>
        </w:rPr>
        <w:t>Editable tables for the International Journal of Construction Management. Place each table after the paragraph in which it is first cited, or upload this file as a separate tables document if required by ScholarOne.</w:t>
      </w:r>
    </w:p>
    <w:p>
      <w:pPr>
        <w:spacing w:line="480" w:lineRule="auto" w:after="0"/>
        <w:ind w:firstLine="0"/>
      </w:pPr>
      <w:r>
        <w:rPr>
          <w:rFonts w:ascii="Times New Roman" w:hAnsi="Times New Roman" w:eastAsia="Times New Roman"/>
          <w:b/>
          <w:i w:val="0"/>
          <w:sz w:val="24"/>
        </w:rPr>
        <w:t>Table 1. UK–India and UK–China service corridors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05"/>
        <w:gridCol w:w="1805"/>
        <w:gridCol w:w="1805"/>
        <w:gridCol w:w="1805"/>
        <w:gridCol w:w="1805"/>
      </w:tblGrid>
      <w:tr>
        <w:tc>
          <w:tcPr>
            <w:tcW w:type="dxa" w:w="1805"/>
          </w:tcPr>
          <w:p>
            <w:r/>
            <w:r>
              <w:rPr>
                <w:rFonts w:ascii="Times New Roman" w:hAnsi="Times New Roman" w:eastAsia="Times New Roman"/>
                <w:b/>
                <w:sz w:val="20"/>
              </w:rPr>
              <w:t>Import flow</w:t>
            </w:r>
          </w:p>
        </w:tc>
        <w:tc>
          <w:tcPr>
            <w:tcW w:type="dxa" w:w="1805"/>
          </w:tcPr>
          <w:p>
            <w:r/>
            <w:r>
              <w:rPr>
                <w:rFonts w:ascii="Times New Roman" w:hAnsi="Times New Roman" w:eastAsia="Times New Roman"/>
                <w:b/>
                <w:sz w:val="20"/>
              </w:rPr>
              <w:t>Service</w:t>
            </w:r>
          </w:p>
        </w:tc>
        <w:tc>
          <w:tcPr>
            <w:tcW w:type="dxa" w:w="1805"/>
          </w:tcPr>
          <w:p>
            <w:r/>
            <w:r>
              <w:rPr>
                <w:rFonts w:ascii="Times New Roman" w:hAnsi="Times New Roman" w:eastAsia="Times New Roman"/>
                <w:b/>
                <w:sz w:val="20"/>
              </w:rPr>
              <w:t>2019 (USD m)</w:t>
            </w:r>
          </w:p>
        </w:tc>
        <w:tc>
          <w:tcPr>
            <w:tcW w:type="dxa" w:w="1805"/>
          </w:tcPr>
          <w:p>
            <w:r/>
            <w:r>
              <w:rPr>
                <w:rFonts w:ascii="Times New Roman" w:hAnsi="Times New Roman" w:eastAsia="Times New Roman"/>
                <w:b/>
                <w:sz w:val="20"/>
              </w:rPr>
              <w:t>2024 (USD m)</w:t>
            </w:r>
          </w:p>
        </w:tc>
        <w:tc>
          <w:tcPr>
            <w:tcW w:type="dxa" w:w="1805"/>
          </w:tcPr>
          <w:p>
            <w:r/>
            <w:r>
              <w:rPr>
                <w:rFonts w:ascii="Times New Roman" w:hAnsi="Times New Roman" w:eastAsia="Times New Roman"/>
                <w:b/>
                <w:sz w:val="20"/>
              </w:rPr>
              <w:t>Change</w:t>
            </w:r>
          </w:p>
        </w:tc>
      </w:tr>
      <w:tr>
        <w:tc>
          <w:tcPr>
            <w:tcW w:type="dxa" w:w="1805"/>
          </w:tcPr>
          <w:p>
            <w:r/>
            <w:r>
              <w:rPr>
                <w:rFonts w:ascii="Times New Roman" w:hAnsi="Times New Roman" w:eastAsia="Times New Roman"/>
                <w:sz w:val="20"/>
              </w:rPr>
              <w:t>UK imports from India</w:t>
            </w:r>
          </w:p>
        </w:tc>
        <w:tc>
          <w:tcPr>
            <w:tcW w:type="dxa" w:w="1805"/>
          </w:tcPr>
          <w:p>
            <w:r/>
            <w:r>
              <w:rPr>
                <w:rFonts w:ascii="Times New Roman" w:hAnsi="Times New Roman" w:eastAsia="Times New Roman"/>
                <w:sz w:val="20"/>
              </w:rPr>
              <w:t>SJ3 technical and other business services</w:t>
            </w:r>
          </w:p>
        </w:tc>
        <w:tc>
          <w:tcPr>
            <w:tcW w:type="dxa" w:w="1805"/>
          </w:tcPr>
          <w:p>
            <w:r/>
            <w:r>
              <w:rPr>
                <w:rFonts w:ascii="Times New Roman" w:hAnsi="Times New Roman" w:eastAsia="Times New Roman"/>
                <w:sz w:val="20"/>
              </w:rPr>
              <w:t>2,186.6</w:t>
            </w:r>
          </w:p>
        </w:tc>
        <w:tc>
          <w:tcPr>
            <w:tcW w:type="dxa" w:w="1805"/>
          </w:tcPr>
          <w:p>
            <w:r/>
            <w:r>
              <w:rPr>
                <w:rFonts w:ascii="Times New Roman" w:hAnsi="Times New Roman" w:eastAsia="Times New Roman"/>
                <w:sz w:val="20"/>
              </w:rPr>
              <w:t>4,979.3</w:t>
            </w:r>
          </w:p>
        </w:tc>
        <w:tc>
          <w:tcPr>
            <w:tcW w:type="dxa" w:w="1805"/>
          </w:tcPr>
          <w:p>
            <w:r/>
            <w:r>
              <w:rPr>
                <w:rFonts w:ascii="Times New Roman" w:hAnsi="Times New Roman" w:eastAsia="Times New Roman"/>
                <w:sz w:val="20"/>
              </w:rPr>
              <w:t>127.7%</w:t>
            </w:r>
          </w:p>
        </w:tc>
      </w:tr>
      <w:tr>
        <w:tc>
          <w:tcPr>
            <w:tcW w:type="dxa" w:w="1805"/>
          </w:tcPr>
          <w:p>
            <w:r/>
            <w:r>
              <w:rPr>
                <w:rFonts w:ascii="Times New Roman" w:hAnsi="Times New Roman" w:eastAsia="Times New Roman"/>
                <w:sz w:val="20"/>
              </w:rPr>
              <w:t>India imports from UK</w:t>
            </w:r>
          </w:p>
        </w:tc>
        <w:tc>
          <w:tcPr>
            <w:tcW w:type="dxa" w:w="1805"/>
          </w:tcPr>
          <w:p>
            <w:r/>
            <w:r>
              <w:rPr>
                <w:rFonts w:ascii="Times New Roman" w:hAnsi="Times New Roman" w:eastAsia="Times New Roman"/>
                <w:sz w:val="20"/>
              </w:rPr>
              <w:t>SJ3 technical and other business services</w:t>
            </w:r>
          </w:p>
        </w:tc>
        <w:tc>
          <w:tcPr>
            <w:tcW w:type="dxa" w:w="1805"/>
          </w:tcPr>
          <w:p>
            <w:r/>
            <w:r>
              <w:rPr>
                <w:rFonts w:ascii="Times New Roman" w:hAnsi="Times New Roman" w:eastAsia="Times New Roman"/>
                <w:sz w:val="20"/>
              </w:rPr>
              <w:t>787.6</w:t>
            </w:r>
          </w:p>
        </w:tc>
        <w:tc>
          <w:tcPr>
            <w:tcW w:type="dxa" w:w="1805"/>
          </w:tcPr>
          <w:p>
            <w:r/>
            <w:r>
              <w:rPr>
                <w:rFonts w:ascii="Times New Roman" w:hAnsi="Times New Roman" w:eastAsia="Times New Roman"/>
                <w:sz w:val="20"/>
              </w:rPr>
              <w:t>1,554.2</w:t>
            </w:r>
          </w:p>
        </w:tc>
        <w:tc>
          <w:tcPr>
            <w:tcW w:type="dxa" w:w="1805"/>
          </w:tcPr>
          <w:p>
            <w:r/>
            <w:r>
              <w:rPr>
                <w:rFonts w:ascii="Times New Roman" w:hAnsi="Times New Roman" w:eastAsia="Times New Roman"/>
                <w:sz w:val="20"/>
              </w:rPr>
              <w:t>97.3%</w:t>
            </w:r>
          </w:p>
        </w:tc>
      </w:tr>
      <w:tr>
        <w:tc>
          <w:tcPr>
            <w:tcW w:type="dxa" w:w="1805"/>
          </w:tcPr>
          <w:p>
            <w:r/>
            <w:r>
              <w:rPr>
                <w:rFonts w:ascii="Times New Roman" w:hAnsi="Times New Roman" w:eastAsia="Times New Roman"/>
                <w:sz w:val="20"/>
              </w:rPr>
              <w:t>UK imports from China</w:t>
            </w:r>
          </w:p>
        </w:tc>
        <w:tc>
          <w:tcPr>
            <w:tcW w:type="dxa" w:w="1805"/>
          </w:tcPr>
          <w:p>
            <w:r/>
            <w:r>
              <w:rPr>
                <w:rFonts w:ascii="Times New Roman" w:hAnsi="Times New Roman" w:eastAsia="Times New Roman"/>
                <w:sz w:val="20"/>
              </w:rPr>
              <w:t>SJ3 technical and other business services</w:t>
            </w:r>
          </w:p>
        </w:tc>
        <w:tc>
          <w:tcPr>
            <w:tcW w:type="dxa" w:w="1805"/>
          </w:tcPr>
          <w:p>
            <w:r/>
            <w:r>
              <w:rPr>
                <w:rFonts w:ascii="Times New Roman" w:hAnsi="Times New Roman" w:eastAsia="Times New Roman"/>
                <w:sz w:val="20"/>
              </w:rPr>
              <w:t>775.5</w:t>
            </w:r>
          </w:p>
        </w:tc>
        <w:tc>
          <w:tcPr>
            <w:tcW w:type="dxa" w:w="1805"/>
          </w:tcPr>
          <w:p>
            <w:r/>
            <w:r>
              <w:rPr>
                <w:rFonts w:ascii="Times New Roman" w:hAnsi="Times New Roman" w:eastAsia="Times New Roman"/>
                <w:sz w:val="20"/>
              </w:rPr>
              <w:t>1,546.0</w:t>
            </w:r>
          </w:p>
        </w:tc>
        <w:tc>
          <w:tcPr>
            <w:tcW w:type="dxa" w:w="1805"/>
          </w:tcPr>
          <w:p>
            <w:r/>
            <w:r>
              <w:rPr>
                <w:rFonts w:ascii="Times New Roman" w:hAnsi="Times New Roman" w:eastAsia="Times New Roman"/>
                <w:sz w:val="20"/>
              </w:rPr>
              <w:t>99.3%</w:t>
            </w:r>
          </w:p>
        </w:tc>
      </w:tr>
      <w:tr>
        <w:tc>
          <w:tcPr>
            <w:tcW w:type="dxa" w:w="1805"/>
          </w:tcPr>
          <w:p>
            <w:r/>
            <w:r>
              <w:rPr>
                <w:rFonts w:ascii="Times New Roman" w:hAnsi="Times New Roman" w:eastAsia="Times New Roman"/>
                <w:sz w:val="20"/>
              </w:rPr>
              <w:t>China imports from UK</w:t>
            </w:r>
          </w:p>
        </w:tc>
        <w:tc>
          <w:tcPr>
            <w:tcW w:type="dxa" w:w="1805"/>
          </w:tcPr>
          <w:p>
            <w:r/>
            <w:r>
              <w:rPr>
                <w:rFonts w:ascii="Times New Roman" w:hAnsi="Times New Roman" w:eastAsia="Times New Roman"/>
                <w:sz w:val="20"/>
              </w:rPr>
              <w:t>SJ3 technical and other business services</w:t>
            </w:r>
          </w:p>
        </w:tc>
        <w:tc>
          <w:tcPr>
            <w:tcW w:type="dxa" w:w="1805"/>
          </w:tcPr>
          <w:p>
            <w:r/>
            <w:r>
              <w:rPr>
                <w:rFonts w:ascii="Times New Roman" w:hAnsi="Times New Roman" w:eastAsia="Times New Roman"/>
                <w:sz w:val="20"/>
              </w:rPr>
              <w:t>739.0</w:t>
            </w:r>
          </w:p>
        </w:tc>
        <w:tc>
          <w:tcPr>
            <w:tcW w:type="dxa" w:w="1805"/>
          </w:tcPr>
          <w:p>
            <w:r/>
            <w:r>
              <w:rPr>
                <w:rFonts w:ascii="Times New Roman" w:hAnsi="Times New Roman" w:eastAsia="Times New Roman"/>
                <w:sz w:val="20"/>
              </w:rPr>
              <w:t>954.6</w:t>
            </w:r>
          </w:p>
        </w:tc>
        <w:tc>
          <w:tcPr>
            <w:tcW w:type="dxa" w:w="1805"/>
          </w:tcPr>
          <w:p>
            <w:r/>
            <w:r>
              <w:rPr>
                <w:rFonts w:ascii="Times New Roman" w:hAnsi="Times New Roman" w:eastAsia="Times New Roman"/>
                <w:sz w:val="20"/>
              </w:rPr>
              <w:t>29.2%</w:t>
            </w:r>
          </w:p>
        </w:tc>
      </w:tr>
      <w:tr>
        <w:tc>
          <w:tcPr>
            <w:tcW w:type="dxa" w:w="1805"/>
          </w:tcPr>
          <w:p>
            <w:r/>
            <w:r>
              <w:rPr>
                <w:rFonts w:ascii="Times New Roman" w:hAnsi="Times New Roman" w:eastAsia="Times New Roman"/>
                <w:sz w:val="20"/>
              </w:rPr>
              <w:t>UK imports from India</w:t>
            </w:r>
          </w:p>
        </w:tc>
        <w:tc>
          <w:tcPr>
            <w:tcW w:type="dxa" w:w="1805"/>
          </w:tcPr>
          <w:p>
            <w:r/>
            <w:r>
              <w:rPr>
                <w:rFonts w:ascii="Times New Roman" w:hAnsi="Times New Roman" w:eastAsia="Times New Roman"/>
                <w:sz w:val="20"/>
              </w:rPr>
              <w:t>SE construction services</w:t>
            </w:r>
          </w:p>
        </w:tc>
        <w:tc>
          <w:tcPr>
            <w:tcW w:type="dxa" w:w="1805"/>
          </w:tcPr>
          <w:p>
            <w:r/>
            <w:r>
              <w:rPr>
                <w:rFonts w:ascii="Times New Roman" w:hAnsi="Times New Roman" w:eastAsia="Times New Roman"/>
                <w:sz w:val="20"/>
              </w:rPr>
              <w:t>41.9</w:t>
            </w:r>
          </w:p>
        </w:tc>
        <w:tc>
          <w:tcPr>
            <w:tcW w:type="dxa" w:w="1805"/>
          </w:tcPr>
          <w:p>
            <w:r/>
            <w:r>
              <w:rPr>
                <w:rFonts w:ascii="Times New Roman" w:hAnsi="Times New Roman" w:eastAsia="Times New Roman"/>
                <w:sz w:val="20"/>
              </w:rPr>
              <w:t>72.8</w:t>
            </w:r>
          </w:p>
        </w:tc>
        <w:tc>
          <w:tcPr>
            <w:tcW w:type="dxa" w:w="1805"/>
          </w:tcPr>
          <w:p>
            <w:r/>
            <w:r>
              <w:rPr>
                <w:rFonts w:ascii="Times New Roman" w:hAnsi="Times New Roman" w:eastAsia="Times New Roman"/>
                <w:sz w:val="20"/>
              </w:rPr>
              <w:t>73.7%</w:t>
            </w:r>
          </w:p>
        </w:tc>
      </w:tr>
      <w:tr>
        <w:tc>
          <w:tcPr>
            <w:tcW w:type="dxa" w:w="1805"/>
          </w:tcPr>
          <w:p>
            <w:r/>
            <w:r>
              <w:rPr>
                <w:rFonts w:ascii="Times New Roman" w:hAnsi="Times New Roman" w:eastAsia="Times New Roman"/>
                <w:sz w:val="20"/>
              </w:rPr>
              <w:t>India imports from UK</w:t>
            </w:r>
          </w:p>
        </w:tc>
        <w:tc>
          <w:tcPr>
            <w:tcW w:type="dxa" w:w="1805"/>
          </w:tcPr>
          <w:p>
            <w:r/>
            <w:r>
              <w:rPr>
                <w:rFonts w:ascii="Times New Roman" w:hAnsi="Times New Roman" w:eastAsia="Times New Roman"/>
                <w:sz w:val="20"/>
              </w:rPr>
              <w:t>SE construction services</w:t>
            </w:r>
          </w:p>
        </w:tc>
        <w:tc>
          <w:tcPr>
            <w:tcW w:type="dxa" w:w="1805"/>
          </w:tcPr>
          <w:p>
            <w:r/>
            <w:r>
              <w:rPr>
                <w:rFonts w:ascii="Times New Roman" w:hAnsi="Times New Roman" w:eastAsia="Times New Roman"/>
                <w:sz w:val="20"/>
              </w:rPr>
              <w:t>39.3</w:t>
            </w:r>
          </w:p>
        </w:tc>
        <w:tc>
          <w:tcPr>
            <w:tcW w:type="dxa" w:w="1805"/>
          </w:tcPr>
          <w:p>
            <w:r/>
            <w:r>
              <w:rPr>
                <w:rFonts w:ascii="Times New Roman" w:hAnsi="Times New Roman" w:eastAsia="Times New Roman"/>
                <w:sz w:val="20"/>
              </w:rPr>
              <w:t>72.6</w:t>
            </w:r>
          </w:p>
        </w:tc>
        <w:tc>
          <w:tcPr>
            <w:tcW w:type="dxa" w:w="1805"/>
          </w:tcPr>
          <w:p>
            <w:r/>
            <w:r>
              <w:rPr>
                <w:rFonts w:ascii="Times New Roman" w:hAnsi="Times New Roman" w:eastAsia="Times New Roman"/>
                <w:sz w:val="20"/>
              </w:rPr>
              <w:t>84.8%</w:t>
            </w:r>
          </w:p>
        </w:tc>
      </w:tr>
      <w:tr>
        <w:tc>
          <w:tcPr>
            <w:tcW w:type="dxa" w:w="1805"/>
          </w:tcPr>
          <w:p>
            <w:r/>
            <w:r>
              <w:rPr>
                <w:rFonts w:ascii="Times New Roman" w:hAnsi="Times New Roman" w:eastAsia="Times New Roman"/>
                <w:sz w:val="20"/>
              </w:rPr>
              <w:t>UK imports from China</w:t>
            </w:r>
          </w:p>
        </w:tc>
        <w:tc>
          <w:tcPr>
            <w:tcW w:type="dxa" w:w="1805"/>
          </w:tcPr>
          <w:p>
            <w:r/>
            <w:r>
              <w:rPr>
                <w:rFonts w:ascii="Times New Roman" w:hAnsi="Times New Roman" w:eastAsia="Times New Roman"/>
                <w:sz w:val="20"/>
              </w:rPr>
              <w:t>SE construction services</w:t>
            </w:r>
          </w:p>
        </w:tc>
        <w:tc>
          <w:tcPr>
            <w:tcW w:type="dxa" w:w="1805"/>
          </w:tcPr>
          <w:p>
            <w:r/>
            <w:r>
              <w:rPr>
                <w:rFonts w:ascii="Times New Roman" w:hAnsi="Times New Roman" w:eastAsia="Times New Roman"/>
                <w:sz w:val="20"/>
              </w:rPr>
              <w:t>118.5</w:t>
            </w:r>
          </w:p>
        </w:tc>
        <w:tc>
          <w:tcPr>
            <w:tcW w:type="dxa" w:w="1805"/>
          </w:tcPr>
          <w:p>
            <w:r/>
            <w:r>
              <w:rPr>
                <w:rFonts w:ascii="Times New Roman" w:hAnsi="Times New Roman" w:eastAsia="Times New Roman"/>
                <w:sz w:val="20"/>
              </w:rPr>
              <w:t>179.8</w:t>
            </w:r>
          </w:p>
        </w:tc>
        <w:tc>
          <w:tcPr>
            <w:tcW w:type="dxa" w:w="1805"/>
          </w:tcPr>
          <w:p>
            <w:r/>
            <w:r>
              <w:rPr>
                <w:rFonts w:ascii="Times New Roman" w:hAnsi="Times New Roman" w:eastAsia="Times New Roman"/>
                <w:sz w:val="20"/>
              </w:rPr>
              <w:t>51.7%</w:t>
            </w:r>
          </w:p>
        </w:tc>
      </w:tr>
      <w:tr>
        <w:tc>
          <w:tcPr>
            <w:tcW w:type="dxa" w:w="1805"/>
          </w:tcPr>
          <w:p>
            <w:r/>
            <w:r>
              <w:rPr>
                <w:rFonts w:ascii="Times New Roman" w:hAnsi="Times New Roman" w:eastAsia="Times New Roman"/>
                <w:sz w:val="20"/>
              </w:rPr>
              <w:t>China imports from UK</w:t>
            </w:r>
          </w:p>
        </w:tc>
        <w:tc>
          <w:tcPr>
            <w:tcW w:type="dxa" w:w="1805"/>
          </w:tcPr>
          <w:p>
            <w:r/>
            <w:r>
              <w:rPr>
                <w:rFonts w:ascii="Times New Roman" w:hAnsi="Times New Roman" w:eastAsia="Times New Roman"/>
                <w:sz w:val="20"/>
              </w:rPr>
              <w:t>SE construction services</w:t>
            </w:r>
          </w:p>
        </w:tc>
        <w:tc>
          <w:tcPr>
            <w:tcW w:type="dxa" w:w="1805"/>
          </w:tcPr>
          <w:p>
            <w:r/>
            <w:r>
              <w:rPr>
                <w:rFonts w:ascii="Times New Roman" w:hAnsi="Times New Roman" w:eastAsia="Times New Roman"/>
                <w:sz w:val="20"/>
              </w:rPr>
              <w:t>54.8</w:t>
            </w:r>
          </w:p>
        </w:tc>
        <w:tc>
          <w:tcPr>
            <w:tcW w:type="dxa" w:w="1805"/>
          </w:tcPr>
          <w:p>
            <w:r/>
            <w:r>
              <w:rPr>
                <w:rFonts w:ascii="Times New Roman" w:hAnsi="Times New Roman" w:eastAsia="Times New Roman"/>
                <w:sz w:val="20"/>
              </w:rPr>
              <w:t>70.8</w:t>
            </w:r>
          </w:p>
        </w:tc>
        <w:tc>
          <w:tcPr>
            <w:tcW w:type="dxa" w:w="1805"/>
          </w:tcPr>
          <w:p>
            <w:r/>
            <w:r>
              <w:rPr>
                <w:rFonts w:ascii="Times New Roman" w:hAnsi="Times New Roman" w:eastAsia="Times New Roman"/>
                <w:sz w:val="20"/>
              </w:rPr>
              <w:t>29.2%</w:t>
            </w:r>
          </w:p>
        </w:tc>
      </w:tr>
      <w:tr>
        <w:tc>
          <w:tcPr>
            <w:tcW w:type="dxa" w:w="1805"/>
          </w:tcPr>
          <w:p>
            <w:r/>
            <w:r>
              <w:rPr>
                <w:rFonts w:ascii="Times New Roman" w:hAnsi="Times New Roman" w:eastAsia="Times New Roman"/>
                <w:sz w:val="20"/>
              </w:rPr>
              <w:t>UK imports from India</w:t>
            </w:r>
          </w:p>
        </w:tc>
        <w:tc>
          <w:tcPr>
            <w:tcW w:type="dxa" w:w="1805"/>
          </w:tcPr>
          <w:p>
            <w:r/>
            <w:r>
              <w:rPr>
                <w:rFonts w:ascii="Times New Roman" w:hAnsi="Times New Roman" w:eastAsia="Times New Roman"/>
                <w:sz w:val="20"/>
              </w:rPr>
              <w:t>SI computer and information services</w:t>
            </w:r>
          </w:p>
        </w:tc>
        <w:tc>
          <w:tcPr>
            <w:tcW w:type="dxa" w:w="1805"/>
          </w:tcPr>
          <w:p>
            <w:r/>
            <w:r>
              <w:rPr>
                <w:rFonts w:ascii="Times New Roman" w:hAnsi="Times New Roman" w:eastAsia="Times New Roman"/>
                <w:sz w:val="20"/>
              </w:rPr>
              <w:t>2,215.3</w:t>
            </w:r>
          </w:p>
        </w:tc>
        <w:tc>
          <w:tcPr>
            <w:tcW w:type="dxa" w:w="1805"/>
          </w:tcPr>
          <w:p>
            <w:r/>
            <w:r>
              <w:rPr>
                <w:rFonts w:ascii="Times New Roman" w:hAnsi="Times New Roman" w:eastAsia="Times New Roman"/>
                <w:sz w:val="20"/>
              </w:rPr>
              <w:t>4,723.0</w:t>
            </w:r>
          </w:p>
        </w:tc>
        <w:tc>
          <w:tcPr>
            <w:tcW w:type="dxa" w:w="1805"/>
          </w:tcPr>
          <w:p>
            <w:r/>
            <w:r>
              <w:rPr>
                <w:rFonts w:ascii="Times New Roman" w:hAnsi="Times New Roman" w:eastAsia="Times New Roman"/>
                <w:sz w:val="20"/>
              </w:rPr>
              <w:t>113.2%</w:t>
            </w:r>
          </w:p>
        </w:tc>
      </w:tr>
      <w:tr>
        <w:tc>
          <w:tcPr>
            <w:tcW w:type="dxa" w:w="1805"/>
          </w:tcPr>
          <w:p>
            <w:r/>
            <w:r>
              <w:rPr>
                <w:rFonts w:ascii="Times New Roman" w:hAnsi="Times New Roman" w:eastAsia="Times New Roman"/>
                <w:sz w:val="20"/>
              </w:rPr>
              <w:t>India imports from UK</w:t>
            </w:r>
          </w:p>
        </w:tc>
        <w:tc>
          <w:tcPr>
            <w:tcW w:type="dxa" w:w="1805"/>
          </w:tcPr>
          <w:p>
            <w:r/>
            <w:r>
              <w:rPr>
                <w:rFonts w:ascii="Times New Roman" w:hAnsi="Times New Roman" w:eastAsia="Times New Roman"/>
                <w:sz w:val="20"/>
              </w:rPr>
              <w:t>SI computer and information services</w:t>
            </w:r>
          </w:p>
        </w:tc>
        <w:tc>
          <w:tcPr>
            <w:tcW w:type="dxa" w:w="1805"/>
          </w:tcPr>
          <w:p>
            <w:r/>
            <w:r>
              <w:rPr>
                <w:rFonts w:ascii="Times New Roman" w:hAnsi="Times New Roman" w:eastAsia="Times New Roman"/>
                <w:sz w:val="20"/>
              </w:rPr>
              <w:t>389.2</w:t>
            </w:r>
          </w:p>
        </w:tc>
        <w:tc>
          <w:tcPr>
            <w:tcW w:type="dxa" w:w="1805"/>
          </w:tcPr>
          <w:p>
            <w:r/>
            <w:r>
              <w:rPr>
                <w:rFonts w:ascii="Times New Roman" w:hAnsi="Times New Roman" w:eastAsia="Times New Roman"/>
                <w:sz w:val="20"/>
              </w:rPr>
              <w:t>707.6</w:t>
            </w:r>
          </w:p>
        </w:tc>
        <w:tc>
          <w:tcPr>
            <w:tcW w:type="dxa" w:w="1805"/>
          </w:tcPr>
          <w:p>
            <w:r/>
            <w:r>
              <w:rPr>
                <w:rFonts w:ascii="Times New Roman" w:hAnsi="Times New Roman" w:eastAsia="Times New Roman"/>
                <w:sz w:val="20"/>
              </w:rPr>
              <w:t>81.8%</w:t>
            </w:r>
          </w:p>
        </w:tc>
      </w:tr>
      <w:tr>
        <w:tc>
          <w:tcPr>
            <w:tcW w:type="dxa" w:w="1805"/>
          </w:tcPr>
          <w:p>
            <w:r/>
            <w:r>
              <w:rPr>
                <w:rFonts w:ascii="Times New Roman" w:hAnsi="Times New Roman" w:eastAsia="Times New Roman"/>
                <w:sz w:val="20"/>
              </w:rPr>
              <w:t>UK imports from China</w:t>
            </w:r>
          </w:p>
        </w:tc>
        <w:tc>
          <w:tcPr>
            <w:tcW w:type="dxa" w:w="1805"/>
          </w:tcPr>
          <w:p>
            <w:r/>
            <w:r>
              <w:rPr>
                <w:rFonts w:ascii="Times New Roman" w:hAnsi="Times New Roman" w:eastAsia="Times New Roman"/>
                <w:sz w:val="20"/>
              </w:rPr>
              <w:t>SI computer and information services</w:t>
            </w:r>
          </w:p>
        </w:tc>
        <w:tc>
          <w:tcPr>
            <w:tcW w:type="dxa" w:w="1805"/>
          </w:tcPr>
          <w:p>
            <w:r/>
            <w:r>
              <w:rPr>
                <w:rFonts w:ascii="Times New Roman" w:hAnsi="Times New Roman" w:eastAsia="Times New Roman"/>
                <w:sz w:val="20"/>
              </w:rPr>
              <w:t>724.7</w:t>
            </w:r>
          </w:p>
        </w:tc>
        <w:tc>
          <w:tcPr>
            <w:tcW w:type="dxa" w:w="1805"/>
          </w:tcPr>
          <w:p>
            <w:r/>
            <w:r>
              <w:rPr>
                <w:rFonts w:ascii="Times New Roman" w:hAnsi="Times New Roman" w:eastAsia="Times New Roman"/>
                <w:sz w:val="20"/>
              </w:rPr>
              <w:t>1,054.5</w:t>
            </w:r>
          </w:p>
        </w:tc>
        <w:tc>
          <w:tcPr>
            <w:tcW w:type="dxa" w:w="1805"/>
          </w:tcPr>
          <w:p>
            <w:r/>
            <w:r>
              <w:rPr>
                <w:rFonts w:ascii="Times New Roman" w:hAnsi="Times New Roman" w:eastAsia="Times New Roman"/>
                <w:sz w:val="20"/>
              </w:rPr>
              <w:t>45.5%</w:t>
            </w:r>
          </w:p>
        </w:tc>
      </w:tr>
      <w:tr>
        <w:tc>
          <w:tcPr>
            <w:tcW w:type="dxa" w:w="1805"/>
          </w:tcPr>
          <w:p>
            <w:r/>
            <w:r>
              <w:rPr>
                <w:rFonts w:ascii="Times New Roman" w:hAnsi="Times New Roman" w:eastAsia="Times New Roman"/>
                <w:sz w:val="20"/>
              </w:rPr>
              <w:t>China imports from UK</w:t>
            </w:r>
          </w:p>
        </w:tc>
        <w:tc>
          <w:tcPr>
            <w:tcW w:type="dxa" w:w="1805"/>
          </w:tcPr>
          <w:p>
            <w:r/>
            <w:r>
              <w:rPr>
                <w:rFonts w:ascii="Times New Roman" w:hAnsi="Times New Roman" w:eastAsia="Times New Roman"/>
                <w:sz w:val="20"/>
              </w:rPr>
              <w:t>SI computer and information services</w:t>
            </w:r>
          </w:p>
        </w:tc>
        <w:tc>
          <w:tcPr>
            <w:tcW w:type="dxa" w:w="1805"/>
          </w:tcPr>
          <w:p>
            <w:r/>
            <w:r>
              <w:rPr>
                <w:rFonts w:ascii="Times New Roman" w:hAnsi="Times New Roman" w:eastAsia="Times New Roman"/>
                <w:sz w:val="20"/>
              </w:rPr>
              <w:t>1,639.3</w:t>
            </w:r>
          </w:p>
        </w:tc>
        <w:tc>
          <w:tcPr>
            <w:tcW w:type="dxa" w:w="1805"/>
          </w:tcPr>
          <w:p>
            <w:r/>
            <w:r>
              <w:rPr>
                <w:rFonts w:ascii="Times New Roman" w:hAnsi="Times New Roman" w:eastAsia="Times New Roman"/>
                <w:sz w:val="20"/>
              </w:rPr>
              <w:t>2,404.1</w:t>
            </w:r>
          </w:p>
        </w:tc>
        <w:tc>
          <w:tcPr>
            <w:tcW w:type="dxa" w:w="1805"/>
          </w:tcPr>
          <w:p>
            <w:r/>
            <w:r>
              <w:rPr>
                <w:rFonts w:ascii="Times New Roman" w:hAnsi="Times New Roman" w:eastAsia="Times New Roman"/>
                <w:sz w:val="20"/>
              </w:rPr>
              <w:t>46.7%</w:t>
            </w:r>
          </w:p>
        </w:tc>
      </w:tr>
    </w:tbl>
    <w:p>
      <w:pPr>
        <w:spacing w:line="480" w:lineRule="auto" w:after="0"/>
        <w:ind w:firstLine="0"/>
      </w:pPr>
      <w:r>
        <w:rPr>
          <w:rFonts w:ascii="Times New Roman" w:hAnsi="Times New Roman" w:eastAsia="Times New Roman"/>
          <w:b w:val="0"/>
          <w:i/>
          <w:sz w:val="20"/>
        </w:rPr>
        <w:t>Note. Source: OECD–WTO BaTIS, adjustment B. Values are balanced imports in current USD million.</w:t>
      </w:r>
    </w:p>
    <w:p/>
    <w:p>
      <w:pPr>
        <w:spacing w:line="480" w:lineRule="auto" w:after="0"/>
        <w:ind w:firstLine="0"/>
      </w:pPr>
      <w:r>
        <w:rPr>
          <w:rFonts w:ascii="Times New Roman" w:hAnsi="Times New Roman" w:eastAsia="Times New Roman"/>
          <w:b/>
          <w:i w:val="0"/>
          <w:sz w:val="24"/>
        </w:rPr>
        <w:t>Table 2. EU-27 enterprise use of natural-language-generation AI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256"/>
        <w:gridCol w:w="2256"/>
        <w:gridCol w:w="2256"/>
        <w:gridCol w:w="2256"/>
      </w:tblGrid>
      <w:tr>
        <w:tc>
          <w:tcPr>
            <w:tcW w:type="dxa" w:w="2256"/>
          </w:tcPr>
          <w:p>
            <w:r/>
            <w:r>
              <w:rPr>
                <w:rFonts w:ascii="Times New Roman" w:hAnsi="Times New Roman" w:eastAsia="Times New Roman"/>
                <w:b/>
                <w:sz w:val="20"/>
              </w:rPr>
              <w:t>Industry</w:t>
            </w:r>
          </w:p>
        </w:tc>
        <w:tc>
          <w:tcPr>
            <w:tcW w:type="dxa" w:w="2256"/>
          </w:tcPr>
          <w:p>
            <w:r/>
            <w:r>
              <w:rPr>
                <w:rFonts w:ascii="Times New Roman" w:hAnsi="Times New Roman" w:eastAsia="Times New Roman"/>
                <w:b/>
                <w:sz w:val="20"/>
              </w:rPr>
              <w:t>2023</w:t>
            </w:r>
          </w:p>
        </w:tc>
        <w:tc>
          <w:tcPr>
            <w:tcW w:type="dxa" w:w="2256"/>
          </w:tcPr>
          <w:p>
            <w:r/>
            <w:r>
              <w:rPr>
                <w:rFonts w:ascii="Times New Roman" w:hAnsi="Times New Roman" w:eastAsia="Times New Roman"/>
                <w:b/>
                <w:sz w:val="20"/>
              </w:rPr>
              <w:t>2024</w:t>
            </w:r>
          </w:p>
        </w:tc>
        <w:tc>
          <w:tcPr>
            <w:tcW w:type="dxa" w:w="2256"/>
          </w:tcPr>
          <w:p>
            <w:r/>
            <w:r>
              <w:rPr>
                <w:rFonts w:ascii="Times New Roman" w:hAnsi="Times New Roman" w:eastAsia="Times New Roman"/>
                <w:b/>
                <w:sz w:val="20"/>
              </w:rPr>
              <w:t>2025</w:t>
            </w:r>
          </w:p>
        </w:tc>
      </w:tr>
      <w:tr>
        <w:tc>
          <w:tcPr>
            <w:tcW w:type="dxa" w:w="2256"/>
          </w:tcPr>
          <w:p>
            <w:r/>
            <w:r>
              <w:rPr>
                <w:rFonts w:ascii="Times New Roman" w:hAnsi="Times New Roman" w:eastAsia="Times New Roman"/>
                <w:sz w:val="20"/>
              </w:rPr>
              <w:t>NACE M professional services</w:t>
            </w:r>
          </w:p>
        </w:tc>
        <w:tc>
          <w:tcPr>
            <w:tcW w:type="dxa" w:w="2256"/>
          </w:tcPr>
          <w:p>
            <w:r/>
            <w:r>
              <w:rPr>
                <w:rFonts w:ascii="Times New Roman" w:hAnsi="Times New Roman" w:eastAsia="Times New Roman"/>
                <w:sz w:val="20"/>
              </w:rPr>
              <w:t>4.55%</w:t>
            </w:r>
          </w:p>
        </w:tc>
        <w:tc>
          <w:tcPr>
            <w:tcW w:type="dxa" w:w="2256"/>
          </w:tcPr>
          <w:p>
            <w:r/>
            <w:r>
              <w:rPr>
                <w:rFonts w:ascii="Times New Roman" w:hAnsi="Times New Roman" w:eastAsia="Times New Roman"/>
                <w:sz w:val="20"/>
              </w:rPr>
              <w:t>11.51%</w:t>
            </w:r>
          </w:p>
        </w:tc>
        <w:tc>
          <w:tcPr>
            <w:tcW w:type="dxa" w:w="2256"/>
          </w:tcPr>
          <w:p>
            <w:r/>
            <w:r>
              <w:rPr>
                <w:rFonts w:ascii="Times New Roman" w:hAnsi="Times New Roman" w:eastAsia="Times New Roman"/>
                <w:sz w:val="20"/>
              </w:rPr>
              <w:t>17.74%</w:t>
            </w:r>
          </w:p>
        </w:tc>
      </w:tr>
      <w:tr>
        <w:tc>
          <w:tcPr>
            <w:tcW w:type="dxa" w:w="2256"/>
          </w:tcPr>
          <w:p>
            <w:r/>
            <w:r>
              <w:rPr>
                <w:rFonts w:ascii="Times New Roman" w:hAnsi="Times New Roman" w:eastAsia="Times New Roman"/>
                <w:sz w:val="20"/>
              </w:rPr>
              <w:t>NACE F construction</w:t>
            </w:r>
          </w:p>
        </w:tc>
        <w:tc>
          <w:tcPr>
            <w:tcW w:type="dxa" w:w="2256"/>
          </w:tcPr>
          <w:p>
            <w:r/>
            <w:r>
              <w:rPr>
                <w:rFonts w:ascii="Times New Roman" w:hAnsi="Times New Roman" w:eastAsia="Times New Roman"/>
                <w:sz w:val="20"/>
              </w:rPr>
              <w:t>0.58%</w:t>
            </w:r>
          </w:p>
        </w:tc>
        <w:tc>
          <w:tcPr>
            <w:tcW w:type="dxa" w:w="2256"/>
          </w:tcPr>
          <w:p>
            <w:r/>
            <w:r>
              <w:rPr>
                <w:rFonts w:ascii="Times New Roman" w:hAnsi="Times New Roman" w:eastAsia="Times New Roman"/>
                <w:sz w:val="20"/>
              </w:rPr>
              <w:t>2.42%</w:t>
            </w:r>
          </w:p>
        </w:tc>
        <w:tc>
          <w:tcPr>
            <w:tcW w:type="dxa" w:w="2256"/>
          </w:tcPr>
          <w:p>
            <w:r/>
            <w:r>
              <w:rPr>
                <w:rFonts w:ascii="Times New Roman" w:hAnsi="Times New Roman" w:eastAsia="Times New Roman"/>
                <w:sz w:val="20"/>
              </w:rPr>
              <w:t>3.25%</w:t>
            </w:r>
          </w:p>
        </w:tc>
      </w:tr>
    </w:tbl>
    <w:p>
      <w:pPr>
        <w:spacing w:line="480" w:lineRule="auto" w:after="0"/>
        <w:ind w:firstLine="0"/>
      </w:pPr>
      <w:r>
        <w:rPr>
          <w:rFonts w:ascii="Times New Roman" w:hAnsi="Times New Roman" w:eastAsia="Times New Roman"/>
          <w:b w:val="0"/>
          <w:i/>
          <w:sz w:val="20"/>
        </w:rPr>
        <w:t>Note. Source: Eurostat isoc_eb_ain2, enterprises with at least ten persons.</w:t>
      </w:r>
    </w:p>
    <w:p/>
    <w:p>
      <w:pPr>
        <w:spacing w:line="480" w:lineRule="auto" w:after="0"/>
        <w:ind w:firstLine="0"/>
      </w:pPr>
      <w:r>
        <w:rPr>
          <w:rFonts w:ascii="Times New Roman" w:hAnsi="Times New Roman" w:eastAsia="Times New Roman"/>
          <w:b/>
          <w:i w:val="0"/>
          <w:sz w:val="24"/>
        </w:rPr>
        <w:t>Table 3. Selected trade estimates under the NLG shock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09"/>
        <w:gridCol w:w="3009"/>
        <w:gridCol w:w="3009"/>
      </w:tblGrid>
      <w:tr>
        <w:tc>
          <w:tcPr>
            <w:tcW w:type="dxa" w:w="3009"/>
          </w:tcPr>
          <w:p>
            <w:r/>
            <w:r>
              <w:rPr>
                <w:rFonts w:ascii="Times New Roman" w:hAnsi="Times New Roman" w:eastAsia="Times New Roman"/>
                <w:b/>
                <w:sz w:val="20"/>
              </w:rPr>
              <w:t>Outcome/specification</w:t>
            </w:r>
          </w:p>
        </w:tc>
        <w:tc>
          <w:tcPr>
            <w:tcW w:type="dxa" w:w="3009"/>
          </w:tcPr>
          <w:p>
            <w:r/>
            <w:r>
              <w:rPr>
                <w:rFonts w:ascii="Times New Roman" w:hAnsi="Times New Roman" w:eastAsia="Times New Roman"/>
                <w:b/>
                <w:sz w:val="20"/>
              </w:rPr>
              <w:t>Coefficient (s.e.)</w:t>
            </w:r>
          </w:p>
        </w:tc>
        <w:tc>
          <w:tcPr>
            <w:tcW w:type="dxa" w:w="3009"/>
          </w:tcPr>
          <w:p>
            <w:r/>
            <w:r>
              <w:rPr>
                <w:rFonts w:ascii="Times New Roman" w:hAnsi="Times New Roman" w:eastAsia="Times New Roman"/>
                <w:b/>
                <w:sz w:val="20"/>
              </w:rPr>
              <w:t>N</w:t>
            </w:r>
          </w:p>
        </w:tc>
      </w:tr>
      <w:tr>
        <w:tc>
          <w:tcPr>
            <w:tcW w:type="dxa" w:w="3009"/>
          </w:tcPr>
          <w:p>
            <w:r/>
            <w:r>
              <w:rPr>
                <w:rFonts w:ascii="Times New Roman" w:hAnsi="Times New Roman" w:eastAsia="Times New Roman"/>
                <w:sz w:val="20"/>
              </w:rPr>
              <w:t>Indian SJ3, Post × ΔM TNLG</w:t>
            </w:r>
          </w:p>
        </w:tc>
        <w:tc>
          <w:tcPr>
            <w:tcW w:type="dxa" w:w="3009"/>
          </w:tcPr>
          <w:p>
            <w:r/>
            <w:r>
              <w:rPr>
                <w:rFonts w:ascii="Times New Roman" w:hAnsi="Times New Roman" w:eastAsia="Times New Roman"/>
                <w:sz w:val="20"/>
              </w:rPr>
              <w:t>0.021*** (0.008)</w:t>
            </w:r>
          </w:p>
        </w:tc>
        <w:tc>
          <w:tcPr>
            <w:tcW w:type="dxa" w:w="3009"/>
          </w:tcPr>
          <w:p>
            <w:r/>
            <w:r>
              <w:rPr>
                <w:rFonts w:ascii="Times New Roman" w:hAnsi="Times New Roman" w:eastAsia="Times New Roman"/>
                <w:sz w:val="20"/>
              </w:rPr>
              <w:t>119</w:t>
            </w:r>
          </w:p>
        </w:tc>
      </w:tr>
      <w:tr>
        <w:tc>
          <w:tcPr>
            <w:tcW w:type="dxa" w:w="3009"/>
          </w:tcPr>
          <w:p>
            <w:r/>
            <w:r>
              <w:rPr>
                <w:rFonts w:ascii="Times New Roman" w:hAnsi="Times New Roman" w:eastAsia="Times New Roman"/>
                <w:sz w:val="20"/>
              </w:rPr>
              <w:t>Pooled Mode-1 SJ3, Post-2024 × ΔM TNLG</w:t>
            </w:r>
          </w:p>
        </w:tc>
        <w:tc>
          <w:tcPr>
            <w:tcW w:type="dxa" w:w="3009"/>
          </w:tcPr>
          <w:p>
            <w:r/>
            <w:r>
              <w:rPr>
                <w:rFonts w:ascii="Times New Roman" w:hAnsi="Times New Roman" w:eastAsia="Times New Roman"/>
                <w:sz w:val="20"/>
              </w:rPr>
              <w:t>0.007** (0.003)</w:t>
            </w:r>
          </w:p>
        </w:tc>
        <w:tc>
          <w:tcPr>
            <w:tcW w:type="dxa" w:w="3009"/>
          </w:tcPr>
          <w:p>
            <w:r/>
            <w:r>
              <w:rPr>
                <w:rFonts w:ascii="Times New Roman" w:hAnsi="Times New Roman" w:eastAsia="Times New Roman"/>
                <w:sz w:val="20"/>
              </w:rPr>
              <w:t>357</w:t>
            </w:r>
          </w:p>
        </w:tc>
      </w:tr>
      <w:tr>
        <w:tc>
          <w:tcPr>
            <w:tcW w:type="dxa" w:w="3009"/>
          </w:tcPr>
          <w:p>
            <w:r/>
            <w:r>
              <w:rPr>
                <w:rFonts w:ascii="Times New Roman" w:hAnsi="Times New Roman" w:eastAsia="Times New Roman"/>
                <w:sz w:val="20"/>
              </w:rPr>
              <w:t>Chinese construction services (SE)</w:t>
            </w:r>
          </w:p>
        </w:tc>
        <w:tc>
          <w:tcPr>
            <w:tcW w:type="dxa" w:w="3009"/>
          </w:tcPr>
          <w:p>
            <w:r/>
            <w:r>
              <w:rPr>
                <w:rFonts w:ascii="Times New Roman" w:hAnsi="Times New Roman" w:eastAsia="Times New Roman"/>
                <w:sz w:val="20"/>
              </w:rPr>
              <w:t>−0.008 (0.009)</w:t>
            </w:r>
          </w:p>
        </w:tc>
        <w:tc>
          <w:tcPr>
            <w:tcW w:type="dxa" w:w="3009"/>
          </w:tcPr>
          <w:p>
            <w:r/>
            <w:r>
              <w:rPr>
                <w:rFonts w:ascii="Times New Roman" w:hAnsi="Times New Roman" w:eastAsia="Times New Roman"/>
                <w:sz w:val="20"/>
              </w:rPr>
              <w:t>119</w:t>
            </w:r>
          </w:p>
        </w:tc>
      </w:tr>
      <w:tr>
        <w:tc>
          <w:tcPr>
            <w:tcW w:type="dxa" w:w="3009"/>
          </w:tcPr>
          <w:p>
            <w:r/>
            <w:r>
              <w:rPr>
                <w:rFonts w:ascii="Times New Roman" w:hAnsi="Times New Roman" w:eastAsia="Times New Roman"/>
                <w:sz w:val="20"/>
              </w:rPr>
              <w:t>Chinese SJ3</w:t>
            </w:r>
          </w:p>
        </w:tc>
        <w:tc>
          <w:tcPr>
            <w:tcW w:type="dxa" w:w="3009"/>
          </w:tcPr>
          <w:p>
            <w:r/>
            <w:r>
              <w:rPr>
                <w:rFonts w:ascii="Times New Roman" w:hAnsi="Times New Roman" w:eastAsia="Times New Roman"/>
                <w:sz w:val="20"/>
              </w:rPr>
              <w:t>0.005 (0.010)</w:t>
            </w:r>
          </w:p>
        </w:tc>
        <w:tc>
          <w:tcPr>
            <w:tcW w:type="dxa" w:w="3009"/>
          </w:tcPr>
          <w:p>
            <w:r/>
            <w:r>
              <w:rPr>
                <w:rFonts w:ascii="Times New Roman" w:hAnsi="Times New Roman" w:eastAsia="Times New Roman"/>
                <w:sz w:val="20"/>
              </w:rPr>
              <w:t>119</w:t>
            </w:r>
          </w:p>
        </w:tc>
      </w:tr>
      <w:tr>
        <w:tc>
          <w:tcPr>
            <w:tcW w:type="dxa" w:w="3009"/>
          </w:tcPr>
          <w:p>
            <w:r/>
            <w:r>
              <w:rPr>
                <w:rFonts w:ascii="Times New Roman" w:hAnsi="Times New Roman" w:eastAsia="Times New Roman"/>
                <w:sz w:val="20"/>
              </w:rPr>
              <w:t>Indian computer services comparison</w:t>
            </w:r>
          </w:p>
        </w:tc>
        <w:tc>
          <w:tcPr>
            <w:tcW w:type="dxa" w:w="3009"/>
          </w:tcPr>
          <w:p>
            <w:r/>
            <w:r>
              <w:rPr>
                <w:rFonts w:ascii="Times New Roman" w:hAnsi="Times New Roman" w:eastAsia="Times New Roman"/>
                <w:sz w:val="20"/>
              </w:rPr>
              <w:t>−0.002 (0.006)</w:t>
            </w:r>
          </w:p>
        </w:tc>
        <w:tc>
          <w:tcPr>
            <w:tcW w:type="dxa" w:w="3009"/>
          </w:tcPr>
          <w:p>
            <w:r/>
            <w:r>
              <w:rPr>
                <w:rFonts w:ascii="Times New Roman" w:hAnsi="Times New Roman" w:eastAsia="Times New Roman"/>
                <w:sz w:val="20"/>
              </w:rPr>
              <w:t>357</w:t>
            </w:r>
          </w:p>
        </w:tc>
      </w:tr>
      <w:tr>
        <w:tc>
          <w:tcPr>
            <w:tcW w:type="dxa" w:w="3009"/>
          </w:tcPr>
          <w:p>
            <w:r/>
            <w:r>
              <w:rPr>
                <w:rFonts w:ascii="Times New Roman" w:hAnsi="Times New Roman" w:eastAsia="Times New Roman"/>
                <w:sz w:val="20"/>
              </w:rPr>
              <w:t>Generic any-AI comparison</w:t>
            </w:r>
          </w:p>
        </w:tc>
        <w:tc>
          <w:tcPr>
            <w:tcW w:type="dxa" w:w="3009"/>
          </w:tcPr>
          <w:p>
            <w:r/>
            <w:r>
              <w:rPr>
                <w:rFonts w:ascii="Times New Roman" w:hAnsi="Times New Roman" w:eastAsia="Times New Roman"/>
                <w:sz w:val="20"/>
              </w:rPr>
              <w:t>0.000 (0.006)</w:t>
            </w:r>
          </w:p>
        </w:tc>
        <w:tc>
          <w:tcPr>
            <w:tcW w:type="dxa" w:w="3009"/>
          </w:tcPr>
          <w:p>
            <w:r/>
            <w:r>
              <w:rPr>
                <w:rFonts w:ascii="Times New Roman" w:hAnsi="Times New Roman" w:eastAsia="Times New Roman"/>
                <w:sz w:val="20"/>
              </w:rPr>
              <w:t>336</w:t>
            </w:r>
          </w:p>
        </w:tc>
      </w:tr>
    </w:tbl>
    <w:p>
      <w:pPr>
        <w:spacing w:line="480" w:lineRule="auto" w:after="0"/>
        <w:ind w:firstLine="0"/>
      </w:pPr>
      <w:r>
        <w:rPr>
          <w:rFonts w:ascii="Times New Roman" w:hAnsi="Times New Roman" w:eastAsia="Times New Roman"/>
          <w:b w:val="0"/>
          <w:i/>
          <w:sz w:val="20"/>
        </w:rPr>
        <w:t>Note. Importer and year fixed effects; standard errors clustered by importer. The pooled model also contains partner fixed effects. *p &lt; 0.10, **p &lt; 0.05, ***p &lt; 0.01.</w:t>
      </w:r>
    </w:p>
    <w:p/>
    <w:p>
      <w:pPr>
        <w:spacing w:line="480" w:lineRule="auto" w:after="0"/>
        <w:ind w:firstLine="0"/>
      </w:pPr>
      <w:r>
        <w:rPr>
          <w:rFonts w:ascii="Times New Roman" w:hAnsi="Times New Roman" w:eastAsia="Times New Roman"/>
          <w:b/>
          <w:i w:val="0"/>
          <w:sz w:val="24"/>
        </w:rPr>
        <w:t>Table 4. M71 industry outcomes under the NLG shock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09"/>
        <w:gridCol w:w="3009"/>
        <w:gridCol w:w="3009"/>
      </w:tblGrid>
      <w:tr>
        <w:tc>
          <w:tcPr>
            <w:tcW w:type="dxa" w:w="3009"/>
          </w:tcPr>
          <w:p>
            <w:r/>
            <w:r>
              <w:rPr>
                <w:rFonts w:ascii="Times New Roman" w:hAnsi="Times New Roman" w:eastAsia="Times New Roman"/>
                <w:b/>
                <w:sz w:val="20"/>
              </w:rPr>
              <w:t>Outcome</w:t>
            </w:r>
          </w:p>
        </w:tc>
        <w:tc>
          <w:tcPr>
            <w:tcW w:type="dxa" w:w="3009"/>
          </w:tcPr>
          <w:p>
            <w:r/>
            <w:r>
              <w:rPr>
                <w:rFonts w:ascii="Times New Roman" w:hAnsi="Times New Roman" w:eastAsia="Times New Roman"/>
                <w:b/>
                <w:sz w:val="20"/>
              </w:rPr>
              <w:t>Post-2024 × ΔTNLG (s.e.)</w:t>
            </w:r>
          </w:p>
        </w:tc>
        <w:tc>
          <w:tcPr>
            <w:tcW w:type="dxa" w:w="3009"/>
          </w:tcPr>
          <w:p>
            <w:r/>
            <w:r>
              <w:rPr>
                <w:rFonts w:ascii="Times New Roman" w:hAnsi="Times New Roman" w:eastAsia="Times New Roman"/>
                <w:b/>
                <w:sz w:val="20"/>
              </w:rPr>
              <w:t>N</w:t>
            </w:r>
          </w:p>
        </w:tc>
      </w:tr>
      <w:tr>
        <w:tc>
          <w:tcPr>
            <w:tcW w:type="dxa" w:w="3009"/>
          </w:tcPr>
          <w:p>
            <w:r/>
            <w:r>
              <w:rPr>
                <w:rFonts w:ascii="Times New Roman" w:hAnsi="Times New Roman" w:eastAsia="Times New Roman"/>
                <w:sz w:val="20"/>
              </w:rPr>
              <w:t>Log M71 turnover</w:t>
            </w:r>
          </w:p>
        </w:tc>
        <w:tc>
          <w:tcPr>
            <w:tcW w:type="dxa" w:w="3009"/>
          </w:tcPr>
          <w:p>
            <w:r/>
            <w:r>
              <w:rPr>
                <w:rFonts w:ascii="Times New Roman" w:hAnsi="Times New Roman" w:eastAsia="Times New Roman"/>
                <w:sz w:val="20"/>
              </w:rPr>
              <w:t>−0.007** (0.003)</w:t>
            </w:r>
          </w:p>
        </w:tc>
        <w:tc>
          <w:tcPr>
            <w:tcW w:type="dxa" w:w="3009"/>
          </w:tcPr>
          <w:p>
            <w:r/>
            <w:r>
              <w:rPr>
                <w:rFonts w:ascii="Times New Roman" w:hAnsi="Times New Roman" w:eastAsia="Times New Roman"/>
                <w:sz w:val="20"/>
              </w:rPr>
              <w:t>68</w:t>
            </w:r>
          </w:p>
        </w:tc>
      </w:tr>
      <w:tr>
        <w:tc>
          <w:tcPr>
            <w:tcW w:type="dxa" w:w="3009"/>
          </w:tcPr>
          <w:p>
            <w:r/>
            <w:r>
              <w:rPr>
                <w:rFonts w:ascii="Times New Roman" w:hAnsi="Times New Roman" w:eastAsia="Times New Roman"/>
                <w:sz w:val="20"/>
              </w:rPr>
              <w:t>Log M71 employment</w:t>
            </w:r>
          </w:p>
        </w:tc>
        <w:tc>
          <w:tcPr>
            <w:tcW w:type="dxa" w:w="3009"/>
          </w:tcPr>
          <w:p>
            <w:r/>
            <w:r>
              <w:rPr>
                <w:rFonts w:ascii="Times New Roman" w:hAnsi="Times New Roman" w:eastAsia="Times New Roman"/>
                <w:sz w:val="20"/>
              </w:rPr>
              <w:t>−0.000 (0.002)</w:t>
            </w:r>
          </w:p>
        </w:tc>
        <w:tc>
          <w:tcPr>
            <w:tcW w:type="dxa" w:w="3009"/>
          </w:tcPr>
          <w:p>
            <w:r/>
            <w:r>
              <w:rPr>
                <w:rFonts w:ascii="Times New Roman" w:hAnsi="Times New Roman" w:eastAsia="Times New Roman"/>
                <w:sz w:val="20"/>
              </w:rPr>
              <w:t>68</w:t>
            </w:r>
          </w:p>
        </w:tc>
      </w:tr>
      <w:tr>
        <w:tc>
          <w:tcPr>
            <w:tcW w:type="dxa" w:w="3009"/>
          </w:tcPr>
          <w:p>
            <w:r/>
            <w:r>
              <w:rPr>
                <w:rFonts w:ascii="Times New Roman" w:hAnsi="Times New Roman" w:eastAsia="Times New Roman"/>
                <w:sz w:val="20"/>
              </w:rPr>
              <w:t>Log M71 wages</w:t>
            </w:r>
          </w:p>
        </w:tc>
        <w:tc>
          <w:tcPr>
            <w:tcW w:type="dxa" w:w="3009"/>
          </w:tcPr>
          <w:p>
            <w:r/>
            <w:r>
              <w:rPr>
                <w:rFonts w:ascii="Times New Roman" w:hAnsi="Times New Roman" w:eastAsia="Times New Roman"/>
                <w:sz w:val="20"/>
              </w:rPr>
              <w:t>−0.009*** (0.003)</w:t>
            </w:r>
          </w:p>
        </w:tc>
        <w:tc>
          <w:tcPr>
            <w:tcW w:type="dxa" w:w="3009"/>
          </w:tcPr>
          <w:p>
            <w:r/>
            <w:r>
              <w:rPr>
                <w:rFonts w:ascii="Times New Roman" w:hAnsi="Times New Roman" w:eastAsia="Times New Roman"/>
                <w:sz w:val="20"/>
              </w:rPr>
              <w:t>68</w:t>
            </w:r>
          </w:p>
        </w:tc>
      </w:tr>
      <w:tr>
        <w:tc>
          <w:tcPr>
            <w:tcW w:type="dxa" w:w="3009"/>
          </w:tcPr>
          <w:p>
            <w:r/>
            <w:r>
              <w:rPr>
                <w:rFonts w:ascii="Times New Roman" w:hAnsi="Times New Roman" w:eastAsia="Times New Roman"/>
                <w:sz w:val="20"/>
              </w:rPr>
              <w:t>Log M71 value added</w:t>
            </w:r>
          </w:p>
        </w:tc>
        <w:tc>
          <w:tcPr>
            <w:tcW w:type="dxa" w:w="3009"/>
          </w:tcPr>
          <w:p>
            <w:r/>
            <w:r>
              <w:rPr>
                <w:rFonts w:ascii="Times New Roman" w:hAnsi="Times New Roman" w:eastAsia="Times New Roman"/>
                <w:sz w:val="20"/>
              </w:rPr>
              <w:t>−0.006*** (0.002)</w:t>
            </w:r>
          </w:p>
        </w:tc>
        <w:tc>
          <w:tcPr>
            <w:tcW w:type="dxa" w:w="3009"/>
          </w:tcPr>
          <w:p>
            <w:r/>
            <w:r>
              <w:rPr>
                <w:rFonts w:ascii="Times New Roman" w:hAnsi="Times New Roman" w:eastAsia="Times New Roman"/>
                <w:sz w:val="20"/>
              </w:rPr>
              <w:t>68</w:t>
            </w:r>
          </w:p>
        </w:tc>
      </w:tr>
      <w:tr>
        <w:tc>
          <w:tcPr>
            <w:tcW w:type="dxa" w:w="3009"/>
          </w:tcPr>
          <w:p>
            <w:r/>
            <w:r>
              <w:rPr>
                <w:rFonts w:ascii="Times New Roman" w:hAnsi="Times New Roman" w:eastAsia="Times New Roman"/>
                <w:sz w:val="20"/>
              </w:rPr>
              <w:t>Log construction turnover (comparison)</w:t>
            </w:r>
          </w:p>
        </w:tc>
        <w:tc>
          <w:tcPr>
            <w:tcW w:type="dxa" w:w="3009"/>
          </w:tcPr>
          <w:p>
            <w:r/>
            <w:r>
              <w:rPr>
                <w:rFonts w:ascii="Times New Roman" w:hAnsi="Times New Roman" w:eastAsia="Times New Roman"/>
                <w:sz w:val="20"/>
              </w:rPr>
              <w:t>−0.010*** (0.003)</w:t>
            </w:r>
          </w:p>
        </w:tc>
        <w:tc>
          <w:tcPr>
            <w:tcW w:type="dxa" w:w="3009"/>
          </w:tcPr>
          <w:p>
            <w:r/>
            <w:r>
              <w:rPr>
                <w:rFonts w:ascii="Times New Roman" w:hAnsi="Times New Roman" w:eastAsia="Times New Roman"/>
                <w:sz w:val="20"/>
              </w:rPr>
              <w:t>68</w:t>
            </w:r>
          </w:p>
        </w:tc>
      </w:tr>
    </w:tbl>
    <w:p>
      <w:pPr>
        <w:spacing w:line="480" w:lineRule="auto" w:after="0"/>
        <w:ind w:firstLine="0"/>
      </w:pPr>
      <w:r>
        <w:rPr>
          <w:rFonts w:ascii="Times New Roman" w:hAnsi="Times New Roman" w:eastAsia="Times New Roman"/>
          <w:b w:val="0"/>
          <w:i/>
          <w:sz w:val="20"/>
        </w:rPr>
        <w:t>Note. Country and year fixed effects; standard errors clustered by country. *p &lt; 0.10, **p &lt; 0.05, ***p &lt; 0.01.</w:t>
      </w:r>
    </w:p>
    <w:p/>
    <w:p>
      <w:pPr>
        <w:spacing w:line="480" w:lineRule="auto" w:after="0"/>
        <w:ind w:firstLine="0"/>
      </w:pPr>
      <w:r>
        <w:rPr>
          <w:rFonts w:ascii="Times New Roman" w:hAnsi="Times New Roman" w:eastAsia="Times New Roman"/>
          <w:b/>
          <w:i w:val="0"/>
          <w:sz w:val="24"/>
        </w:rPr>
        <w:t>Table 5. Chinese construction services by importer NLG group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256"/>
        <w:gridCol w:w="2256"/>
        <w:gridCol w:w="2256"/>
        <w:gridCol w:w="2256"/>
      </w:tblGrid>
      <w:tr>
        <w:tc>
          <w:tcPr>
            <w:tcW w:type="dxa" w:w="2256"/>
          </w:tcPr>
          <w:p>
            <w:r/>
            <w:r>
              <w:rPr>
                <w:rFonts w:ascii="Times New Roman" w:hAnsi="Times New Roman" w:eastAsia="Times New Roman"/>
                <w:b/>
                <w:sz w:val="20"/>
              </w:rPr>
              <w:t>EU destination group</w:t>
            </w:r>
          </w:p>
        </w:tc>
        <w:tc>
          <w:tcPr>
            <w:tcW w:type="dxa" w:w="2256"/>
          </w:tcPr>
          <w:p>
            <w:r/>
            <w:r>
              <w:rPr>
                <w:rFonts w:ascii="Times New Roman" w:hAnsi="Times New Roman" w:eastAsia="Times New Roman"/>
                <w:b/>
                <w:sz w:val="20"/>
              </w:rPr>
              <w:t>2019 (USD m)</w:t>
            </w:r>
          </w:p>
        </w:tc>
        <w:tc>
          <w:tcPr>
            <w:tcW w:type="dxa" w:w="2256"/>
          </w:tcPr>
          <w:p>
            <w:r/>
            <w:r>
              <w:rPr>
                <w:rFonts w:ascii="Times New Roman" w:hAnsi="Times New Roman" w:eastAsia="Times New Roman"/>
                <w:b/>
                <w:sz w:val="20"/>
              </w:rPr>
              <w:t>2024 (USD m)</w:t>
            </w:r>
          </w:p>
        </w:tc>
        <w:tc>
          <w:tcPr>
            <w:tcW w:type="dxa" w:w="2256"/>
          </w:tcPr>
          <w:p>
            <w:r/>
            <w:r>
              <w:rPr>
                <w:rFonts w:ascii="Times New Roman" w:hAnsi="Times New Roman" w:eastAsia="Times New Roman"/>
                <w:b/>
                <w:sz w:val="20"/>
              </w:rPr>
              <w:t>Change</w:t>
            </w:r>
          </w:p>
        </w:tc>
      </w:tr>
      <w:tr>
        <w:tc>
          <w:tcPr>
            <w:tcW w:type="dxa" w:w="2256"/>
          </w:tcPr>
          <w:p>
            <w:r/>
            <w:r>
              <w:rPr>
                <w:rFonts w:ascii="Times New Roman" w:hAnsi="Times New Roman" w:eastAsia="Times New Roman"/>
                <w:sz w:val="20"/>
              </w:rPr>
              <w:t>Lower ΔTNLG</w:t>
            </w:r>
          </w:p>
        </w:tc>
        <w:tc>
          <w:tcPr>
            <w:tcW w:type="dxa" w:w="2256"/>
          </w:tcPr>
          <w:p>
            <w:r/>
            <w:r>
              <w:rPr>
                <w:rFonts w:ascii="Times New Roman" w:hAnsi="Times New Roman" w:eastAsia="Times New Roman"/>
                <w:sz w:val="20"/>
              </w:rPr>
              <w:t>571.9</w:t>
            </w:r>
          </w:p>
        </w:tc>
        <w:tc>
          <w:tcPr>
            <w:tcW w:type="dxa" w:w="2256"/>
          </w:tcPr>
          <w:p>
            <w:r/>
            <w:r>
              <w:rPr>
                <w:rFonts w:ascii="Times New Roman" w:hAnsi="Times New Roman" w:eastAsia="Times New Roman"/>
                <w:sz w:val="20"/>
              </w:rPr>
              <w:t>946.2</w:t>
            </w:r>
          </w:p>
        </w:tc>
        <w:tc>
          <w:tcPr>
            <w:tcW w:type="dxa" w:w="2256"/>
          </w:tcPr>
          <w:p>
            <w:r/>
            <w:r>
              <w:rPr>
                <w:rFonts w:ascii="Times New Roman" w:hAnsi="Times New Roman" w:eastAsia="Times New Roman"/>
                <w:sz w:val="20"/>
              </w:rPr>
              <w:t>65.4%</w:t>
            </w:r>
          </w:p>
        </w:tc>
      </w:tr>
      <w:tr>
        <w:tc>
          <w:tcPr>
            <w:tcW w:type="dxa" w:w="2256"/>
          </w:tcPr>
          <w:p>
            <w:r/>
            <w:r>
              <w:rPr>
                <w:rFonts w:ascii="Times New Roman" w:hAnsi="Times New Roman" w:eastAsia="Times New Roman"/>
                <w:sz w:val="20"/>
              </w:rPr>
              <w:t>Higher ΔTNLG</w:t>
            </w:r>
          </w:p>
        </w:tc>
        <w:tc>
          <w:tcPr>
            <w:tcW w:type="dxa" w:w="2256"/>
          </w:tcPr>
          <w:p>
            <w:r/>
            <w:r>
              <w:rPr>
                <w:rFonts w:ascii="Times New Roman" w:hAnsi="Times New Roman" w:eastAsia="Times New Roman"/>
                <w:sz w:val="20"/>
              </w:rPr>
              <w:t>679.9</w:t>
            </w:r>
          </w:p>
        </w:tc>
        <w:tc>
          <w:tcPr>
            <w:tcW w:type="dxa" w:w="2256"/>
          </w:tcPr>
          <w:p>
            <w:r/>
            <w:r>
              <w:rPr>
                <w:rFonts w:ascii="Times New Roman" w:hAnsi="Times New Roman" w:eastAsia="Times New Roman"/>
                <w:sz w:val="20"/>
              </w:rPr>
              <w:t>1,002.6</w:t>
            </w:r>
          </w:p>
        </w:tc>
        <w:tc>
          <w:tcPr>
            <w:tcW w:type="dxa" w:w="2256"/>
          </w:tcPr>
          <w:p>
            <w:r/>
            <w:r>
              <w:rPr>
                <w:rFonts w:ascii="Times New Roman" w:hAnsi="Times New Roman" w:eastAsia="Times New Roman"/>
                <w:sz w:val="20"/>
              </w:rPr>
              <w:t>47.5%</w:t>
            </w:r>
          </w:p>
        </w:tc>
      </w:tr>
    </w:tbl>
    <w:p>
      <w:pPr>
        <w:spacing w:line="480" w:lineRule="auto" w:after="0"/>
        <w:ind w:firstLine="0"/>
      </w:pPr>
      <w:r>
        <w:rPr>
          <w:rFonts w:ascii="Times New Roman" w:hAnsi="Times New Roman" w:eastAsia="Times New Roman"/>
          <w:b w:val="0"/>
          <w:i/>
          <w:sz w:val="20"/>
        </w:rPr>
        <w:t>Note. Source: OECD–WTO BaTIS SE. Groups split at the importer median change in NACE M TNLG.</w:t>
      </w:r>
    </w:p>
    <w:p/>
    <w:p>
      <w:pPr>
        <w:spacing w:line="480" w:lineRule="auto" w:after="0"/>
        <w:ind w:firstLine="0"/>
      </w:pPr>
      <w:r>
        <w:rPr>
          <w:rFonts w:ascii="Times New Roman" w:hAnsi="Times New Roman" w:eastAsia="Times New Roman"/>
          <w:b/>
          <w:i w:val="0"/>
          <w:sz w:val="24"/>
        </w:rPr>
        <w:t>Table 6. Interpretation boundary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13"/>
        <w:gridCol w:w="4513"/>
      </w:tblGrid>
      <w:tr>
        <w:tc>
          <w:tcPr>
            <w:tcW w:type="dxa" w:w="4513"/>
          </w:tcPr>
          <w:p>
            <w:r/>
            <w:r>
              <w:rPr>
                <w:rFonts w:ascii="Times New Roman" w:hAnsi="Times New Roman" w:eastAsia="Times New Roman"/>
                <w:b/>
                <w:sz w:val="20"/>
              </w:rPr>
              <w:t>Supported by the data</w:t>
            </w:r>
          </w:p>
        </w:tc>
        <w:tc>
          <w:tcPr>
            <w:tcW w:type="dxa" w:w="4513"/>
          </w:tcPr>
          <w:p>
            <w:r/>
            <w:r>
              <w:rPr>
                <w:rFonts w:ascii="Times New Roman" w:hAnsi="Times New Roman" w:eastAsia="Times New Roman"/>
                <w:b/>
                <w:sz w:val="20"/>
              </w:rPr>
              <w:t>Not identified</w:t>
            </w:r>
          </w:p>
        </w:tc>
      </w:tr>
      <w:tr>
        <w:tc>
          <w:tcPr>
            <w:tcW w:type="dxa" w:w="4513"/>
          </w:tcPr>
          <w:p>
            <w:r/>
            <w:r>
              <w:rPr>
                <w:rFonts w:ascii="Times New Roman" w:hAnsi="Times New Roman" w:eastAsia="Times New Roman"/>
                <w:sz w:val="20"/>
              </w:rPr>
              <w:t>Two-way UK–India and UK–China service trends</w:t>
            </w:r>
          </w:p>
        </w:tc>
        <w:tc>
          <w:tcPr>
            <w:tcW w:type="dxa" w:w="4513"/>
          </w:tcPr>
          <w:p>
            <w:r/>
            <w:r>
              <w:rPr>
                <w:rFonts w:ascii="Times New Roman" w:hAnsi="Times New Roman" w:eastAsia="Times New Roman"/>
                <w:sz w:val="20"/>
              </w:rPr>
              <w:t>AI causing those bilateral changes</w:t>
            </w:r>
          </w:p>
        </w:tc>
      </w:tr>
      <w:tr>
        <w:tc>
          <w:tcPr>
            <w:tcW w:type="dxa" w:w="4513"/>
          </w:tcPr>
          <w:p>
            <w:r/>
            <w:r>
              <w:rPr>
                <w:rFonts w:ascii="Times New Roman" w:hAnsi="Times New Roman" w:eastAsia="Times New Roman"/>
                <w:sz w:val="20"/>
              </w:rPr>
              <w:t>EU importer NLG associated with Indian SJ3</w:t>
            </w:r>
          </w:p>
        </w:tc>
        <w:tc>
          <w:tcPr>
            <w:tcW w:type="dxa" w:w="4513"/>
          </w:tcPr>
          <w:p>
            <w:r/>
            <w:r>
              <w:rPr>
                <w:rFonts w:ascii="Times New Roman" w:hAnsi="Times New Roman" w:eastAsia="Times New Roman"/>
                <w:sz w:val="20"/>
              </w:rPr>
              <w:t>Civil-specific SJ312 invoices</w:t>
            </w:r>
          </w:p>
        </w:tc>
      </w:tr>
      <w:tr>
        <w:tc>
          <w:tcPr>
            <w:tcW w:type="dxa" w:w="4513"/>
          </w:tcPr>
          <w:p>
            <w:r/>
            <w:r>
              <w:rPr>
                <w:rFonts w:ascii="Times New Roman" w:hAnsi="Times New Roman" w:eastAsia="Times New Roman"/>
                <w:sz w:val="20"/>
              </w:rPr>
              <w:t>Null Chinese construction-service comparison</w:t>
            </w:r>
          </w:p>
        </w:tc>
        <w:tc>
          <w:tcPr>
            <w:tcW w:type="dxa" w:w="4513"/>
          </w:tcPr>
          <w:p>
            <w:r/>
            <w:r>
              <w:rPr>
                <w:rFonts w:ascii="Times New Roman" w:hAnsi="Times New Roman" w:eastAsia="Times New Roman"/>
                <w:sz w:val="20"/>
              </w:rPr>
              <w:t>India replacing Chinese or UK civil engineers</w:t>
            </w:r>
          </w:p>
        </w:tc>
      </w:tr>
      <w:tr>
        <w:tc>
          <w:tcPr>
            <w:tcW w:type="dxa" w:w="4513"/>
          </w:tcPr>
          <w:p>
            <w:r/>
            <w:r>
              <w:rPr>
                <w:rFonts w:ascii="Times New Roman" w:hAnsi="Times New Roman" w:eastAsia="Times New Roman"/>
                <w:sz w:val="20"/>
              </w:rPr>
              <w:t>M71 outcomes associated with importer NLG</w:t>
            </w:r>
          </w:p>
        </w:tc>
        <w:tc>
          <w:tcPr>
            <w:tcW w:type="dxa" w:w="4513"/>
          </w:tcPr>
          <w:p>
            <w:r/>
            <w:r>
              <w:rPr>
                <w:rFonts w:ascii="Times New Roman" w:hAnsi="Times New Roman" w:eastAsia="Times New Roman"/>
                <w:sz w:val="20"/>
              </w:rPr>
              <w:t>Bilateral employment or GDP effects</w:t>
            </w:r>
          </w:p>
        </w:tc>
      </w:tr>
    </w:tbl>
    <w:p>
      <w:pPr>
        <w:spacing w:line="480" w:lineRule="auto" w:after="0"/>
        <w:ind w:firstLine="0"/>
      </w:pPr>
      <w:r>
        <w:rPr>
          <w:rFonts w:ascii="Times New Roman" w:hAnsi="Times New Roman" w:eastAsia="Times New Roman"/>
          <w:b w:val="0"/>
          <w:i/>
          <w:sz w:val="20"/>
        </w:rPr>
        <w:t>Note. The table restates the claim boundary; it is not an additional statistical test.</w:t>
      </w:r>
    </w:p>
    <w:p/>
    <w:sectPr w:rsidR="00FC693F" w:rsidRPr="0006063C" w:rsidSect="00034616">
      <w:footerReference w:type="default" r:id="rId9"/>
      <w:headerReference w:type="default" r:id="rId10"/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 w:eastAsia="Times New Roman"/>
        <w:sz w:val="20"/>
      </w:rPr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Times New Roman" w:hAnsi="Times New Roman" w:eastAsia="Times New Roman"/>
        <w:i/>
        <w:sz w:val="20"/>
      </w:rPr>
      <w:t>Tables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480" w:lineRule="auto" w:after="0" w:before="0"/>
    </w:pPr>
    <w:rPr>
      <w:rFonts w:ascii="Times New Roman" w:hAnsi="Times New Roman" w:eastAsia="Times New Roman"/>
      <w:color w:val="000000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0" w:line="480" w:lineRule="auto"/>
      <w:outlineLvl w:val="0"/>
    </w:pPr>
    <w:rPr>
      <w:rFonts w:asciiTheme="majorHAnsi" w:eastAsiaTheme="majorEastAsia" w:hAnsiTheme="majorHAnsi" w:cstheme="majorBidi" w:ascii="Times New Roman" w:hAnsi="Times New Roman" w:eastAsia="Times New Roman"/>
      <w:b/>
      <w:bCs/>
      <w:color w:val="000000"/>
      <w:sz w:val="2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0" w:line="480" w:lineRule="auto"/>
      <w:outlineLvl w:val="1"/>
    </w:pPr>
    <w:rPr>
      <w:rFonts w:asciiTheme="majorHAnsi" w:eastAsiaTheme="majorEastAsia" w:hAnsiTheme="majorHAnsi" w:cstheme="majorBidi" w:ascii="Times New Roman" w:hAnsi="Times New Roman" w:eastAsia="Times New Roman"/>
      <w:b/>
      <w:bCs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40" w:after="0" w:line="480" w:lineRule="auto"/>
      <w:outlineLvl w:val="2"/>
    </w:pPr>
    <w:rPr>
      <w:rFonts w:asciiTheme="majorHAnsi" w:eastAsiaTheme="majorEastAsia" w:hAnsiTheme="majorHAnsi" w:cstheme="majorBidi" w:ascii="Times New Roman" w:hAnsi="Times New Roman" w:eastAsia="Times New Roman"/>
      <w:b/>
      <w:bCs/>
      <w:color w:val="000000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0" w:line="480" w:lineRule="auto" w:before="240"/>
      <w:contextualSpacing/>
    </w:pPr>
    <w:rPr>
      <w:rFonts w:asciiTheme="majorHAnsi" w:eastAsiaTheme="majorEastAsia" w:hAnsiTheme="majorHAnsi" w:cstheme="majorBidi" w:ascii="Times New Roman" w:hAnsi="Times New Roman" w:eastAsia="Times New Roman"/>
      <w:b/>
      <w:color w:val="000000"/>
      <w:spacing w:val="5"/>
      <w:kern w:val="28"/>
      <w:sz w:val="3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