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SJ3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pattern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digitally deliverable services</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service-heading-specific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is available separately from the corresponding author. The six main-text tables and five main-text figures report the results needed for the article; supplementary tables and figures document the full estimation output. Missing series are catalogued in that package;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delivery margin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service categories to be compared, but they do not directly identify GATS modes of supply. SJ3 is therefore used as a proxy for potentially digitally deliverable cross-border work, not as a measured Mode-1 flow; SE is a project-based comparison, not a measured Mode-3 flow.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(2024) confirms the split. Professional-service enterprises adopted natural-language-generation tools much more rapidly than construction enterprises (Table 2, Figure 3). Felten et al. (2021) also report low industry AI-exposure scores for highway and heavy-civil contractors.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(Eurostat 2024; OECD &amp; WTO n.d.; ILO n.d.).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 (Eurostat 2024):</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by sex and economic activity for ISIC F versus M (ILO n.d.). China is empty in this pull.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 &amp; WTO (n.d.) BaTIS, adjustment B, supplies annual bilateral values in USD million from 2015 to 2024 (Fortanier et al. 2017). The corridor extract 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SJ3 sample containing two additional exporters is retained as a robustness exercise but is not part of the bilateral narrative.</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SJ3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 Table 6 records this claim boundary in compact form.</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da52455fcc86697018a14a5627c5dbf2b6c19bd"/>
    <w:p>
      <w:pPr>
        <w:pStyle w:val="Heading3"/>
        <w:spacing w:line="480" w:lineRule="auto"/>
        <w:ind w:firstLine="0"/>
      </w:pPr>
      <w:r>
        <w:rPr>
          <w:rFonts w:ascii="Times New Roman" w:hAnsi="Times New Roman" w:eastAsia="Times New Roman"/>
          <w:b/>
          <w:sz w:val="24"/>
        </w:rPr>
        <w:t xml:space="preserve">5.3 Generic any-AI is the wrong shock (Table 3)</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(Table 3).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SJ3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SJ3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f6335cbef6cd4ec692bcd5cb7de1a6bb271a968"/>
    <w:p>
      <w:pPr>
        <w:pStyle w:val="Heading3"/>
        <w:spacing w:line="480" w:lineRule="auto"/>
        <w:ind w:firstLine="0"/>
      </w:pPr>
      <w:r>
        <w:rPr>
          <w:rFonts w:ascii="Times New Roman" w:hAnsi="Times New Roman" w:eastAsia="Times New Roman"/>
          <w:b/>
          <w:sz w:val="24"/>
        </w:rPr>
        <w:t xml:space="preserve">5.6 India and China in the importer panel (Tables 3 and 5)</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(Table 3). Indian SJ3 has a positive post-shock coefficient of 0.021 (0.008), while Chinese construction services have a coefficient of −0.008 (0.009). Chinese SJ3 is also null. When Chinese construction exports are divided by destination adoption, exports to lower-TNLG destinations increased by 65.4% between 2019 and 2024, compared with 47.5% for higher-TNLG destinations (Table 5).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The UK-centred comparison clarifies scale as well as direction. UK imports from India rose by almost USD 2.8 billion in SJ3 between 2019 and 2024, compared with about USD 771 million from China; percentage changes in small construction flows should not be read as large reallocations of engineering activity. For firms, the pattern is consistent with lower coordination costs for digitally deliverable work—especially with Indian suppliers—rather than a simple domestic-versus-offshore location choice. Stable M71 employment makes a complete displacement account less persuasive, although the data cannot yet separate complementarity from substitution.</w:t>
      </w:r>
    </w:p>
    <w:p>
      <w:pPr>
        <w:pStyle w:val="BodyText"/>
        <w:spacing w:line="480" w:lineRule="auto" w:after="0"/>
        <w:ind w:firstLine="720"/>
      </w:pPr>
      <w:r>
        <w:rPr>
          <w:rFonts w:ascii="Times New Roman" w:hAnsi="Times New Roman" w:eastAsia="Times New Roman"/>
          <w:sz w:val="24"/>
        </w:rPr>
        <w:t xml:space="preserve">China plays different roles in the two empirical layers: as a bilateral partner in the descriptive section and as a supplier of comparison outcomes in the EU panel. The null Chinese construction coefficient therefore does not explain all UK–China trade; it shows only that EU importers with larger NLG shocks did not disproportionately increase that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(Table 6).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 (Table 6).</w:t>
      </w:r>
    </w:p>
    <w:p>
      <w:pPr>
        <w:spacing w:line="480" w:lineRule="auto" w:after="0"/>
        <w:ind w:firstLine="0"/>
      </w:pPr>
      <w:r>
        <w:pict>
          <v:rect style="width:0;height:1.5pt" o:hralign="center" o:hrstd="t" o:hr="t"/>
        </w:pict>
      </w:r>
    </w:p>
    <w:bookmarkEnd w:id="50"/>
    <w:bookmarkStart w:id="51" w:name="author-contribution"/>
    <w:p>
      <w:pPr>
        <w:pStyle w:val="Heading2"/>
        <w:spacing w:line="480" w:lineRule="auto"/>
        <w:ind w:firstLine="0"/>
      </w:pPr>
      <w:r>
        <w:rPr>
          <w:rFonts w:ascii="Times New Roman" w:hAnsi="Times New Roman" w:eastAsia="Times New Roman"/>
          <w:b/>
          <w:sz w:val="24"/>
        </w:rPr>
        <w:t xml:space="preserve">Author contribution</w:t>
      </w:r>
    </w:p>
    <w:bookmarkEnd w:id="51"/>
    <w:bookmarkStart w:id="52" w:name="funding"/>
    <w:p>
      <w:pPr>
        <w:pStyle w:val="Heading2"/>
        <w:spacing w:line="480" w:lineRule="auto"/>
        <w:ind w:firstLine="0"/>
      </w:pPr>
      <w:r>
        <w:rPr>
          <w:rFonts w:ascii="Times New Roman" w:hAnsi="Times New Roman" w:eastAsia="Times New Roman"/>
          <w:b/>
          <w:sz w:val="24"/>
        </w:rPr>
        <w:t xml:space="preserve">Funding</w:t>
      </w:r>
    </w:p>
    <w:p>
      <w:pPr>
        <w:pStyle w:val="FirstParagraph"/>
        <w:spacing w:line="480" w:lineRule="auto" w:after="0"/>
        <w:ind w:firstLine="720"/>
      </w:pPr>
      <w:r>
        <w:rPr>
          <w:rFonts w:ascii="Times New Roman" w:hAnsi="Times New Roman" w:eastAsia="Times New Roman"/>
          <w:sz w:val="24"/>
        </w:rPr>
        <w:t xml:space="preserve">This research received no specific grant from any funding agency in the public, commercial or not-for-profit sectors.</w:t>
      </w:r>
    </w:p>
    <w:bookmarkEnd w:id="52"/>
    <w:bookmarkStart w:id="53" w:name="ethics-statement"/>
    <w:p>
      <w:pPr>
        <w:pStyle w:val="Heading2"/>
        <w:spacing w:line="480" w:lineRule="auto"/>
        <w:ind w:firstLine="0"/>
      </w:pPr>
      <w:r>
        <w:rPr>
          <w:rFonts w:ascii="Times New Roman" w:hAnsi="Times New Roman" w:eastAsia="Times New Roman"/>
          <w:b/>
          <w:sz w:val="24"/>
        </w:rPr>
        <w:t xml:space="preserve">Ethics statement</w:t>
      </w:r>
    </w:p>
    <w:p>
      <w:pPr>
        <w:pStyle w:val="FirstParagraph"/>
        <w:spacing w:line="480" w:lineRule="auto" w:after="0"/>
        <w:ind w:firstLine="720"/>
      </w:pPr>
      <w:r>
        <w:rPr>
          <w:rFonts w:ascii="Times New Roman" w:hAnsi="Times New Roman" w:eastAsia="Times New Roman"/>
          <w:sz w:val="24"/>
        </w:rPr>
        <w:t xml:space="preserve">The study analyses published aggregate statistical series and does not involve human participants, personal data or animal subjects.</w:t>
      </w:r>
    </w:p>
    <w:bookmarkEnd w:id="53"/>
    <w:bookmarkStart w:id="54"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4"/>
    <w:bookmarkStart w:id="55"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findings draw on Eurostat, OECD–WTO BaTIS and ILOSTAT series, which remain subject to their publishers’ terms and should be cited as in the reference list. Supplementary tables and figures reproduce the derived estimates; the full replication package is available from the corresponding author on request. Author-generated files are released under CC BY 4.0.</w:t>
      </w:r>
    </w:p>
    <w:bookmarkEnd w:id="55"/>
    <w:bookmarkStart w:id="56"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6"/>
    <w:bookmarkStart w:id="57"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7"/>
    <w:bookmarkStart w:id="58"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8"/>
    <w:bookmarkStart w:id="74"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60" name="Picture"/>
            <a:graphic>
              <a:graphicData uri="http://schemas.openxmlformats.org/drawingml/2006/picture">
                <pic:pic>
                  <pic:nvPicPr>
                    <pic:cNvPr descr="figures/figure22_uk_india_china_sj3.png" id="61" name="Picture"/>
                    <pic:cNvPicPr>
                      <a:picLocks noChangeArrowheads="1" noChangeAspect="1"/>
                    </pic:cNvPicPr>
                  </pic:nvPicPr>
                  <pic:blipFill>
                    <a:blip r:embed="rId59"/>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3" name="Picture"/>
            <a:graphic>
              <a:graphicData uri="http://schemas.openxmlformats.org/drawingml/2006/picture">
                <pic:pic>
                  <pic:nvPicPr>
                    <pic:cNvPr descr="figures/figure23_uk_india_china_service_growth.png" id="64" name="Picture"/>
                    <pic:cNvPicPr>
                      <a:picLocks noChangeArrowheads="1" noChangeAspect="1"/>
                    </pic:cNvPicPr>
                  </pic:nvPicPr>
                  <pic:blipFill>
                    <a:blip r:embed="rId62"/>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6" name="Picture"/>
            <a:graphic>
              <a:graphicData uri="http://schemas.openxmlformats.org/drawingml/2006/picture">
                <pic:pic>
                  <pic:nvPicPr>
                    <pic:cNvPr descr="figures/figure12_tnlg_vs_tml.png" id="67" name="Picture"/>
                    <pic:cNvPicPr>
                      <a:picLocks noChangeArrowheads="1" noChangeAspect="1"/>
                    </pic:cNvPicPr>
                  </pic:nvPicPr>
                  <pic:blipFill>
                    <a:blip r:embed="rId65"/>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9" name="Picture"/>
            <a:graphic>
              <a:graphicData uri="http://schemas.openxmlformats.org/drawingml/2006/picture">
                <pic:pic>
                  <pic:nvPicPr>
                    <pic:cNvPr descr="figures/figure15_cross_section_tnlg.png" id="70" name="Picture"/>
                    <pic:cNvPicPr>
                      <a:picLocks noChangeArrowheads="1" noChangeAspect="1"/>
                    </pic:cNvPicPr>
                  </pic:nvPicPr>
                  <pic:blipFill>
                    <a:blip r:embed="rId68"/>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2" name="Picture"/>
            <a:graphic>
              <a:graphicData uri="http://schemas.openxmlformats.org/drawingml/2006/picture">
                <pic:pic>
                  <pic:nvPicPr>
                    <pic:cNvPr descr="figures/figure17_sbs_turnover_m71_vs_F.png" id="73" name="Picture"/>
                    <pic:cNvPicPr>
                      <a:picLocks noChangeArrowheads="1" noChangeAspect="1"/>
                    </pic:cNvPicPr>
                  </pic:nvPicPr>
                  <pic:blipFill>
                    <a:blip r:embed="rId71"/>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4"/>
    <w:bookmarkEnd w:id="75"/>
    <w:sectPr w:rsidR="00FC693F" w:rsidRPr="0006063C" w:rsidSect="00034616">
      <w:footerReference w:type="default" r:id="rId9"/>
      <w:headerReference w:type="default" r:id="rId10"/>
      <w:pgSz w:h="16838" w:w="11906"/>
      <w:pgMar w:bottom="1440" w:footer="720" w:gutter="0" w:header="720" w:left="1440" w:right="1440" w:top="1440"/>
      <w:cols w:space="720"/>
      <w:docGrid w:linePitch="360"/>
      <w:lnNumType w:countBy="1" w:restart="new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59" Type="http://schemas.openxmlformats.org/officeDocument/2006/relationships/image" Target="media/rId59.png"/><Relationship Id="rId62" Type="http://schemas.openxmlformats.org/officeDocument/2006/relationships/image" Target="media/rId6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2026-09-18T18:18:11Z</dcterms:created>
  <dcterms:modified xsi:type="dcterms:W3CDTF">2026-09-18T18:18:11Z</dcterms:modified>
</cp:coreProperties>
</file>

<file path=docProps/custom.xml><?xml version="1.0" encoding="utf-8"?>
<Properties xmlns="http://schemas.openxmlformats.org/officeDocument/2006/custom-properties" xmlns:vt="http://schemas.openxmlformats.org/officeDocument/2006/docPropsVTypes"/>
</file>