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a83f0a50215dd99b2a0e46de05e4f04c1d0bd71"/>
    <w:p>
      <w:pPr>
        <w:pStyle w:val="Title"/>
        <w:spacing w:after="240"/>
        <w:ind w:firstLine="0"/>
        <w:jc w:val="center"/>
      </w:pPr>
      <w:r>
        <w:rPr>
          <w:rFonts w:ascii="Times New Roman" w:hAnsi="Times New Roman" w:eastAsia="Times New Roman"/>
          <w:b/>
          <w:sz w:val="32"/>
        </w:rPr>
        <w:t xml:space="preserve">How Does the Civil Engineering Industry Economy Change under an AI Shock? The United Kingdom’s Service Links with India and China</w:t>
      </w:r>
    </w:p>
    <w:p>
      <w:pPr>
        <w:pStyle w:val="FirstParagraph"/>
        <w:spacing w:line="480" w:lineRule="auto" w:after="0"/>
        <w:ind w:firstLine="720"/>
      </w:pPr>
      <w:r>
        <w:rPr>
          <w:rFonts w:ascii="Times New Roman" w:hAnsi="Times New Roman" w:eastAsia="Times New Roman"/>
          <w:sz w:val="24"/>
        </w:rPr>
        <w:t xml:space="preserve">Yuxuan Chai</w:t>
      </w:r>
    </w:p>
    <w:p>
      <w:pPr>
        <w:pStyle w:val="BodyText"/>
        <w:spacing w:line="480" w:lineRule="auto" w:after="0"/>
        <w:ind w:firstLine="720"/>
      </w:pPr>
      <w:r>
        <w:rPr>
          <w:rFonts w:ascii="Times New Roman" w:hAnsi="Times New Roman" w:eastAsia="Times New Roman"/>
          <w:sz w:val="24"/>
        </w:rPr>
        <w:t xml:space="preserve">University of Strathclyde, Glasgow, United Kingdom</w:t>
      </w:r>
    </w:p>
    <w:p>
      <w:pPr>
        <w:pStyle w:val="BodyText"/>
        <w:spacing w:line="480" w:lineRule="auto" w:after="0"/>
        <w:ind w:firstLine="720"/>
      </w:pPr>
      <w:r>
        <w:rPr>
          <w:rFonts w:ascii="Times New Roman" w:hAnsi="Times New Roman" w:eastAsia="Times New Roman"/>
          <w:sz w:val="24"/>
        </w:rPr>
        <w:t xml:space="preserve">Correspondence: Yuxuan Chai, University of Strathclyde, Glasgow, United Kingdom. Email: yuxuanchai98@outlook.com</w:t>
      </w:r>
    </w:p>
    <w:p>
      <w:pPr>
        <w:pStyle w:val="BodyText"/>
        <w:spacing w:line="480" w:lineRule="auto" w:after="0"/>
        <w:ind w:firstLine="720"/>
      </w:pPr>
      <w:r>
        <w:rPr>
          <w:rFonts w:ascii="Times New Roman" w:hAnsi="Times New Roman" w:eastAsia="Times New Roman"/>
          <w:sz w:val="24"/>
        </w:rPr>
        <w:t xml:space="preserve">Manuscript submitted to the</w:t>
      </w:r>
      <w:r>
        <w:rPr>
          <w:rFonts w:ascii="Times New Roman" w:hAnsi="Times New Roman" w:eastAsia="Times New Roman"/>
          <w:sz w:val="24"/>
        </w:rPr>
        <w:t xml:space="preserve"> </w:t>
      </w:r>
      <w:r>
        <w:rPr>
          <w:iCs/>
          <w:rFonts w:ascii="Times New Roman" w:hAnsi="Times New Roman" w:eastAsia="Times New Roman"/>
          <w:i/>
          <w:sz w:val="24"/>
        </w:rPr>
        <w:t xml:space="preserve">International Journal of Construction Management</w:t>
      </w:r>
      <w:r>
        <w:rPr>
          <w:rFonts w:ascii="Times New Roman" w:hAnsi="Times New Roman" w:eastAsia="Times New Roman"/>
          <w:sz w:val="24"/>
        </w:rPr>
        <w:t xml:space="preserve">.</w:t>
      </w:r>
    </w:p>
    <w:bookmarkStart w:id="20" w:name="abstract"/>
    <w:p>
      <w:pPr>
        <w:pStyle w:val="Heading2"/>
        <w:spacing w:line="480" w:lineRule="auto"/>
        <w:ind w:firstLine="0"/>
      </w:pPr>
      <w:r>
        <w:rPr>
          <w:rFonts w:ascii="Times New Roman" w:hAnsi="Times New Roman" w:eastAsia="Times New Roman"/>
          <w:b/>
          <w:sz w:val="24"/>
        </w:rPr>
        <w:t xml:space="preserve">Abstract</w:t>
      </w:r>
    </w:p>
    <w:p>
      <w:pPr>
        <w:pStyle w:val="FirstParagraph"/>
        <w:spacing w:line="480" w:lineRule="auto" w:after="0"/>
        <w:ind w:firstLine="720"/>
      </w:pPr>
      <w:r>
        <w:rPr>
          <w:rFonts w:ascii="Times New Roman" w:hAnsi="Times New Roman" w:eastAsia="Times New Roman"/>
          <w:sz w:val="24"/>
        </w:rP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Mode-1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evidence is consistent with generative tools changing the coordination of digitally deliverable services, especially between the UK and India. It does not show that AI caused the bilateral changes or that civil-engineering jobs or GDP relocated.</w:t>
      </w:r>
    </w:p>
    <w:p>
      <w:pPr>
        <w:pStyle w:val="BodyText"/>
        <w:spacing w:line="480" w:lineRule="auto" w:after="0"/>
        <w:ind w:firstLine="0"/>
      </w:pPr>
      <w:r>
        <w:rPr>
          <w:bCs/>
          <w:b/>
        </w:rPr>
        <w:t xml:space="preserve">Keywords:</w:t>
      </w:r>
      <w:r>
        <w:t xml:space="preserve"> </w:t>
      </w:r>
      <w:r>
        <w:t xml:space="preserve">generative AI; civil engineering; construction management; services trade; NACE M71; Mode 1</w:t>
      </w:r>
    </w:p>
    <w:bookmarkEnd w:id="20"/>
    <w:bookmarkStart w:id="21" w:name="introduction"/>
    <w:p>
      <w:pPr>
        <w:pStyle w:val="Heading2"/>
        <w:spacing w:line="480" w:lineRule="auto"/>
        <w:ind w:firstLine="0"/>
      </w:pPr>
      <w:r>
        <w:rPr>
          <w:rFonts w:ascii="Times New Roman" w:hAnsi="Times New Roman" w:eastAsia="Times New Roman"/>
          <w:b/>
          <w:sz w:val="24"/>
        </w:rPr>
        <w:t xml:space="preserve">1. Introduction</w:t>
      </w:r>
    </w:p>
    <w:p>
      <w:pPr>
        <w:pStyle w:val="FirstParagraph"/>
        <w:spacing w:line="480" w:lineRule="auto" w:after="0"/>
        <w:ind w:firstLine="720"/>
      </w:pPr>
      <w:r>
        <w:rPr>
          <w:rFonts w:ascii="Times New Roman" w:hAnsi="Times New Roman" w:eastAsia="Times New Roman"/>
          <w:sz w:val="24"/>
        </w:rP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spacing w:line="480" w:lineRule="auto" w:after="0"/>
        <w:ind w:firstLine="720"/>
      </w:pPr>
      <w:r>
        <w:rPr>
          <w:rFonts w:ascii="Times New Roman" w:hAnsi="Times New Roman" w:eastAsia="Times New Roman"/>
          <w:sz w:val="24"/>
        </w:rP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spacing w:line="480" w:lineRule="auto" w:after="0"/>
        <w:ind w:firstLine="720"/>
      </w:pPr>
      <w:r>
        <w:rPr>
          <w:rFonts w:ascii="Times New Roman" w:hAnsi="Times New Roman" w:eastAsia="Times New Roman"/>
          <w:sz w:val="24"/>
        </w:rP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spacing w:line="480" w:lineRule="auto" w:after="0"/>
        <w:ind w:firstLine="720"/>
      </w:pPr>
      <w:r>
        <w:rPr>
          <w:rFonts w:ascii="Times New Roman" w:hAnsi="Times New Roman" w:eastAsia="Times New Roman"/>
          <w:sz w:val="24"/>
        </w:rP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spacing w:line="480" w:lineRule="auto" w:after="0"/>
        <w:ind w:firstLine="720"/>
      </w:pPr>
      <w:r>
        <w:rPr>
          <w:rFonts w:ascii="Times New Roman" w:hAnsi="Times New Roman" w:eastAsia="Times New Roman"/>
          <w:sz w:val="24"/>
        </w:rP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mode-specific comparison of domestic M71 outcomes and cross-border adjustment during the first observable generative-AI adoption wave.</w:t>
      </w:r>
    </w:p>
    <w:p>
      <w:pPr>
        <w:pStyle w:val="BodyText"/>
        <w:spacing w:line="480" w:lineRule="auto" w:after="0"/>
        <w:ind w:firstLine="720"/>
      </w:pPr>
      <w:r>
        <w:rPr>
          <w:rFonts w:ascii="Times New Roman" w:hAnsi="Times New Roman" w:eastAsia="Times New Roman"/>
          <w:sz w:val="24"/>
        </w:rPr>
        <w:t xml:space="preserve">A complete replication package accompanies this submission. Missing series are catalogued there; their absence is part of the claim boundary.</w:t>
      </w:r>
    </w:p>
    <w:p>
      <w:pPr>
        <w:spacing w:line="480" w:lineRule="auto" w:after="0"/>
        <w:ind w:firstLine="0"/>
      </w:pPr>
      <w:r>
        <w:pict>
          <v:rect style="width:0;height:1.5pt" o:hralign="center" o:hrstd="t" o:hr="t"/>
        </w:pict>
      </w:r>
    </w:p>
    <w:bookmarkEnd w:id="21"/>
    <w:bookmarkStart w:id="29" w:name="literature-review"/>
    <w:p>
      <w:pPr>
        <w:pStyle w:val="Heading2"/>
        <w:spacing w:line="480" w:lineRule="auto"/>
        <w:ind w:firstLine="0"/>
      </w:pPr>
      <w:r>
        <w:rPr>
          <w:rFonts w:ascii="Times New Roman" w:hAnsi="Times New Roman" w:eastAsia="Times New Roman"/>
          <w:b/>
          <w:sz w:val="24"/>
        </w:rPr>
        <w:t xml:space="preserve">2. Literature review</w:t>
      </w:r>
    </w:p>
    <w:bookmarkStart w:id="22" w:name="tasks-firms-and-industry-outcomes"/>
    <w:p>
      <w:pPr>
        <w:pStyle w:val="Heading3"/>
        <w:spacing w:line="480" w:lineRule="auto"/>
        <w:ind w:firstLine="0"/>
      </w:pPr>
      <w:r>
        <w:rPr>
          <w:rFonts w:ascii="Times New Roman" w:hAnsi="Times New Roman" w:eastAsia="Times New Roman"/>
          <w:b/>
          <w:sz w:val="24"/>
        </w:rPr>
        <w:t xml:space="preserve">2.1 Tasks, firms and industry outcomes</w:t>
      </w:r>
    </w:p>
    <w:p>
      <w:pPr>
        <w:pStyle w:val="FirstParagraph"/>
        <w:spacing w:line="480" w:lineRule="auto" w:after="0"/>
        <w:ind w:firstLine="720"/>
      </w:pPr>
      <w:r>
        <w:rPr>
          <w:rFonts w:ascii="Times New Roman" w:hAnsi="Times New Roman" w:eastAsia="Times New Roman"/>
          <w:sz w:val="24"/>
        </w:rP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spacing w:line="480" w:lineRule="auto" w:after="0"/>
        <w:ind w:firstLine="720"/>
      </w:pPr>
      <w:r>
        <w:rPr>
          <w:rFonts w:ascii="Times New Roman" w:hAnsi="Times New Roman" w:eastAsia="Times New Roman"/>
          <w:sz w:val="24"/>
        </w:rP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spacing w:line="480" w:lineRule="auto"/>
        <w:ind w:firstLine="0"/>
      </w:pPr>
      <w:r>
        <w:rPr>
          <w:rFonts w:ascii="Times New Roman" w:hAnsi="Times New Roman" w:eastAsia="Times New Roman"/>
          <w:b/>
          <w:sz w:val="24"/>
        </w:rPr>
        <w:t xml:space="preserve">2.2 Measuring the generative shock</w:t>
      </w:r>
    </w:p>
    <w:p>
      <w:pPr>
        <w:pStyle w:val="FirstParagraph"/>
        <w:spacing w:line="480" w:lineRule="auto" w:after="0"/>
        <w:ind w:firstLine="720"/>
      </w:pPr>
      <w:r>
        <w:rPr>
          <w:rFonts w:ascii="Times New Roman" w:hAnsi="Times New Roman" w:eastAsia="Times New Roman"/>
          <w:sz w:val="24"/>
        </w:rP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spacing w:line="480" w:lineRule="auto" w:after="0"/>
        <w:ind w:firstLine="720"/>
      </w:pPr>
      <w:r>
        <w:rPr>
          <w:rFonts w:ascii="Times New Roman" w:hAnsi="Times New Roman" w:eastAsia="Times New Roman"/>
          <w:sz w:val="24"/>
        </w:rP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spacing w:line="480" w:lineRule="auto"/>
        <w:ind w:firstLine="0"/>
      </w:pPr>
      <w:r>
        <w:rPr>
          <w:rFonts w:ascii="Times New Roman" w:hAnsi="Times New Roman" w:eastAsia="Times New Roman"/>
          <w:b/>
          <w:sz w:val="24"/>
        </w:rPr>
        <w:t xml:space="preserve">2.3 Generative AI as a labour-market shock</w:t>
      </w:r>
    </w:p>
    <w:p>
      <w:pPr>
        <w:pStyle w:val="FirstParagraph"/>
        <w:spacing w:line="480" w:lineRule="auto" w:after="0"/>
        <w:ind w:firstLine="720"/>
      </w:pPr>
      <w:r>
        <w:rPr>
          <w:rFonts w:ascii="Times New Roman" w:hAnsi="Times New Roman" w:eastAsia="Times New Roman"/>
          <w:sz w:val="24"/>
        </w:rP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jagged frontier</w:t>
      </w:r>
      <w:r>
        <w:rPr>
          <w:rFonts w:ascii="Times New Roman" w:hAnsi="Times New Roman" w:eastAsia="Times New Roman"/>
          <w:sz w:val="24"/>
        </w:rPr>
        <w:t xml:space="preserve">”</w:t>
      </w:r>
      <w:r>
        <w:rPr>
          <w:rFonts w:ascii="Times New Roman" w:hAnsi="Times New Roman" w:eastAsia="Times New Roman"/>
          <w:sz w:val="24"/>
        </w:rPr>
        <w:t xml:space="preserve">: AI helps some knowledge tasks and fails on others inside the same job. Hui, Reshef and Zhou (2024) study freelance coding after Copilot.</w:t>
      </w:r>
    </w:p>
    <w:p>
      <w:pPr>
        <w:pStyle w:val="BodyText"/>
        <w:spacing w:line="480" w:lineRule="auto" w:after="0"/>
        <w:ind w:firstLine="720"/>
      </w:pPr>
      <w:r>
        <w:rPr>
          <w:rFonts w:ascii="Times New Roman" w:hAnsi="Times New Roman" w:eastAsia="Times New Roman"/>
          <w:sz w:val="24"/>
        </w:rP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spacing w:line="480" w:lineRule="auto" w:after="0"/>
        <w:ind w:firstLine="720"/>
      </w:pPr>
      <w:r>
        <w:rPr>
          <w:rFonts w:ascii="Times New Roman" w:hAnsi="Times New Roman" w:eastAsia="Times New Roman"/>
          <w:sz w:val="24"/>
        </w:rPr>
        <w:t xml:space="preserve">Agrawal, Gans and Goldfarb (2018, 2022) frame AI as cheaper prediction. Korinek and Stiglitz (2021) warn that the distribution of gains depends on whether AI automates or augments. This paper does not estimate welfare. It asks which</w:t>
      </w:r>
      <w:r>
        <w:rPr>
          <w:rFonts w:ascii="Times New Roman" w:hAnsi="Times New Roman" w:eastAsia="Times New Roman"/>
          <w:sz w:val="24"/>
        </w:rPr>
        <w:t xml:space="preserve"> </w:t>
      </w:r>
      <w:r>
        <w:rPr>
          <w:iCs/>
          <w:rFonts w:ascii="Times New Roman" w:hAnsi="Times New Roman" w:eastAsia="Times New Roman"/>
          <w:i/>
          <w:sz w:val="24"/>
        </w:rPr>
        <w:t xml:space="preserve">measured</w:t>
      </w:r>
      <w:r>
        <w:rPr>
          <w:rFonts w:ascii="Times New Roman" w:hAnsi="Times New Roman" w:eastAsia="Times New Roman"/>
          <w:sz w:val="24"/>
        </w:rPr>
        <w:t xml:space="preserve"> </w:t>
      </w:r>
      <w:r>
        <w:rPr>
          <w:rFonts w:ascii="Times New Roman" w:hAnsi="Times New Roman" w:eastAsia="Times New Roman"/>
          <w:sz w:val="24"/>
        </w:rPr>
        <w:t xml:space="preserve">industry aggregates moved.</w:t>
      </w:r>
    </w:p>
    <w:bookmarkEnd w:id="24"/>
    <w:bookmarkStart w:id="25" w:name="X564b86f8e20bea7c1f319e88e9e6aa84733eeab"/>
    <w:p>
      <w:pPr>
        <w:pStyle w:val="Heading3"/>
        <w:spacing w:line="480" w:lineRule="auto"/>
        <w:ind w:firstLine="0"/>
      </w:pPr>
      <w:r>
        <w:rPr>
          <w:rFonts w:ascii="Times New Roman" w:hAnsi="Times New Roman" w:eastAsia="Times New Roman"/>
          <w:b/>
          <w:sz w:val="24"/>
        </w:rPr>
        <w:t xml:space="preserve">2.4 Tradable tasks and the UK’s partner relationships</w:t>
      </w:r>
    </w:p>
    <w:p>
      <w:pPr>
        <w:pStyle w:val="FirstParagraph"/>
        <w:spacing w:line="480" w:lineRule="auto" w:after="0"/>
        <w:ind w:firstLine="720"/>
      </w:pPr>
      <w:r>
        <w:rPr>
          <w:rFonts w:ascii="Times New Roman" w:hAnsi="Times New Roman" w:eastAsia="Times New Roman"/>
          <w:sz w:val="24"/>
        </w:rPr>
        <w:t xml:space="preserve">Blinder (2006) argued that whatever can be delivered down a wire is potentially offshorable. Grossman and Rossi-Hansberg (2008) model trade in</w:t>
      </w:r>
      <w:r>
        <w:rPr>
          <w:rFonts w:ascii="Times New Roman" w:hAnsi="Times New Roman" w:eastAsia="Times New Roman"/>
          <w:sz w:val="24"/>
        </w:rPr>
        <w:t xml:space="preserve"> </w:t>
      </w:r>
      <w:r>
        <w:rPr>
          <w:iCs/>
          <w:rFonts w:ascii="Times New Roman" w:hAnsi="Times New Roman" w:eastAsia="Times New Roman"/>
          <w:i/>
          <w:sz w:val="24"/>
        </w:rPr>
        <w:t xml:space="preserve">tasks</w:t>
      </w:r>
      <w:r>
        <w:rPr>
          <w:rFonts w:ascii="Times New Roman" w:hAnsi="Times New Roman" w:eastAsia="Times New Roman"/>
          <w:sz w:val="24"/>
        </w:rP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spacing w:line="480" w:lineRule="auto" w:after="0"/>
        <w:ind w:firstLine="720"/>
      </w:pPr>
      <w:r>
        <w:rPr>
          <w:rFonts w:ascii="Times New Roman" w:hAnsi="Times New Roman" w:eastAsia="Times New Roman"/>
          <w:sz w:val="24"/>
        </w:rPr>
        <w:t xml:space="preserve">For civil engineering, the mode split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margins to be compared.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spacing w:line="480" w:lineRule="auto" w:after="0"/>
        <w:ind w:firstLine="720"/>
      </w:pPr>
      <w:r>
        <w:rPr>
          <w:rFonts w:ascii="Times New Roman" w:hAnsi="Times New Roman" w:eastAsia="Times New Roman"/>
          <w:sz w:val="24"/>
        </w:rP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spacing w:line="480" w:lineRule="auto"/>
        <w:ind w:firstLine="0"/>
      </w:pPr>
      <w:r>
        <w:rPr>
          <w:rFonts w:ascii="Times New Roman" w:hAnsi="Times New Roman" w:eastAsia="Times New Roman"/>
          <w:b/>
          <w:sz w:val="24"/>
        </w:rPr>
        <w:t xml:space="preserve">2.5 Construction economics versus professional engineering</w:t>
      </w:r>
    </w:p>
    <w:p>
      <w:pPr>
        <w:pStyle w:val="FirstParagraph"/>
        <w:spacing w:line="480" w:lineRule="auto" w:after="0"/>
        <w:ind w:firstLine="720"/>
      </w:pPr>
      <w:r>
        <w:rPr>
          <w:rFonts w:ascii="Times New Roman" w:hAnsi="Times New Roman" w:eastAsia="Times New Roman"/>
          <w:sz w:val="24"/>
        </w:rP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rPr>
          <w:rFonts w:ascii="Times New Roman" w:hAnsi="Times New Roman" w:eastAsia="Times New Roman"/>
          <w:sz w:val="24"/>
        </w:rPr>
        <w:t xml:space="preserve"> </w:t>
      </w:r>
      <w:r>
        <w:rPr>
          <w:iCs/>
          <w:rFonts w:ascii="Times New Roman" w:hAnsi="Times New Roman" w:eastAsia="Times New Roman"/>
          <w:i/>
          <w:sz w:val="24"/>
        </w:rPr>
        <w:t xml:space="preserve">design and coordination</w:t>
      </w:r>
      <w:r>
        <w:rPr>
          <w:rFonts w:ascii="Times New Roman" w:hAnsi="Times New Roman" w:eastAsia="Times New Roman"/>
          <w:sz w:val="24"/>
        </w:rPr>
        <w:t xml:space="preserve">, which live in NACE M71 and related consultancies, not necessarily in NACE F. Whyte (2019) similarly locates digital delivery in professional organisations rather than only on the construction site.</w:t>
      </w:r>
    </w:p>
    <w:p>
      <w:pPr>
        <w:pStyle w:val="BodyText"/>
        <w:spacing w:line="480" w:lineRule="auto" w:after="0"/>
        <w:ind w:firstLine="720"/>
      </w:pPr>
      <w:r>
        <w:rPr>
          <w:rFonts w:ascii="Times New Roman" w:hAnsi="Times New Roman" w:eastAsia="Times New Roman"/>
          <w:sz w:val="24"/>
        </w:rPr>
        <w:t xml:space="preserve">Eurostat confirms the split. Professional-service enterprises adopted natural-language-generation tools much more rapidly than construction enterprises (Table 2, Figure 3). Felten’s industry exposure scores for highway and heavy-civil contractors are also low. On-site construction is therefore a comparison industry rather than the treated professional industry.</w:t>
      </w:r>
    </w:p>
    <w:bookmarkEnd w:id="26"/>
    <w:bookmarkStart w:id="27" w:name="the-empirical-gap"/>
    <w:p>
      <w:pPr>
        <w:pStyle w:val="Heading3"/>
        <w:spacing w:line="480" w:lineRule="auto"/>
        <w:ind w:firstLine="0"/>
      </w:pPr>
      <w:r>
        <w:rPr>
          <w:rFonts w:ascii="Times New Roman" w:hAnsi="Times New Roman" w:eastAsia="Times New Roman"/>
          <w:b/>
          <w:sz w:val="24"/>
        </w:rPr>
        <w:t xml:space="preserve">2.6 The empirical gap</w:t>
      </w:r>
    </w:p>
    <w:p>
      <w:pPr>
        <w:pStyle w:val="FirstParagraph"/>
        <w:spacing w:line="480" w:lineRule="auto" w:after="0"/>
        <w:ind w:firstLine="720"/>
      </w:pPr>
      <w:r>
        <w:rPr>
          <w:rFonts w:ascii="Times New Roman" w:hAnsi="Times New Roman" w:eastAsia="Times New Roman"/>
          <w:sz w:val="24"/>
        </w:rP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spacing w:line="480" w:lineRule="auto"/>
        <w:ind w:firstLine="0"/>
      </w:pPr>
      <w:r>
        <w:rPr>
          <w:rFonts w:ascii="Times New Roman" w:hAnsi="Times New Roman" w:eastAsia="Times New Roman"/>
          <w:b/>
          <w:sz w:val="24"/>
        </w:rPr>
        <w:t xml:space="preserve">2.7 Why the two UK relationships are informative</w:t>
      </w:r>
    </w:p>
    <w:p>
      <w:pPr>
        <w:pStyle w:val="FirstParagraph"/>
        <w:spacing w:line="480" w:lineRule="auto" w:after="0"/>
        <w:ind w:firstLine="720"/>
      </w:pPr>
      <w:r>
        <w:rPr>
          <w:rFonts w:ascii="Times New Roman" w:hAnsi="Times New Roman" w:eastAsia="Times New Roman"/>
          <w:sz w:val="24"/>
        </w:rP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spacing w:line="480" w:lineRule="auto" w:after="0"/>
        <w:ind w:firstLine="720"/>
      </w:pPr>
      <w:r>
        <w:rPr>
          <w:rFonts w:ascii="Times New Roman" w:hAnsi="Times New Roman" w:eastAsia="Times New Roman"/>
          <w:sz w:val="24"/>
        </w:rP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services trade</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from being mistaken for a civil-engineering response.</w:t>
      </w:r>
    </w:p>
    <w:p>
      <w:pPr>
        <w:pStyle w:val="BodyText"/>
        <w:spacing w:line="480" w:lineRule="auto" w:after="0"/>
        <w:ind w:firstLine="720"/>
      </w:pPr>
      <w:r>
        <w:rPr>
          <w:rFonts w:ascii="Times New Roman" w:hAnsi="Times New Roman" w:eastAsia="Times New Roman"/>
          <w:sz w:val="24"/>
        </w:rP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spacing w:line="480" w:lineRule="auto" w:after="0"/>
        <w:ind w:firstLine="720"/>
      </w:pPr>
      <w:r>
        <w:rPr>
          <w:rFonts w:ascii="Times New Roman" w:hAnsi="Times New Roman" w:eastAsia="Times New Roman"/>
          <w:sz w:val="24"/>
        </w:rP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pPr>
        <w:spacing w:line="480" w:lineRule="auto" w:after="0"/>
        <w:ind w:firstLine="0"/>
      </w:pPr>
      <w:r>
        <w:pict>
          <v:rect style="width:0;height:1.5pt" o:hralign="center" o:hrstd="t" o:hr="t"/>
        </w:pict>
      </w:r>
    </w:p>
    <w:bookmarkEnd w:id="28"/>
    <w:bookmarkEnd w:id="29"/>
    <w:bookmarkStart w:id="35" w:name="data"/>
    <w:p>
      <w:pPr>
        <w:pStyle w:val="Heading2"/>
        <w:spacing w:line="480" w:lineRule="auto"/>
        <w:ind w:firstLine="0"/>
      </w:pPr>
      <w:r>
        <w:rPr>
          <w:rFonts w:ascii="Times New Roman" w:hAnsi="Times New Roman" w:eastAsia="Times New Roman"/>
          <w:b/>
          <w:sz w:val="24"/>
        </w:rPr>
        <w:t xml:space="preserve">3. Data</w:t>
      </w:r>
    </w:p>
    <w:p>
      <w:pPr>
        <w:pStyle w:val="FirstParagraph"/>
        <w:spacing w:line="480" w:lineRule="auto" w:after="0"/>
        <w:ind w:firstLine="720"/>
      </w:pPr>
      <w:r>
        <w:rPr>
          <w:rFonts w:ascii="Times New Roman" w:hAnsi="Times New Roman" w:eastAsia="Times New Roman"/>
          <w:sz w:val="24"/>
        </w:rPr>
        <w:t xml:space="preserve">The analysis uses retrieved official series only.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spacing w:line="480" w:lineRule="auto"/>
        <w:ind w:firstLine="0"/>
      </w:pPr>
      <w:r>
        <w:rPr>
          <w:rFonts w:ascii="Times New Roman" w:hAnsi="Times New Roman" w:eastAsia="Times New Roman"/>
          <w:b/>
          <w:sz w:val="24"/>
        </w:rPr>
        <w:t xml:space="preserve">3.1 Country-pair design</w:t>
      </w:r>
    </w:p>
    <w:p>
      <w:pPr>
        <w:pStyle w:val="FirstParagraph"/>
        <w:spacing w:line="480" w:lineRule="auto" w:after="0"/>
        <w:ind w:firstLine="720"/>
      </w:pPr>
      <w:r>
        <w:rPr>
          <w:rFonts w:ascii="Times New Roman" w:hAnsi="Times New Roman" w:eastAsia="Times New Roman"/>
          <w:sz w:val="24"/>
        </w:rP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spacing w:line="480" w:lineRule="auto" w:after="0"/>
        <w:ind w:firstLine="720"/>
      </w:pPr>
      <w:r>
        <w:rPr>
          <w:rFonts w:ascii="Times New Roman" w:hAnsi="Times New Roman" w:eastAsia="Times New Roman"/>
          <w:sz w:val="24"/>
        </w:rP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spacing w:line="480" w:lineRule="auto"/>
        <w:ind w:firstLine="0"/>
      </w:pPr>
      <w:r>
        <w:rPr>
          <w:rFonts w:ascii="Times New Roman" w:hAnsi="Times New Roman" w:eastAsia="Times New Roman"/>
          <w:b/>
          <w:sz w:val="24"/>
        </w:rPr>
        <w:t xml:space="preserve">3.2 AI shock</w:t>
      </w:r>
    </w:p>
    <w:p>
      <w:pPr>
        <w:pStyle w:val="FirstParagraph"/>
        <w:spacing w:line="480" w:lineRule="auto" w:after="0"/>
        <w:ind w:firstLine="720"/>
      </w:pPr>
      <w:r>
        <w:rPr>
          <w:rFonts w:ascii="Times New Roman" w:hAnsi="Times New Roman" w:eastAsia="Times New Roman"/>
          <w:sz w:val="24"/>
        </w:rPr>
        <w:t xml:space="preserve">Eurostat</w:t>
      </w:r>
      <w:r>
        <w:rPr>
          <w:rFonts w:ascii="Times New Roman" w:hAnsi="Times New Roman" w:eastAsia="Times New Roman"/>
          <w:sz w:val="24"/>
        </w:rPr>
        <w:t xml:space="preserve"> </w:t>
      </w:r>
      <w:r>
        <w:rPr>
          <w:rStyle w:val="VerbatimChar"/>
          <w:rFonts w:ascii="Times New Roman" w:hAnsi="Times New Roman" w:eastAsia="Times New Roman"/>
          <w:sz w:val="24"/>
        </w:rPr>
        <w:t xml:space="preserve">isoc_eb_ain2</w:t>
      </w:r>
      <w:r>
        <w:rPr>
          <w:rFonts w:ascii="Times New Roman" w:hAnsi="Times New Roman" w:eastAsia="Times New Roman"/>
          <w:sz w:val="24"/>
        </w:rPr>
        <w:t xml:space="preserve">, enterprises with 10+ persons, percent using AI:</w:t>
      </w:r>
    </w:p>
    <w:p>
      <w:pPr>
        <w:numPr>
          <w:ilvl w:val="0"/>
          <w:numId w:val="1001"/>
        </w:numPr>
        <w:pStyle w:val="Compact"/>
        <w:spacing w:line="480" w:lineRule="auto" w:after="0"/>
        <w:ind w:firstLine="720"/>
      </w:pPr>
      <w:r>
        <w:rPr>
          <w:rFonts w:ascii="Times New Roman" w:hAnsi="Times New Roman" w:eastAsia="Times New Roman"/>
          <w:sz w:val="24"/>
        </w:rPr>
        <w:t xml:space="preserve">E_AI_TANY, NACE F and M: generic comparison (</w:t>
      </w:r>
      <w:r>
        <w:rPr>
          <w:rStyle w:val="VerbatimChar"/>
          <w:rFonts w:ascii="Times New Roman" w:hAnsi="Times New Roman" w:eastAsia="Times New Roman"/>
          <w:sz w:val="24"/>
        </w:rPr>
        <w:t xml:space="preserve">eurostat_ai_raw.csv</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E_AI_TNLG, TML, TTM, TIR, TPVSG, NACE F and M: generative and technology placebos (</w:t>
      </w:r>
      <w:r>
        <w:rPr>
          <w:rStyle w:val="VerbatimChar"/>
          <w:rFonts w:ascii="Times New Roman" w:hAnsi="Times New Roman" w:eastAsia="Times New Roman"/>
          <w:sz w:val="24"/>
        </w:rPr>
        <w:t xml:space="preserve">eurostat_ai_genai_types.csv</w:t>
      </w:r>
      <w:r>
        <w:rPr>
          <w:rFonts w:ascii="Times New Roman" w:hAnsi="Times New Roman" w:eastAsia="Times New Roman"/>
          <w:sz w:val="24"/>
        </w:rPr>
        <w:t xml:space="preserve">). TPVSG (pictures/video/sound) exists for</w:t>
      </w:r>
      <w:r>
        <w:rPr>
          <w:rFonts w:ascii="Times New Roman" w:hAnsi="Times New Roman" w:eastAsia="Times New Roman"/>
          <w:sz w:val="24"/>
        </w:rPr>
        <w:t xml:space="preserve"> </w:t>
      </w:r>
      <w:r>
        <w:rPr>
          <w:bCs/>
          <w:rFonts w:ascii="Times New Roman" w:hAnsi="Times New Roman" w:eastAsia="Times New Roman"/>
          <w:b/>
          <w:sz w:val="24"/>
        </w:rPr>
        <w:t xml:space="preserve">2025 only</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Same indicators, NACE C, J, N: sector placebos (</w:t>
      </w:r>
      <w:r>
        <w:rPr>
          <w:rStyle w:val="VerbatimChar"/>
          <w:rFonts w:ascii="Times New Roman" w:hAnsi="Times New Roman" w:eastAsia="Times New Roman"/>
          <w:sz w:val="24"/>
        </w:rPr>
        <w:t xml:space="preserve">eurostat_ai_nace_placebos.csv</w:t>
      </w:r>
      <w:r>
        <w:rPr>
          <w:rFonts w:ascii="Times New Roman" w:hAnsi="Times New Roman" w:eastAsia="Times New Roman"/>
          <w:sz w:val="24"/>
        </w:rPr>
        <w:t xml:space="preserve">). NACE K (finance) is empty.</w:t>
      </w:r>
      <w:r>
        <w:rPr>
          <w:rFonts w:ascii="Times New Roman" w:hAnsi="Times New Roman" w:eastAsia="Times New Roman"/>
          <w:sz w:val="24"/>
        </w:rPr>
        <w:t xml:space="preserve"> </w:t>
      </w:r>
      <w:r>
        <w:rPr>
          <w:bCs/>
          <w:rFonts w:ascii="Times New Roman" w:hAnsi="Times New Roman" w:eastAsia="Times New Roman"/>
          <w:b/>
          <w:sz w:val="24"/>
        </w:rPr>
        <w:t xml:space="preserve">NACE M71 is not in the survey</w:t>
      </w:r>
      <w:r>
        <w:rPr>
          <w:rFonts w:ascii="Times New Roman" w:hAnsi="Times New Roman" w:eastAsia="Times New Roman"/>
          <w:sz w:val="24"/>
        </w:rPr>
        <w:t xml:space="preserve"> </w:t>
      </w:r>
      <w:r>
        <w:rPr>
          <w:rFonts w:ascii="Times New Roman" w:hAnsi="Times New Roman" w:eastAsia="Times New Roman"/>
          <w:sz w:val="24"/>
        </w:rPr>
        <w:t xml:space="preserve">(HTTP 400). NACE M is the finest cell that contains M71 firms.</w:t>
      </w:r>
    </w:p>
    <w:p>
      <w:pPr>
        <w:pStyle w:val="FirstParagraph"/>
        <w:spacing w:line="480" w:lineRule="auto" w:after="0"/>
        <w:ind w:firstLine="720"/>
      </w:pPr>
      <w:r>
        <w:rPr>
          <w:bCs/>
          <w:rFonts w:ascii="Times New Roman" w:hAnsi="Times New Roman" w:eastAsia="Times New Roman"/>
          <w:b/>
          <w:sz w:val="24"/>
        </w:rPr>
        <w:t xml:space="preserve">Preferred shock:</w:t>
      </w:r>
      <w:r>
        <w:rPr>
          <w:rFonts w:ascii="Times New Roman" w:hAnsi="Times New Roman" w:eastAsia="Times New Roman"/>
          <w:sz w:val="24"/>
        </w:rPr>
        <w:t xml:space="preserve"> </w:t>
      </w:r>
      <w:r>
        <w:rPr>
          <w:rFonts w:ascii="Times New Roman" w:hAnsi="Times New Roman" w:eastAsia="Times New Roman"/>
          <w:sz w:val="24"/>
        </w:rPr>
        <w:t xml:space="preserve">ΔTNLG in NACE M, 2024 minus 2023. EU-27 M: 2.60 (2021), 4.55 (2023), 11.51 (2024), 17.74 (2025). Construction: 0.99, 0.58, 2.42, 3.25.</w:t>
      </w:r>
    </w:p>
    <w:bookmarkEnd w:id="31"/>
    <w:bookmarkStart w:id="32" w:name="civil-industry-economy"/>
    <w:p>
      <w:pPr>
        <w:pStyle w:val="Heading3"/>
        <w:spacing w:line="480" w:lineRule="auto"/>
        <w:ind w:firstLine="0"/>
      </w:pPr>
      <w:r>
        <w:rPr>
          <w:rFonts w:ascii="Times New Roman" w:hAnsi="Times New Roman" w:eastAsia="Times New Roman"/>
          <w:b/>
          <w:sz w:val="24"/>
        </w:rPr>
        <w:t xml:space="preserve">3.3 Civil industry economy</w:t>
      </w:r>
    </w:p>
    <w:p>
      <w:pPr>
        <w:numPr>
          <w:ilvl w:val="0"/>
          <w:numId w:val="1002"/>
        </w:numPr>
        <w:pStyle w:val="Compact"/>
        <w:spacing w:line="480" w:lineRule="auto" w:after="0"/>
        <w:ind w:firstLine="720"/>
      </w:pPr>
      <w:r>
        <w:rPr>
          <w:rFonts w:ascii="Times New Roman" w:hAnsi="Times New Roman" w:eastAsia="Times New Roman"/>
          <w:sz w:val="24"/>
        </w:rPr>
        <w:t xml:space="preserve">National accounts</w:t>
      </w:r>
      <w:r>
        <w:rPr>
          <w:rFonts w:ascii="Times New Roman" w:hAnsi="Times New Roman" w:eastAsia="Times New Roman"/>
          <w:sz w:val="24"/>
        </w:rPr>
        <w:t xml:space="preserve"> </w:t>
      </w:r>
      <w:r>
        <w:rPr>
          <w:rStyle w:val="VerbatimChar"/>
          <w:rFonts w:ascii="Times New Roman" w:hAnsi="Times New Roman" w:eastAsia="Times New Roman"/>
          <w:sz w:val="24"/>
        </w:rPr>
        <w:t xml:space="preserve">nama_10_a64</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w:t>
      </w:r>
      <w:r>
        <w:rPr>
          <w:rStyle w:val="VerbatimChar"/>
          <w:rFonts w:ascii="Times New Roman" w:hAnsi="Times New Roman" w:eastAsia="Times New Roman"/>
          <w:sz w:val="24"/>
        </w:rPr>
        <w:t xml:space="preserve">_e</w:t>
      </w:r>
      <w:r>
        <w:rPr>
          <w:rFonts w:ascii="Times New Roman" w:hAnsi="Times New Roman" w:eastAsia="Times New Roman"/>
          <w:sz w:val="24"/>
        </w:rPr>
        <w:t xml:space="preserve">: GVA, employment, compensation (D1), output (P1) for M71, F, M. UK M71 GVA/D1 stop in</w:t>
      </w:r>
      <w:r>
        <w:rPr>
          <w:rFonts w:ascii="Times New Roman" w:hAnsi="Times New Roman" w:eastAsia="Times New Roman"/>
          <w:sz w:val="24"/>
        </w:rPr>
        <w:t xml:space="preserve"> </w:t>
      </w:r>
      <w:r>
        <w:rPr>
          <w:bCs/>
          <w:rFonts w:ascii="Times New Roman" w:hAnsi="Times New Roman" w:eastAsia="Times New Roman"/>
          <w:b/>
          <w:sz w:val="24"/>
        </w:rPr>
        <w:t xml:space="preserve">2018</w:t>
      </w:r>
      <w:r>
        <w:rPr>
          <w:rFonts w:ascii="Times New Roman" w:hAnsi="Times New Roman" w:eastAsia="Times New Roman"/>
          <w:sz w:val="24"/>
        </w:rPr>
        <w:t xml:space="preserve">.</w:t>
      </w:r>
    </w:p>
    <w:p>
      <w:pPr>
        <w:numPr>
          <w:ilvl w:val="0"/>
          <w:numId w:val="1002"/>
        </w:numPr>
        <w:pStyle w:val="Compact"/>
        <w:spacing w:line="480" w:lineRule="auto" w:after="0"/>
        <w:ind w:firstLine="720"/>
      </w:pPr>
      <w:r>
        <w:rPr>
          <w:rFonts w:ascii="Times New Roman" w:hAnsi="Times New Roman" w:eastAsia="Times New Roman"/>
          <w:sz w:val="24"/>
        </w:rPr>
        <w:t xml:space="preserve">Structural business statistics</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sbs_ovw_act</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sbs_sc_ovw</w:t>
      </w:r>
      <w:r>
        <w:rPr>
          <w:rFonts w:ascii="Times New Roman" w:hAnsi="Times New Roman" w:eastAsia="Times New Roman"/>
          <w:sz w:val="24"/>
        </w:rPr>
        <w:t xml:space="preserve">: M71 vs F vs M, 2021–</w:t>
      </w:r>
      <w:r>
        <w:rPr>
          <w:bCs/>
          <w:rFonts w:ascii="Times New Roman" w:hAnsi="Times New Roman" w:eastAsia="Times New Roman"/>
          <w:b/>
          <w:sz w:val="24"/>
        </w:rPr>
        <w:t xml:space="preserve">2024</w:t>
      </w:r>
      <w:r>
        <w:rPr>
          <w:rFonts w:ascii="Times New Roman" w:hAnsi="Times New Roman" w:eastAsia="Times New Roman"/>
          <w:sz w:val="24"/>
        </w:rPr>
        <w:t xml:space="preserve">, net turnover, persons employed, wages, value added, GOS. This is the industry-economy file that overlaps the 2024 NLG year.</w:t>
      </w:r>
    </w:p>
    <w:p>
      <w:pPr>
        <w:numPr>
          <w:ilvl w:val="0"/>
          <w:numId w:val="1002"/>
        </w:numPr>
        <w:pStyle w:val="Compact"/>
        <w:spacing w:line="480" w:lineRule="auto" w:after="0"/>
        <w:ind w:firstLine="720"/>
      </w:pPr>
      <w:r>
        <w:rPr>
          <w:rFonts w:ascii="Times New Roman" w:hAnsi="Times New Roman" w:eastAsia="Times New Roman"/>
          <w:sz w:val="24"/>
        </w:rPr>
        <w:t xml:space="preserve">ILOSTAT employment ISIC F vs M (</w:t>
      </w:r>
      <w:r>
        <w:rPr>
          <w:rStyle w:val="VerbatimChar"/>
          <w:rFonts w:ascii="Times New Roman" w:hAnsi="Times New Roman" w:eastAsia="Times New Roman"/>
          <w:sz w:val="24"/>
        </w:rPr>
        <w:t xml:space="preserve">ilo_emp_FM.csv</w:t>
      </w:r>
      <w:r>
        <w:rPr>
          <w:rFonts w:ascii="Times New Roman" w:hAnsi="Times New Roman" w:eastAsia="Times New Roman"/>
          <w:sz w:val="24"/>
        </w:rPr>
        <w:t xml:space="preserve">). China is empty. ISIC M71 is not published (404).</w:t>
      </w:r>
    </w:p>
    <w:p>
      <w:pPr>
        <w:numPr>
          <w:ilvl w:val="0"/>
          <w:numId w:val="1002"/>
        </w:numPr>
        <w:pStyle w:val="Compact"/>
        <w:spacing w:line="480" w:lineRule="auto" w:after="0"/>
        <w:ind w:firstLine="720"/>
      </w:pPr>
      <w:r>
        <w:rPr>
          <w:rFonts w:ascii="Times New Roman" w:hAnsi="Times New Roman" w:eastAsia="Times New Roman"/>
          <w:sz w:val="24"/>
        </w:rPr>
        <w:t xml:space="preserve">The US BLS series returned NAICS 54 rather than engineering-specific 54133 and is retained only in the supplementary data.</w:t>
      </w:r>
    </w:p>
    <w:p>
      <w:pPr>
        <w:pStyle w:val="FirstParagraph"/>
        <w:spacing w:line="480" w:lineRule="auto" w:after="0"/>
        <w:ind w:firstLine="720"/>
      </w:pPr>
      <w:r>
        <w:rPr>
          <w:rFonts w:ascii="Times New Roman" w:hAnsi="Times New Roman" w:eastAsia="Times New Roman"/>
          <w:sz w:val="24"/>
        </w:rPr>
        <w:t xml:space="preserve">Values are</w:t>
      </w:r>
      <w:r>
        <w:rPr>
          <w:rFonts w:ascii="Times New Roman" w:hAnsi="Times New Roman" w:eastAsia="Times New Roman"/>
          <w:sz w:val="24"/>
        </w:rPr>
        <w:t xml:space="preserve"> </w:t>
      </w:r>
      <w:r>
        <w:rPr>
          <w:bCs/>
          <w:rFonts w:ascii="Times New Roman" w:hAnsi="Times New Roman" w:eastAsia="Times New Roman"/>
          <w:b/>
          <w:sz w:val="24"/>
        </w:rPr>
        <w:t xml:space="preserve">current prices</w:t>
      </w:r>
      <w:r>
        <w:rPr>
          <w:rFonts w:ascii="Times New Roman" w:hAnsi="Times New Roman" w:eastAsia="Times New Roman"/>
          <w:sz w:val="24"/>
        </w:rPr>
        <w:t xml:space="preserve"> </w:t>
      </w:r>
      <w:r>
        <w:rPr>
          <w:rFonts w:ascii="Times New Roman" w:hAnsi="Times New Roman" w:eastAsia="Times New Roman"/>
          <w:sz w:val="24"/>
        </w:rPr>
        <w:t xml:space="preserve">where applicable. Nominal growth is not a GenAI effect; the DiD asks whether high-NLG countries grew</w:t>
      </w:r>
      <w:r>
        <w:rPr>
          <w:rFonts w:ascii="Times New Roman" w:hAnsi="Times New Roman" w:eastAsia="Times New Roman"/>
          <w:sz w:val="24"/>
        </w:rPr>
        <w:t xml:space="preserve"> </w:t>
      </w:r>
      <w:r>
        <w:rPr>
          <w:iCs/>
          <w:rFonts w:ascii="Times New Roman" w:hAnsi="Times New Roman" w:eastAsia="Times New Roman"/>
          <w:i/>
          <w:sz w:val="24"/>
        </w:rPr>
        <w:t xml:space="preserve">faster</w:t>
      </w:r>
      <w:r>
        <w:rPr>
          <w:rFonts w:ascii="Times New Roman" w:hAnsi="Times New Roman" w:eastAsia="Times New Roman"/>
          <w:sz w:val="24"/>
        </w:rPr>
        <w:t xml:space="preserve">.</w:t>
      </w:r>
    </w:p>
    <w:bookmarkEnd w:id="32"/>
    <w:bookmarkStart w:id="33" w:name="ukindia-and-ukchina-trade-outcomes"/>
    <w:p>
      <w:pPr>
        <w:pStyle w:val="Heading3"/>
        <w:spacing w:line="480" w:lineRule="auto"/>
        <w:ind w:firstLine="0"/>
      </w:pPr>
      <w:r>
        <w:rPr>
          <w:rFonts w:ascii="Times New Roman" w:hAnsi="Times New Roman" w:eastAsia="Times New Roman"/>
          <w:b/>
          <w:sz w:val="24"/>
        </w:rPr>
        <w:t xml:space="preserve">3.4 UK–India and UK–China trade outcomes</w:t>
      </w:r>
    </w:p>
    <w:p>
      <w:pPr>
        <w:pStyle w:val="FirstParagraph"/>
        <w:spacing w:line="480" w:lineRule="auto" w:after="0"/>
        <w:ind w:firstLine="720"/>
      </w:pPr>
      <w:r>
        <w:rPr>
          <w:rFonts w:ascii="Times New Roman" w:hAnsi="Times New Roman" w:eastAsia="Times New Roman"/>
          <w:sz w:val="24"/>
        </w:rPr>
        <w:t xml:space="preserve">OECD–WTO BaTIS, adjustment B, supplies annual bilateral values in USD million from 2015 to 2024.</w:t>
      </w:r>
      <w:r>
        <w:rPr>
          <w:rFonts w:ascii="Times New Roman" w:hAnsi="Times New Roman" w:eastAsia="Times New Roman"/>
          <w:sz w:val="24"/>
        </w:rPr>
        <w:t xml:space="preserve"> </w:t>
      </w:r>
      <w:r>
        <w:rPr>
          <w:rStyle w:val="VerbatimChar"/>
          <w:rFonts w:ascii="Times New Roman" w:hAnsi="Times New Roman" w:eastAsia="Times New Roman"/>
          <w:sz w:val="24"/>
        </w:rPr>
        <w:t xml:space="preserve">batis_uk_india_china.csv</w:t>
      </w:r>
      <w:r>
        <w:rPr>
          <w:rFonts w:ascii="Times New Roman" w:hAnsi="Times New Roman" w:eastAsia="Times New Roman"/>
          <w:sz w:val="24"/>
        </w:rPr>
        <w:t xml:space="preserve"> </w:t>
      </w:r>
      <w:r>
        <w:rPr>
          <w:rFonts w:ascii="Times New Roman" w:hAnsi="Times New Roman" w:eastAsia="Times New Roman"/>
          <w:sz w:val="24"/>
        </w:rPr>
        <w:t xml:space="preserve">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spacing w:line="480" w:lineRule="auto" w:after="0"/>
        <w:ind w:firstLine="720"/>
      </w:pPr>
      <w:r>
        <w:rPr>
          <w:rFonts w:ascii="Times New Roman" w:hAnsi="Times New Roman" w:eastAsia="Times New Roman"/>
          <w:sz w:val="24"/>
        </w:rPr>
        <w:t xml:space="preserve">For the panel analysis, the headline outcome remains SJ3 imported from India. Chinese SE construction services are the project-delivery comparison. A pooled Mode-1 sample containing two additional exporters is retained as a robustness exercise but is not part of the bilateral narrative.</w:t>
      </w:r>
    </w:p>
    <w:p>
      <w:pPr>
        <w:pStyle w:val="BodyText"/>
        <w:spacing w:line="480" w:lineRule="auto" w:after="0"/>
        <w:ind w:firstLine="720"/>
      </w:pPr>
      <w:r>
        <w:rPr>
          <w:rFonts w:ascii="Times New Roman" w:hAnsi="Times New Roman" w:eastAsia="Times New Roman"/>
          <w:sz w:val="24"/>
        </w:rPr>
        <w:t xml:space="preserve">World Bank GDP and sector shares are background only (</w:t>
      </w:r>
      <w:r>
        <w:rPr>
          <w:rStyle w:val="VerbatimChar"/>
          <w:rFonts w:ascii="Times New Roman" w:hAnsi="Times New Roman" w:eastAsia="Times New Roman"/>
          <w:sz w:val="24"/>
        </w:rPr>
        <w:t xml:space="preserve">wb_*.json</w:t>
      </w:r>
      <w:r>
        <w:rPr>
          <w:rFonts w:ascii="Times New Roman" w:hAnsi="Times New Roman" w:eastAsia="Times New Roman"/>
          <w:sz w:val="24"/>
        </w:rPr>
        <w:t xml:space="preserve">). Construction value-added indicator</w:t>
      </w:r>
      <w:r>
        <w:rPr>
          <w:rFonts w:ascii="Times New Roman" w:hAnsi="Times New Roman" w:eastAsia="Times New Roman"/>
          <w:sz w:val="24"/>
        </w:rPr>
        <w:t xml:space="preserve"> </w:t>
      </w:r>
      <w:r>
        <w:rPr>
          <w:rStyle w:val="VerbatimChar"/>
          <w:rFonts w:ascii="Times New Roman" w:hAnsi="Times New Roman" w:eastAsia="Times New Roman"/>
          <w:sz w:val="24"/>
        </w:rPr>
        <w:t xml:space="preserve">NV.IND.CONS.ZS</w:t>
      </w:r>
      <w:r>
        <w:rPr>
          <w:rFonts w:ascii="Times New Roman" w:hAnsi="Times New Roman" w:eastAsia="Times New Roman"/>
          <w:sz w:val="24"/>
        </w:rPr>
        <w:t xml:space="preserve"> </w:t>
      </w:r>
      <w:r>
        <w:rPr>
          <w:rFonts w:ascii="Times New Roman" w:hAnsi="Times New Roman" w:eastAsia="Times New Roman"/>
          <w:sz w:val="24"/>
        </w:rPr>
        <w:t xml:space="preserve">is invalid (API 120) and is not invented.</w:t>
      </w:r>
    </w:p>
    <w:bookmarkEnd w:id="33"/>
    <w:bookmarkStart w:id="34" w:name="comparability-and-data-quality"/>
    <w:p>
      <w:pPr>
        <w:pStyle w:val="Heading3"/>
        <w:spacing w:line="480" w:lineRule="auto"/>
        <w:ind w:firstLine="0"/>
      </w:pPr>
      <w:r>
        <w:rPr>
          <w:rFonts w:ascii="Times New Roman" w:hAnsi="Times New Roman" w:eastAsia="Times New Roman"/>
          <w:b/>
          <w:sz w:val="24"/>
        </w:rPr>
        <w:t xml:space="preserve">3.5 Comparability and data quality</w:t>
      </w:r>
    </w:p>
    <w:p>
      <w:pPr>
        <w:pStyle w:val="FirstParagraph"/>
        <w:spacing w:line="480" w:lineRule="auto" w:after="0"/>
        <w:ind w:firstLine="720"/>
      </w:pPr>
      <w:r>
        <w:rPr>
          <w:rFonts w:ascii="Times New Roman" w:hAnsi="Times New Roman" w:eastAsia="Times New Roman"/>
          <w:sz w:val="24"/>
        </w:rP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spacing w:line="480" w:lineRule="auto" w:after="0"/>
        <w:ind w:firstLine="720"/>
      </w:pPr>
      <w:r>
        <w:rPr>
          <w:rFonts w:ascii="Times New Roman" w:hAnsi="Times New Roman" w:eastAsia="Times New Roman"/>
          <w:sz w:val="24"/>
        </w:rP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spacing w:line="480" w:lineRule="auto" w:after="0"/>
        <w:ind w:firstLine="720"/>
      </w:pPr>
      <w:r>
        <w:rPr>
          <w:rFonts w:ascii="Times New Roman" w:hAnsi="Times New Roman" w:eastAsia="Times New Roman"/>
          <w:sz w:val="24"/>
        </w:rP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pPr>
        <w:spacing w:line="480" w:lineRule="auto" w:after="0"/>
        <w:ind w:firstLine="0"/>
      </w:pPr>
      <w:r>
        <w:pict>
          <v:rect style="width:0;height:1.5pt" o:hralign="center" o:hrstd="t" o:hr="t"/>
        </w:pict>
      </w:r>
    </w:p>
    <w:bookmarkEnd w:id="34"/>
    <w:bookmarkEnd w:id="35"/>
    <w:bookmarkStart w:id="40" w:name="empirical-design"/>
    <w:p>
      <w:pPr>
        <w:pStyle w:val="Heading2"/>
        <w:spacing w:line="480" w:lineRule="auto"/>
        <w:ind w:firstLine="0"/>
      </w:pPr>
      <w:r>
        <w:rPr>
          <w:rFonts w:ascii="Times New Roman" w:hAnsi="Times New Roman" w:eastAsia="Times New Roman"/>
          <w:b/>
          <w:sz w:val="24"/>
        </w:rPr>
        <w:t xml:space="preserve">4. Empirical design</w:t>
      </w:r>
    </w:p>
    <w:bookmarkStart w:id="36" w:name="trade-equation"/>
    <w:p>
      <w:pPr>
        <w:pStyle w:val="Heading3"/>
        <w:spacing w:line="480" w:lineRule="auto"/>
        <w:ind w:firstLine="0"/>
      </w:pPr>
      <w:r>
        <w:rPr>
          <w:rFonts w:ascii="Times New Roman" w:hAnsi="Times New Roman" w:eastAsia="Times New Roman"/>
          <w:b/>
          <w:sz w:val="24"/>
        </w:rPr>
        <w:t xml:space="preserve">4.1 Trade equation</w:t>
      </w:r>
    </w:p>
    <w:p>
      <w:pPr>
        <w:pStyle w:val="FirstParagraph"/>
        <w:spacing w:line="480" w:lineRule="auto" w:after="0"/>
        <w:ind w:firstLine="720"/>
      </w:pPr>
      <w:r>
        <w:rPr>
          <w:rFonts w:ascii="Times New Roman" w:hAnsi="Times New Roman" w:eastAsia="Times New Roman"/>
          <w:sz w:val="24"/>
        </w:rPr>
        <w:t xml:space="preserve">For EU importers (i), the preferred India specification for (t = 2018,</w:t>
      </w:r>
      <w:r>
        <w:rPr>
          <w:rFonts w:ascii="Times New Roman" w:hAnsi="Times New Roman" w:eastAsia="Times New Roman"/>
          <w:sz w:val="24"/>
        </w:rPr>
        <w:t xml:space="preserve">,2024) is:</w:t>
      </w:r>
    </w:p>
    <w:p>
      <w:pPr>
        <w:pStyle w:val="BodyText"/>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M^{SJ3,IND}_{it}=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t_0]</w:t>
      </w:r>
      <w:r>
        <w:rPr>
          <w:iCs/>
          <w:rFonts w:ascii="Times New Roman" w:hAnsi="Times New Roman" w:eastAsia="Times New Roman"/>
          <w:i/>
          <w:sz w:val="24"/>
        </w:rPr>
        <w:t xml:space="preserve">TNLG_i</w:t>
      </w:r>
      <w:r>
        <w:rPr>
          <w:iCs/>
          <w:rFonts w:ascii="Times New Roman" w:hAnsi="Times New Roman" w:eastAsia="Times New Roman"/>
          <w:i/>
          <w:sz w:val="24"/>
        </w:rPr>
        <w:t xml:space="preserve">)+</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Standard errors are clustered by importer after an iterative within transformation. (t_0=2023) is reported; (t_0=2024) matches the year BaTIS still covers after the NLG jump. The India-only panel contains 119 importer-year observations. The pooled Mode-1 robustness model adds partner fixed effects and has 357 observations.</w:t>
      </w:r>
    </w:p>
    <w:p>
      <w:pPr>
        <w:pStyle w:val="BodyText"/>
        <w:spacing w:line="480" w:lineRule="auto" w:after="0"/>
        <w:ind w:firstLine="720"/>
      </w:pPr>
      <w:r>
        <w:rPr>
          <w:rFonts w:ascii="Times New Roman" w:hAnsi="Times New Roman" w:eastAsia="Times New Roman"/>
          <w:sz w:val="24"/>
        </w:rPr>
        <w:t xml:space="preserve">Comparisons replace Indian SJ3 with Indian SI, Chinese SE or Chinese SJ3, or replace ΔTNLG-M with generic any-AI and other technology measures. Event studies interact year dummies with ΔTNLG, omitting 2022.</w:t>
      </w:r>
    </w:p>
    <w:p>
      <w:pPr>
        <w:pStyle w:val="BodyText"/>
        <w:spacing w:line="480" w:lineRule="auto" w:after="0"/>
        <w:ind w:firstLine="720"/>
      </w:pPr>
      <w:r>
        <w:rPr>
          <w:rFonts w:ascii="Times New Roman" w:hAnsi="Times New Roman" w:eastAsia="Times New Roman"/>
          <w:sz w:val="24"/>
        </w:rP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spacing w:line="480" w:lineRule="auto"/>
        <w:ind w:firstLine="0"/>
      </w:pPr>
      <w:r>
        <w:rPr>
          <w:rFonts w:ascii="Times New Roman" w:hAnsi="Times New Roman" w:eastAsia="Times New Roman"/>
          <w:b/>
          <w:sz w:val="24"/>
        </w:rPr>
        <w:t xml:space="preserve">4.2 Industry-economy equation</w:t>
      </w:r>
    </w:p>
    <w:p>
      <w:pPr>
        <w:pStyle w:val="FirstParagraph"/>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Y^{M71}_{it}=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TNLG_i</w:t>
      </w:r>
      <w:r>
        <w:rPr>
          <w:iCs/>
          <w:rFonts w:ascii="Times New Roman" w:hAnsi="Times New Roman" w:eastAsia="Times New Roman"/>
          <w:i/>
          <w:sz w:val="24"/>
        </w:rPr>
        <w:t xml:space="preserve">)+u</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(Y</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SBS 2021–2024, 17 countries ((N=68)). Construction F and all-professional M are placebos. National-accounts GVA/D1/P1 use post-2023 because those series largely end in 2023.</w:t>
      </w:r>
    </w:p>
    <w:bookmarkEnd w:id="37"/>
    <w:bookmarkStart w:id="38" w:name="what-is-not-identified"/>
    <w:p>
      <w:pPr>
        <w:pStyle w:val="Heading3"/>
        <w:spacing w:line="480" w:lineRule="auto"/>
        <w:ind w:firstLine="0"/>
      </w:pPr>
      <w:r>
        <w:rPr>
          <w:rFonts w:ascii="Times New Roman" w:hAnsi="Times New Roman" w:eastAsia="Times New Roman"/>
          <w:b/>
          <w:sz w:val="24"/>
        </w:rPr>
        <w:t xml:space="preserve">4.3 What is not identified</w:t>
      </w:r>
    </w:p>
    <w:p>
      <w:pPr>
        <w:pStyle w:val="FirstParagraph"/>
        <w:spacing w:line="480" w:lineRule="auto" w:after="0"/>
        <w:ind w:firstLine="720"/>
      </w:pPr>
      <w:r>
        <w:rPr>
          <w:rFonts w:ascii="Times New Roman" w:hAnsi="Times New Roman" w:eastAsia="Times New Roman"/>
          <w:sz w:val="24"/>
        </w:rP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w:t>
      </w:r>
    </w:p>
    <w:bookmarkEnd w:id="38"/>
    <w:bookmarkStart w:id="39" w:name="interpreting-the-two-empirical-layers"/>
    <w:p>
      <w:pPr>
        <w:pStyle w:val="Heading3"/>
        <w:spacing w:line="480" w:lineRule="auto"/>
        <w:ind w:firstLine="0"/>
      </w:pPr>
      <w:r>
        <w:rPr>
          <w:rFonts w:ascii="Times New Roman" w:hAnsi="Times New Roman" w:eastAsia="Times New Roman"/>
          <w:b/>
          <w:sz w:val="24"/>
        </w:rPr>
        <w:t xml:space="preserve">4.4 Interpreting the two empirical layers</w:t>
      </w:r>
    </w:p>
    <w:p>
      <w:pPr>
        <w:pStyle w:val="FirstParagraph"/>
        <w:spacing w:line="480" w:lineRule="auto" w:after="0"/>
        <w:ind w:firstLine="720"/>
      </w:pPr>
      <w:r>
        <w:rPr>
          <w:rFonts w:ascii="Times New Roman" w:hAnsi="Times New Roman" w:eastAsia="Times New Roman"/>
          <w:sz w:val="24"/>
        </w:rP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spacing w:line="480" w:lineRule="auto" w:after="0"/>
        <w:ind w:firstLine="720"/>
      </w:pPr>
      <w:r>
        <w:rPr>
          <w:rFonts w:ascii="Times New Roman" w:hAnsi="Times New Roman" w:eastAsia="Times New Roman"/>
          <w:sz w:val="24"/>
        </w:rP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spacing w:line="480" w:lineRule="auto" w:after="0"/>
        <w:ind w:firstLine="720"/>
      </w:pPr>
      <w:r>
        <w:rPr>
          <w:rFonts w:ascii="Times New Roman" w:hAnsi="Times New Roman" w:eastAsia="Times New Roman"/>
          <w:sz w:val="24"/>
        </w:rP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spacing w:line="480" w:lineRule="auto" w:after="0"/>
        <w:ind w:firstLine="720"/>
      </w:pPr>
      <w:r>
        <w:rPr>
          <w:rFonts w:ascii="Times New Roman" w:hAnsi="Times New Roman" w:eastAsia="Times New Roman"/>
          <w:sz w:val="24"/>
        </w:rP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pPr>
        <w:spacing w:line="480" w:lineRule="auto" w:after="0"/>
        <w:ind w:firstLine="0"/>
      </w:pPr>
      <w:r>
        <w:pict>
          <v:rect style="width:0;height:1.5pt" o:hralign="center" o:hrstd="t" o:hr="t"/>
        </w:pict>
      </w:r>
    </w:p>
    <w:bookmarkEnd w:id="39"/>
    <w:bookmarkEnd w:id="40"/>
    <w:bookmarkStart w:id="47" w:name="results"/>
    <w:p>
      <w:pPr>
        <w:pStyle w:val="Heading2"/>
        <w:spacing w:line="480" w:lineRule="auto"/>
        <w:ind w:firstLine="0"/>
      </w:pPr>
      <w:r>
        <w:rPr>
          <w:rFonts w:ascii="Times New Roman" w:hAnsi="Times New Roman" w:eastAsia="Times New Roman"/>
          <w:b/>
          <w:sz w:val="24"/>
        </w:rPr>
        <w:t xml:space="preserve">5. Results</w:t>
      </w:r>
    </w:p>
    <w:bookmarkStart w:id="41" w:name="X8228d7849e047ca85d40660cfc044a4a8ef1ddf"/>
    <w:p>
      <w:pPr>
        <w:pStyle w:val="Heading3"/>
        <w:spacing w:line="480" w:lineRule="auto"/>
        <w:ind w:firstLine="0"/>
      </w:pPr>
      <w:r>
        <w:rPr>
          <w:rFonts w:ascii="Times New Roman" w:hAnsi="Times New Roman" w:eastAsia="Times New Roman"/>
          <w:b/>
          <w:sz w:val="24"/>
        </w:rPr>
        <w:t xml:space="preserve">5.1 The UK–China relationship (Figures 1–2, Table 1)</w:t>
      </w:r>
    </w:p>
    <w:p>
      <w:pPr>
        <w:pStyle w:val="FirstParagraph"/>
        <w:spacing w:line="480" w:lineRule="auto" w:after="0"/>
        <w:ind w:firstLine="720"/>
      </w:pPr>
      <w:r>
        <w:rPr>
          <w:rFonts w:ascii="Times New Roman" w:hAnsi="Times New Roman" w:eastAsia="Times New Roman"/>
          <w:sz w:val="24"/>
        </w:rP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spacing w:line="480" w:lineRule="auto" w:after="0"/>
        <w:ind w:firstLine="720"/>
      </w:pPr>
      <w:r>
        <w:rPr>
          <w:rFonts w:ascii="Times New Roman" w:hAnsi="Times New Roman" w:eastAsia="Times New Roman"/>
          <w:sz w:val="24"/>
        </w:rP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spacing w:line="480" w:lineRule="auto"/>
        <w:ind w:firstLine="0"/>
      </w:pPr>
      <w:r>
        <w:rPr>
          <w:rFonts w:ascii="Times New Roman" w:hAnsi="Times New Roman" w:eastAsia="Times New Roman"/>
          <w:b/>
          <w:sz w:val="24"/>
        </w:rPr>
        <w:t xml:space="preserve">5.2 The UK–India relationship (Figures 1–2, Table 1)</w:t>
      </w:r>
    </w:p>
    <w:p>
      <w:pPr>
        <w:pStyle w:val="FirstParagraph"/>
        <w:spacing w:line="480" w:lineRule="auto" w:after="0"/>
        <w:ind w:firstLine="720"/>
      </w:pPr>
      <w:r>
        <w:rPr>
          <w:rFonts w:ascii="Times New Roman" w:hAnsi="Times New Roman" w:eastAsia="Times New Roman"/>
          <w:sz w:val="24"/>
        </w:rP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spacing w:line="480" w:lineRule="auto" w:after="0"/>
        <w:ind w:firstLine="720"/>
      </w:pPr>
      <w:r>
        <w:rPr>
          <w:rFonts w:ascii="Times New Roman" w:hAnsi="Times New Roman" w:eastAsia="Times New Roman"/>
          <w:sz w:val="24"/>
        </w:rP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spacing w:line="480" w:lineRule="auto" w:after="0"/>
        <w:ind w:firstLine="720"/>
      </w:pPr>
      <w:r>
        <w:rPr>
          <w:rFonts w:ascii="Times New Roman" w:hAnsi="Times New Roman" w:eastAsia="Times New Roman"/>
          <w:sz w:val="24"/>
        </w:rP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3a4013f46837979d325d8e59d7ed2ca09716231"/>
    <w:p>
      <w:pPr>
        <w:pStyle w:val="Heading3"/>
        <w:spacing w:line="480" w:lineRule="auto"/>
        <w:ind w:firstLine="0"/>
      </w:pPr>
      <w:r>
        <w:rPr>
          <w:rFonts w:ascii="Times New Roman" w:hAnsi="Times New Roman" w:eastAsia="Times New Roman"/>
          <w:b/>
          <w:sz w:val="24"/>
        </w:rPr>
        <w:t xml:space="preserve">5.3 Generic any-AI is the wrong shock (Table 2)</w:t>
      </w:r>
    </w:p>
    <w:p>
      <w:pPr>
        <w:pStyle w:val="FirstParagraph"/>
        <w:spacing w:line="480" w:lineRule="auto" w:after="0"/>
        <w:ind w:firstLine="720"/>
      </w:pPr>
      <w:r>
        <w:rPr>
          <w:rFonts w:ascii="Times New Roman" w:hAnsi="Times New Roman" w:eastAsia="Times New Roman"/>
          <w:sz w:val="24"/>
        </w:rPr>
        <w:t xml:space="preserve">The generic any-AI measure produces little evidence of a trade relationship. In the 16-member sample, the post-shock interaction between the change in NACE M</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any AI</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spacing w:line="480" w:lineRule="auto"/>
        <w:ind w:firstLine="0"/>
      </w:pPr>
      <w:r>
        <w:rPr>
          <w:rFonts w:ascii="Times New Roman" w:hAnsi="Times New Roman" w:eastAsia="Times New Roman"/>
          <w:b/>
          <w:sz w:val="24"/>
        </w:rPr>
        <w:t xml:space="preserve">5.4 Preferred shock and Indian SJ3 (Figures 3–4, Tables 2–3)</w:t>
      </w:r>
    </w:p>
    <w:p>
      <w:pPr>
        <w:pStyle w:val="FirstParagraph"/>
        <w:spacing w:line="480" w:lineRule="auto" w:after="0"/>
        <w:ind w:firstLine="720"/>
      </w:pPr>
      <w:r>
        <w:rPr>
          <w:rFonts w:ascii="Times New Roman" w:hAnsi="Times New Roman" w:eastAsia="Times New Roman"/>
          <w:sz w:val="24"/>
        </w:rPr>
        <w:t xml:space="preserve">NLG use in professional services rose sharply between 2023 and 2024, although the size of the change differed substantially across EU members (Figure 3). This cross-sectional variation identifies the preferred specification. In the pooled Mode-1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spacing w:line="480" w:lineRule="auto" w:after="0"/>
        <w:ind w:firstLine="720"/>
      </w:pPr>
      <w:r>
        <w:rPr>
          <w:rFonts w:ascii="Times New Roman" w:hAnsi="Times New Roman" w:eastAsia="Times New Roman"/>
          <w:sz w:val="24"/>
        </w:rP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spacing w:line="480" w:lineRule="auto" w:after="0"/>
        <w:ind w:firstLine="720"/>
      </w:pPr>
      <w:r>
        <w:rPr>
          <w:rFonts w:ascii="Times New Roman" w:hAnsi="Times New Roman" w:eastAsia="Times New Roman"/>
          <w:sz w:val="24"/>
        </w:rP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Mode-1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spacing w:line="480" w:lineRule="auto"/>
        <w:ind w:firstLine="0"/>
      </w:pPr>
      <w:r>
        <w:rPr>
          <w:rFonts w:ascii="Times New Roman" w:hAnsi="Times New Roman" w:eastAsia="Times New Roman"/>
          <w:b/>
          <w:sz w:val="24"/>
        </w:rPr>
        <w:t xml:space="preserve">5.5 Domestic M71 industry economy (Figure 5, Table 4)</w:t>
      </w:r>
    </w:p>
    <w:p>
      <w:pPr>
        <w:pStyle w:val="FirstParagraph"/>
        <w:spacing w:line="480" w:lineRule="auto" w:after="0"/>
        <w:ind w:firstLine="720"/>
      </w:pPr>
      <w:r>
        <w:rPr>
          <w:rFonts w:ascii="Times New Roman" w:hAnsi="Times New Roman" w:eastAsia="Times New Roman"/>
          <w:sz w:val="24"/>
        </w:rP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spacing w:line="480" w:lineRule="auto" w:after="0"/>
        <w:ind w:firstLine="720"/>
      </w:pPr>
      <w:r>
        <w:rPr>
          <w:rFonts w:ascii="Times New Roman" w:hAnsi="Times New Roman" w:eastAsia="Times New Roman"/>
          <w:sz w:val="24"/>
        </w:rP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spacing w:line="480" w:lineRule="auto" w:after="0"/>
        <w:ind w:firstLine="720"/>
      </w:pPr>
      <w:r>
        <w:rPr>
          <w:rFonts w:ascii="Times New Roman" w:hAnsi="Times New Roman" w:eastAsia="Times New Roman"/>
          <w:sz w:val="24"/>
        </w:rP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98b516b74e56e31c48b2e7f0101a67b4d8a105b"/>
    <w:p>
      <w:pPr>
        <w:pStyle w:val="Heading3"/>
        <w:spacing w:line="480" w:lineRule="auto"/>
        <w:ind w:firstLine="0"/>
      </w:pPr>
      <w:r>
        <w:rPr>
          <w:rFonts w:ascii="Times New Roman" w:hAnsi="Times New Roman" w:eastAsia="Times New Roman"/>
          <w:b/>
          <w:sz w:val="24"/>
        </w:rPr>
        <w:t xml:space="preserve">5.6 India and China in the importer panel (Tables 2–3)</w:t>
      </w:r>
    </w:p>
    <w:p>
      <w:pPr>
        <w:pStyle w:val="FirstParagraph"/>
        <w:spacing w:line="480" w:lineRule="auto" w:after="0"/>
        <w:ind w:firstLine="720"/>
      </w:pPr>
      <w:r>
        <w:rPr>
          <w:rFonts w:ascii="Times New Roman" w:hAnsi="Times New Roman" w:eastAsia="Times New Roman"/>
          <w:sz w:val="24"/>
        </w:rPr>
        <w:t xml:space="preserve">The panel comparison helps distinguish the bilateral trends from the NLG association. Indian SJ3 has a positive post-shock coefficient of 0.021 (0.008), while Chinese construction services have a coefficient of −0.008 (0.009). Chinese SJ3 is also null. When Chinese construction exports are divided by destination adoption, exports to lower-TNLG destinations increased by 65% between 2019 and 2024, compared with 47% for higher-TNLG destinations. Project-based Chinese services did not reorient toward the importers with the largest NLG increase.</w:t>
      </w:r>
    </w:p>
    <w:p>
      <w:pPr>
        <w:pStyle w:val="BodyText"/>
        <w:spacing w:line="480" w:lineRule="auto" w:after="0"/>
        <w:ind w:firstLine="720"/>
      </w:pPr>
      <w:r>
        <w:rPr>
          <w:rFonts w:ascii="Times New Roman" w:hAnsi="Times New Roman" w:eastAsia="Times New Roman"/>
          <w:sz w:val="24"/>
        </w:rP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pPr>
        <w:spacing w:line="480" w:lineRule="auto" w:after="0"/>
        <w:ind w:firstLine="0"/>
      </w:pPr>
      <w:r>
        <w:pict>
          <v:rect style="width:0;height:1.5pt" o:hralign="center" o:hrstd="t" o:hr="t"/>
        </w:pict>
      </w:r>
    </w:p>
    <w:bookmarkEnd w:id="46"/>
    <w:bookmarkEnd w:id="47"/>
    <w:bookmarkStart w:id="48" w:name="discussion"/>
    <w:p>
      <w:pPr>
        <w:pStyle w:val="Heading2"/>
        <w:spacing w:line="480" w:lineRule="auto"/>
        <w:ind w:firstLine="0"/>
      </w:pPr>
      <w:r>
        <w:rPr>
          <w:rFonts w:ascii="Times New Roman" w:hAnsi="Times New Roman" w:eastAsia="Times New Roman"/>
          <w:b/>
          <w:sz w:val="24"/>
        </w:rPr>
        <w:t xml:space="preserve">6. Discussion</w:t>
      </w:r>
    </w:p>
    <w:p>
      <w:pPr>
        <w:pStyle w:val="FirstParagraph"/>
        <w:spacing w:line="480" w:lineRule="auto" w:after="0"/>
        <w:ind w:firstLine="720"/>
      </w:pPr>
      <w:r>
        <w:rPr>
          <w:rFonts w:ascii="Times New Roman" w:hAnsi="Times New Roman" w:eastAsia="Times New Roman"/>
          <w:sz w:val="24"/>
        </w:rP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spacing w:line="480" w:lineRule="auto" w:after="0"/>
        <w:ind w:firstLine="720"/>
      </w:pPr>
      <w:r>
        <w:rPr>
          <w:rFonts w:ascii="Times New Roman" w:hAnsi="Times New Roman" w:eastAsia="Times New Roman"/>
          <w:sz w:val="24"/>
        </w:rP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spacing w:line="480" w:lineRule="auto" w:after="0"/>
        <w:ind w:firstLine="720"/>
      </w:pPr>
      <w:r>
        <w:rPr>
          <w:rFonts w:ascii="Times New Roman" w:hAnsi="Times New Roman" w:eastAsia="Times New Roman"/>
          <w:sz w:val="24"/>
        </w:rP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spacing w:line="480" w:lineRule="auto" w:after="0"/>
        <w:ind w:firstLine="720"/>
      </w:pPr>
      <w:r>
        <w:rPr>
          <w:rFonts w:ascii="Times New Roman" w:hAnsi="Times New Roman" w:eastAsia="Times New Roman"/>
          <w:sz w:val="24"/>
        </w:rPr>
        <w:t xml:space="preserve">Keeping the UK at the centre of both country comparisons makes these distinctions clearer. The Indian relationship shows the strongest expansion in SJ3 and computer services, while the Chinese relationship grows from a smaller base and contains a larger construction-services flow. The EU members provide variation in adoption and industry outcomes; they are an estimation sample rather than additional country stories.</w:t>
      </w:r>
    </w:p>
    <w:p>
      <w:pPr>
        <w:pStyle w:val="BodyText"/>
        <w:spacing w:line="480" w:lineRule="auto" w:after="0"/>
        <w:ind w:firstLine="720"/>
      </w:pPr>
      <w:r>
        <w:rPr>
          <w:rFonts w:ascii="Times New Roman" w:hAnsi="Times New Roman" w:eastAsia="Times New Roman"/>
          <w:sz w:val="24"/>
        </w:rPr>
        <w:t xml:space="preserve">The distinction also changes how the trade numbers should be read. UK imports from India rose by almost USD 2.8 billion in SJ3 between 2019 and 2024, whereas the increase in UK imports from China was about USD 771 million. A similar percentage coefficient in a panel regression would therefore imply very different changes in value. Conversely, rapid percentage growth in a small construction flow need not represent a large reallocation of engineering activity. The article reports both levels and rates to prevent a visually striking percentage from obscuring economic scale.</w:t>
      </w:r>
    </w:p>
    <w:p>
      <w:pPr>
        <w:pStyle w:val="BodyText"/>
        <w:spacing w:line="480" w:lineRule="auto" w:after="0"/>
        <w:ind w:firstLine="720"/>
      </w:pPr>
      <w:r>
        <w:rPr>
          <w:rFonts w:ascii="Times New Roman" w:hAnsi="Times New Roman" w:eastAsia="Times New Roman"/>
          <w:sz w:val="24"/>
        </w:rPr>
        <w:t xml:space="preserve">For engineering businesses, the findings point to coordination rather than a simple location choice. Generative tools can lower the cost of preparing and checking documents, but they can also lower the cost of communicating requirements across organisational boundaries. The India coefficient may therefore reflect complementarity: importers that adopted NLG more rapidly may have become better able to specify, review or integrate work supplied from India. The available data cannot separate this channel from substitution, but stable M71 employment makes a complete displacement account less persuasive.</w:t>
      </w:r>
    </w:p>
    <w:p>
      <w:pPr>
        <w:pStyle w:val="BodyText"/>
        <w:spacing w:line="480" w:lineRule="auto" w:after="0"/>
        <w:ind w:firstLine="720"/>
      </w:pPr>
      <w:r>
        <w:rPr>
          <w:rFonts w:ascii="Times New Roman" w:hAnsi="Times New Roman" w:eastAsia="Times New Roman"/>
          <w:sz w:val="24"/>
        </w:rPr>
        <w:t xml:space="preserve">China’s role is different in each empirical layer. In the bilateral section, China is one of the UK’s two partners and both directions are measured for all three service headings. In the EU panel, China supplies comparison outcomes: SJ3 and construction services. Keeping those roles separate avoids the mistaken inference that the null Chinese construction coefficient explains all UK–China trade. It only shows that EU importers with larger NLG shocks did not disproportionately increase the Chinese construction flow.</w:t>
      </w:r>
    </w:p>
    <w:p>
      <w:pPr>
        <w:pStyle w:val="BodyText"/>
        <w:spacing w:line="480" w:lineRule="auto" w:after="0"/>
        <w:ind w:firstLine="720"/>
      </w:pPr>
      <w:r>
        <w:rPr>
          <w:rFonts w:ascii="Times New Roman" w:hAnsi="Times New Roman" w:eastAsia="Times New Roman"/>
          <w:sz w:val="24"/>
        </w:rP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spacing w:line="480" w:lineRule="auto" w:after="0"/>
        <w:ind w:firstLine="720"/>
      </w:pPr>
      <w:r>
        <w:rPr>
          <w:rFonts w:ascii="Times New Roman" w:hAnsi="Times New Roman" w:eastAsia="Times New Roman"/>
          <w:sz w:val="24"/>
        </w:rPr>
        <w:t xml:space="preserve">The results therefore support a restrained interpretation.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pPr>
        <w:spacing w:line="480" w:lineRule="auto" w:after="0"/>
        <w:ind w:firstLine="0"/>
      </w:pPr>
      <w:r>
        <w:pict>
          <v:rect style="width:0;height:1.5pt" o:hralign="center" o:hrstd="t" o:hr="t"/>
        </w:pict>
      </w:r>
    </w:p>
    <w:bookmarkEnd w:id="48"/>
    <w:bookmarkStart w:id="49" w:name="limitations"/>
    <w:p>
      <w:pPr>
        <w:pStyle w:val="Heading2"/>
        <w:spacing w:line="480" w:lineRule="auto"/>
        <w:ind w:firstLine="0"/>
      </w:pPr>
      <w:r>
        <w:rPr>
          <w:rFonts w:ascii="Times New Roman" w:hAnsi="Times New Roman" w:eastAsia="Times New Roman"/>
          <w:b/>
          <w:sz w:val="24"/>
        </w:rPr>
        <w:t xml:space="preserve">7. Limitations</w:t>
      </w:r>
    </w:p>
    <w:p>
      <w:pPr>
        <w:pStyle w:val="FirstParagraph"/>
        <w:spacing w:line="480" w:lineRule="auto" w:after="0"/>
        <w:ind w:firstLine="720"/>
      </w:pPr>
      <w:r>
        <w:rPr>
          <w:rFonts w:ascii="Times New Roman" w:hAnsi="Times New Roman" w:eastAsia="Times New Roman"/>
          <w:sz w:val="24"/>
        </w:rP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spacing w:line="480" w:lineRule="auto" w:after="0"/>
        <w:ind w:firstLine="720"/>
      </w:pPr>
      <w:r>
        <w:rPr>
          <w:rFonts w:ascii="Times New Roman" w:hAnsi="Times New Roman" w:eastAsia="Times New Roman"/>
          <w:sz w:val="24"/>
        </w:rP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spacing w:line="480" w:lineRule="auto" w:after="0"/>
        <w:ind w:firstLine="720"/>
      </w:pPr>
      <w:r>
        <w:rPr>
          <w:rFonts w:ascii="Times New Roman" w:hAnsi="Times New Roman" w:eastAsia="Times New Roman"/>
          <w:sz w:val="24"/>
        </w:rP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 APS estimates are subject to sampling variation and are used descriptively.</w:t>
      </w:r>
    </w:p>
    <w:p>
      <w:pPr>
        <w:pStyle w:val="BodyText"/>
        <w:spacing w:line="480" w:lineRule="auto" w:after="0"/>
        <w:ind w:firstLine="720"/>
      </w:pPr>
      <w:r>
        <w:rPr>
          <w:rFonts w:ascii="Times New Roman" w:hAnsi="Times New Roman" w:eastAsia="Times New Roman"/>
          <w:sz w:val="24"/>
        </w:rP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pPr>
        <w:spacing w:line="480" w:lineRule="auto" w:after="0"/>
        <w:ind w:firstLine="0"/>
      </w:pPr>
      <w:r>
        <w:pict>
          <v:rect style="width:0;height:1.5pt" o:hralign="center" o:hrstd="t" o:hr="t"/>
        </w:pict>
      </w:r>
    </w:p>
    <w:bookmarkEnd w:id="49"/>
    <w:bookmarkStart w:id="50" w:name="conclusion"/>
    <w:p>
      <w:pPr>
        <w:pStyle w:val="Heading2"/>
        <w:spacing w:line="480" w:lineRule="auto"/>
        <w:ind w:firstLine="0"/>
      </w:pPr>
      <w:r>
        <w:rPr>
          <w:rFonts w:ascii="Times New Roman" w:hAnsi="Times New Roman" w:eastAsia="Times New Roman"/>
          <w:b/>
          <w:sz w:val="24"/>
        </w:rPr>
        <w:t xml:space="preserve">8. Conclusion</w:t>
      </w:r>
    </w:p>
    <w:p>
      <w:pPr>
        <w:pStyle w:val="FirstParagraph"/>
        <w:spacing w:line="480" w:lineRule="auto" w:after="0"/>
        <w:ind w:firstLine="720"/>
      </w:pPr>
      <w:r>
        <w:rPr>
          <w:rFonts w:ascii="Times New Roman" w:hAnsi="Times New Roman" w:eastAsia="Times New Roman"/>
          <w:sz w:val="24"/>
        </w:rP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spacing w:line="480" w:lineRule="auto" w:after="0"/>
        <w:ind w:firstLine="720"/>
      </w:pPr>
      <w:r>
        <w:rPr>
          <w:rFonts w:ascii="Times New Roman" w:hAnsi="Times New Roman" w:eastAsia="Times New Roman"/>
          <w:sz w:val="24"/>
        </w:rP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spacing w:line="480" w:lineRule="auto" w:after="0"/>
        <w:ind w:firstLine="720"/>
      </w:pPr>
      <w:r>
        <w:rPr>
          <w:rFonts w:ascii="Times New Roman" w:hAnsi="Times New Roman" w:eastAsia="Times New Roman"/>
          <w:sz w:val="24"/>
        </w:rP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w:t>
      </w:r>
    </w:p>
    <w:p>
      <w:pPr>
        <w:spacing w:line="480" w:lineRule="auto" w:after="0"/>
        <w:ind w:firstLine="0"/>
      </w:pPr>
      <w:r>
        <w:pict>
          <v:rect style="width:0;height:1.5pt" o:hralign="center" o:hrstd="t" o:hr="t"/>
        </w:pict>
      </w:r>
    </w:p>
    <w:bookmarkEnd w:id="50"/>
    <w:bookmarkStart w:id="51" w:name="disclosure-statement"/>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1"/>
    <w:bookmarkStart w:id="52" w:name="data-availability-statement"/>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data that support the findings of this study are included in the accompanying replication package (</w:t>
      </w:r>
      <w:r>
        <w:rPr>
          <w:rStyle w:val="VerbatimChar"/>
          <w:rFonts w:ascii="Times New Roman" w:hAnsi="Times New Roman" w:eastAsia="Times New Roman"/>
          <w:sz w:val="24"/>
        </w:rPr>
        <w:t xml:space="preserve">Data_Study4_IJCM/</w:t>
      </w:r>
      <w:r>
        <w:rPr>
          <w:rFonts w:ascii="Times New Roman" w:hAnsi="Times New Roman" w:eastAsia="Times New Roman"/>
          <w:sz w:val="24"/>
        </w:rPr>
        <w:t xml:space="preserve">). Eurostat, OECD–WTO BaTIS, ILOSTAT and World Bank series remain subject to their publishers’ terms and should be cited as in the reference list. Author-generated files are released under CC BY 4.0.</w:t>
      </w:r>
    </w:p>
    <w:bookmarkEnd w:id="52"/>
    <w:bookmarkStart w:id="53" w:name="disclosure-statement-1"/>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3"/>
    <w:bookmarkStart w:id="54" w:name="data-availability-statement-1"/>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data that support the findings of this study are included in the accompanying replication package (</w:t>
      </w:r>
      <w:r>
        <w:rPr>
          <w:rStyle w:val="VerbatimChar"/>
          <w:rFonts w:ascii="Times New Roman" w:hAnsi="Times New Roman" w:eastAsia="Times New Roman"/>
          <w:sz w:val="24"/>
        </w:rPr>
        <w:t xml:space="preserve">Data_Study4_IJCM/</w:t>
      </w:r>
      <w:r>
        <w:rPr>
          <w:rFonts w:ascii="Times New Roman" w:hAnsi="Times New Roman" w:eastAsia="Times New Roman"/>
          <w:sz w:val="24"/>
        </w:rPr>
        <w:t xml:space="preserve">). Eurostat, OECD–WTO BaTIS, ILOSTAT and World Bank series remain subject to their publishers’ terms and should be cited as in the reference list. Author-generated files are released under CC BY 4.0.</w:t>
      </w:r>
    </w:p>
    <w:bookmarkEnd w:id="54"/>
    <w:bookmarkStart w:id="55" w:name="references"/>
    <w:p>
      <w:pPr>
        <w:pStyle w:val="Heading2"/>
        <w:spacing w:line="480" w:lineRule="auto"/>
        <w:ind w:firstLine="0"/>
      </w:pPr>
      <w:r>
        <w:rPr>
          <w:rFonts w:ascii="Times New Roman" w:hAnsi="Times New Roman" w:eastAsia="Times New Roman"/>
          <w:b/>
          <w:sz w:val="24"/>
        </w:rPr>
        <w:t xml:space="preserve">References</w:t>
      </w:r>
    </w:p>
    <w:p>
      <w:pPr>
        <w:pStyle w:val="FirstParagraph"/>
        <w:spacing w:line="480" w:lineRule="auto" w:after="0"/>
        <w:ind w:firstLine="720"/>
      </w:pPr>
      <w:r>
        <w:rPr>
          <w:rFonts w:ascii="Times New Roman" w:hAnsi="Times New Roman" w:eastAsia="Times New Roman"/>
          <w:sz w:val="24"/>
        </w:rPr>
        <w:t xml:space="preserve">Acemoglu, D., &amp; Restrepo, P. (2018). The race between man and machine: Implications of technology for growth, factor shares, and employment.</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108</w:t>
      </w:r>
      <w:r>
        <w:rPr>
          <w:rFonts w:ascii="Times New Roman" w:hAnsi="Times New Roman" w:eastAsia="Times New Roman"/>
          <w:sz w:val="24"/>
        </w:rPr>
        <w:t xml:space="preserve">(6), 1488–1542.</w:t>
      </w:r>
    </w:p>
    <w:p>
      <w:pPr>
        <w:pStyle w:val="BodyText"/>
        <w:spacing w:line="480" w:lineRule="auto" w:after="0"/>
        <w:ind w:firstLine="720"/>
      </w:pPr>
      <w:r>
        <w:rPr>
          <w:rFonts w:ascii="Times New Roman" w:hAnsi="Times New Roman" w:eastAsia="Times New Roman"/>
          <w:sz w:val="24"/>
        </w:rPr>
        <w:t xml:space="preserve">Acemoglu, D., &amp; Restrepo, P. (2019). Automation and new tasks: How technology displaces and reinstates labor.</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33</w:t>
      </w:r>
      <w:r>
        <w:rPr>
          <w:rFonts w:ascii="Times New Roman" w:hAnsi="Times New Roman" w:eastAsia="Times New Roman"/>
          <w:sz w:val="24"/>
        </w:rPr>
        <w:t xml:space="preserve">(2), 3–30.</w:t>
      </w:r>
    </w:p>
    <w:p>
      <w:pPr>
        <w:pStyle w:val="BodyText"/>
        <w:spacing w:line="480" w:lineRule="auto" w:after="0"/>
        <w:ind w:firstLine="720"/>
      </w:pPr>
      <w:r>
        <w:rPr>
          <w:rFonts w:ascii="Times New Roman" w:hAnsi="Times New Roman" w:eastAsia="Times New Roman"/>
          <w:sz w:val="24"/>
        </w:rPr>
        <w:t xml:space="preserve">Acemoglu, D., &amp; Restrepo, P. (2020). Robots and jobs: Evidence from US labor markets.</w:t>
      </w:r>
      <w:r>
        <w:rPr>
          <w:rFonts w:ascii="Times New Roman" w:hAnsi="Times New Roman" w:eastAsia="Times New Roman"/>
          <w:sz w:val="24"/>
        </w:rPr>
        <w:t xml:space="preserve"> </w:t>
      </w:r>
      <w:r>
        <w:rPr>
          <w:iCs/>
          <w:rFonts w:ascii="Times New Roman" w:hAnsi="Times New Roman" w:eastAsia="Times New Roman"/>
          <w:i/>
          <w:sz w:val="24"/>
        </w:rPr>
        <w:t xml:space="preserve">Journal of Political Economy, 128</w:t>
      </w:r>
      <w:r>
        <w:rPr>
          <w:rFonts w:ascii="Times New Roman" w:hAnsi="Times New Roman" w:eastAsia="Times New Roman"/>
          <w:sz w:val="24"/>
        </w:rPr>
        <w:t xml:space="preserve">(6), 2188–2244.</w:t>
      </w:r>
    </w:p>
    <w:p>
      <w:pPr>
        <w:pStyle w:val="BodyText"/>
        <w:spacing w:line="480" w:lineRule="auto" w:after="0"/>
        <w:ind w:firstLine="720"/>
      </w:pPr>
      <w:r>
        <w:rPr>
          <w:rFonts w:ascii="Times New Roman" w:hAnsi="Times New Roman" w:eastAsia="Times New Roman"/>
          <w:sz w:val="24"/>
        </w:rPr>
        <w:t xml:space="preserve">Agrawal, A., Gans, J., &amp; Goldfarb, A. (2018).</w:t>
      </w:r>
      <w:r>
        <w:rPr>
          <w:rFonts w:ascii="Times New Roman" w:hAnsi="Times New Roman" w:eastAsia="Times New Roman"/>
          <w:sz w:val="24"/>
        </w:rPr>
        <w:t xml:space="preserve"> </w:t>
      </w:r>
      <w:r>
        <w:rPr>
          <w:iCs/>
          <w:rFonts w:ascii="Times New Roman" w:hAnsi="Times New Roman" w:eastAsia="Times New Roman"/>
          <w:i/>
          <w:sz w:val="24"/>
        </w:rPr>
        <w:t xml:space="preserve">Prediction machines: The simple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Agrawal, A., Gans, J., &amp; Goldfarb, A. (2022).</w:t>
      </w:r>
      <w:r>
        <w:rPr>
          <w:rFonts w:ascii="Times New Roman" w:hAnsi="Times New Roman" w:eastAsia="Times New Roman"/>
          <w:sz w:val="24"/>
        </w:rPr>
        <w:t xml:space="preserve"> </w:t>
      </w:r>
      <w:r>
        <w:rPr>
          <w:iCs/>
          <w:rFonts w:ascii="Times New Roman" w:hAnsi="Times New Roman" w:eastAsia="Times New Roman"/>
          <w:i/>
          <w:sz w:val="24"/>
        </w:rPr>
        <w:t xml:space="preserve">Power and prediction: The disruptive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Autor, D. H. (2015). Why are there still so many jobs? The history and future of workplace automation.</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29</w:t>
      </w:r>
      <w:r>
        <w:rPr>
          <w:rFonts w:ascii="Times New Roman" w:hAnsi="Times New Roman" w:eastAsia="Times New Roman"/>
          <w:sz w:val="24"/>
        </w:rPr>
        <w:t xml:space="preserve">(3), 3–30.</w:t>
      </w:r>
    </w:p>
    <w:p>
      <w:pPr>
        <w:pStyle w:val="BodyText"/>
        <w:spacing w:line="480" w:lineRule="auto" w:after="0"/>
        <w:ind w:firstLine="720"/>
      </w:pPr>
      <w:r>
        <w:rPr>
          <w:rFonts w:ascii="Times New Roman" w:hAnsi="Times New Roman" w:eastAsia="Times New Roman"/>
          <w:sz w:val="24"/>
        </w:rPr>
        <w:t xml:space="preserve">Autor, D. H., Levy, F., &amp; Murnane, R. J. (2003). The skill content of recent technological change: An empirical exploration.</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118</w:t>
      </w:r>
      <w:r>
        <w:rPr>
          <w:rFonts w:ascii="Times New Roman" w:hAnsi="Times New Roman" w:eastAsia="Times New Roman"/>
          <w:sz w:val="24"/>
        </w:rPr>
        <w:t xml:space="preserve">(4), 1279–1333.</w:t>
      </w:r>
    </w:p>
    <w:p>
      <w:pPr>
        <w:pStyle w:val="BodyText"/>
        <w:spacing w:line="480" w:lineRule="auto" w:after="0"/>
        <w:ind w:firstLine="720"/>
      </w:pPr>
      <w:r>
        <w:rPr>
          <w:rFonts w:ascii="Times New Roman" w:hAnsi="Times New Roman" w:eastAsia="Times New Roman"/>
          <w:sz w:val="24"/>
        </w:rPr>
        <w:t xml:space="preserve">Baldwin, R. (2016).</w:t>
      </w:r>
      <w:r>
        <w:rPr>
          <w:rFonts w:ascii="Times New Roman" w:hAnsi="Times New Roman" w:eastAsia="Times New Roman"/>
          <w:sz w:val="24"/>
        </w:rPr>
        <w:t xml:space="preserve"> </w:t>
      </w:r>
      <w:r>
        <w:rPr>
          <w:iCs/>
          <w:rFonts w:ascii="Times New Roman" w:hAnsi="Times New Roman" w:eastAsia="Times New Roman"/>
          <w:i/>
          <w:sz w:val="24"/>
        </w:rPr>
        <w:t xml:space="preserve">The great convergence: Information technology and the new globalization</w:t>
      </w:r>
      <w:r>
        <w:rPr>
          <w:rFonts w:ascii="Times New Roman" w:hAnsi="Times New Roman" w:eastAsia="Times New Roman"/>
          <w:sz w:val="24"/>
        </w:rPr>
        <w:t xml:space="preserve">. Harvard University Press.</w:t>
      </w:r>
    </w:p>
    <w:p>
      <w:pPr>
        <w:pStyle w:val="BodyText"/>
        <w:spacing w:line="480" w:lineRule="auto" w:after="0"/>
        <w:ind w:firstLine="720"/>
      </w:pPr>
      <w:r>
        <w:rPr>
          <w:rFonts w:ascii="Times New Roman" w:hAnsi="Times New Roman" w:eastAsia="Times New Roman"/>
          <w:sz w:val="24"/>
        </w:rPr>
        <w:t xml:space="preserve">Baldwin, R. (2019).</w:t>
      </w:r>
      <w:r>
        <w:rPr>
          <w:rFonts w:ascii="Times New Roman" w:hAnsi="Times New Roman" w:eastAsia="Times New Roman"/>
          <w:sz w:val="24"/>
        </w:rPr>
        <w:t xml:space="preserve"> </w:t>
      </w:r>
      <w:r>
        <w:rPr>
          <w:iCs/>
          <w:rFonts w:ascii="Times New Roman" w:hAnsi="Times New Roman" w:eastAsia="Times New Roman"/>
          <w:i/>
          <w:sz w:val="24"/>
        </w:rPr>
        <w:t xml:space="preserve">The globotics upheaval: Globalization, robotics, and the future of work</w:t>
      </w:r>
      <w:r>
        <w:rPr>
          <w:rFonts w:ascii="Times New Roman" w:hAnsi="Times New Roman" w:eastAsia="Times New Roman"/>
          <w:sz w:val="24"/>
        </w:rPr>
        <w:t xml:space="preserve">. Oxford University Press.</w:t>
      </w:r>
    </w:p>
    <w:p>
      <w:pPr>
        <w:pStyle w:val="BodyText"/>
        <w:spacing w:line="480" w:lineRule="auto" w:after="0"/>
        <w:ind w:firstLine="720"/>
      </w:pPr>
      <w:r>
        <w:rPr>
          <w:rFonts w:ascii="Times New Roman" w:hAnsi="Times New Roman" w:eastAsia="Times New Roman"/>
          <w:sz w:val="24"/>
        </w:rPr>
        <w:t xml:space="preserve">Blinder, A. S. (2006). Offshoring: The next industrial revolution?</w:t>
      </w:r>
      <w:r>
        <w:rPr>
          <w:rFonts w:ascii="Times New Roman" w:hAnsi="Times New Roman" w:eastAsia="Times New Roman"/>
          <w:sz w:val="24"/>
        </w:rPr>
        <w:t xml:space="preserve"> </w:t>
      </w:r>
      <w:r>
        <w:rPr>
          <w:iCs/>
          <w:rFonts w:ascii="Times New Roman" w:hAnsi="Times New Roman" w:eastAsia="Times New Roman"/>
          <w:i/>
          <w:sz w:val="24"/>
        </w:rPr>
        <w:t xml:space="preserve">Foreign Affairs, 85</w:t>
      </w:r>
      <w:r>
        <w:rPr>
          <w:rFonts w:ascii="Times New Roman" w:hAnsi="Times New Roman" w:eastAsia="Times New Roman"/>
          <w:sz w:val="24"/>
        </w:rPr>
        <w:t xml:space="preserve">(2), 113–128.</w:t>
      </w:r>
    </w:p>
    <w:p>
      <w:pPr>
        <w:pStyle w:val="BodyText"/>
        <w:spacing w:line="480" w:lineRule="auto" w:after="0"/>
        <w:ind w:firstLine="720"/>
      </w:pPr>
      <w:r>
        <w:rPr>
          <w:rFonts w:ascii="Times New Roman" w:hAnsi="Times New Roman" w:eastAsia="Times New Roman"/>
          <w:sz w:val="24"/>
        </w:rPr>
        <w:t xml:space="preserve">Brynjolfsson, E., Li, D., &amp; Raymond, L. (2025). Generative AI at work.</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140</w:t>
      </w:r>
      <w:r>
        <w:rPr>
          <w:rFonts w:ascii="Times New Roman" w:hAnsi="Times New Roman" w:eastAsia="Times New Roman"/>
          <w:sz w:val="24"/>
        </w:rPr>
        <w:t xml:space="preserve">(2), 889–942.</w:t>
      </w:r>
    </w:p>
    <w:p>
      <w:pPr>
        <w:pStyle w:val="BodyText"/>
        <w:spacing w:line="480" w:lineRule="auto" w:after="0"/>
        <w:ind w:firstLine="720"/>
      </w:pPr>
      <w:r>
        <w:rPr>
          <w:rFonts w:ascii="Times New Roman" w:hAnsi="Times New Roman" w:eastAsia="Times New Roman"/>
          <w:sz w:val="24"/>
        </w:rP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spacing w:line="480" w:lineRule="auto" w:after="0"/>
        <w:ind w:firstLine="720"/>
      </w:pPr>
      <w:r>
        <w:rPr>
          <w:rFonts w:ascii="Times New Roman" w:hAnsi="Times New Roman" w:eastAsia="Times New Roman"/>
          <w:sz w:val="24"/>
        </w:rPr>
        <w:t xml:space="preserve">Eastman, C., Teicholz, P., Sacks, R., &amp; Liston, K. (2011).</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w:t>
      </w:r>
      <w:r>
        <w:rPr>
          <w:rFonts w:ascii="Times New Roman" w:hAnsi="Times New Roman" w:eastAsia="Times New Roman"/>
          <w:sz w:val="24"/>
        </w:rPr>
        <w:t xml:space="preserve"> </w:t>
      </w:r>
      <w:r>
        <w:rPr>
          <w:rFonts w:ascii="Times New Roman" w:hAnsi="Times New Roman" w:eastAsia="Times New Roman"/>
          <w:sz w:val="24"/>
        </w:rPr>
        <w:t xml:space="preserve">(2nd ed.). Wiley.</w:t>
      </w:r>
    </w:p>
    <w:p>
      <w:pPr>
        <w:pStyle w:val="BodyText"/>
        <w:spacing w:line="480" w:lineRule="auto" w:after="0"/>
        <w:ind w:firstLine="720"/>
      </w:pPr>
      <w:r>
        <w:rPr>
          <w:rFonts w:ascii="Times New Roman" w:hAnsi="Times New Roman" w:eastAsia="Times New Roman"/>
          <w:sz w:val="24"/>
        </w:rPr>
        <w:t xml:space="preserve">Eloundou, T., Manning, S., Mishkin, P., &amp; Rock, D. (2023). GPTs are GPTs: An early look at the labor market impact potential of large language models. arXiv:2303.10130.</w:t>
      </w:r>
    </w:p>
    <w:p>
      <w:pPr>
        <w:pStyle w:val="BodyText"/>
        <w:spacing w:line="480" w:lineRule="auto" w:after="0"/>
        <w:ind w:firstLine="720"/>
      </w:pPr>
      <w:r>
        <w:rPr>
          <w:rFonts w:ascii="Times New Roman" w:hAnsi="Times New Roman" w:eastAsia="Times New Roman"/>
          <w:sz w:val="24"/>
        </w:rPr>
        <w:t xml:space="preserve">Eloundou, T., Manning, S., Mishkin, P., &amp; Rock, D. (2024). GPTs are GPTs: Labor market impact potential of LLMs.</w:t>
      </w:r>
      <w:r>
        <w:rPr>
          <w:rFonts w:ascii="Times New Roman" w:hAnsi="Times New Roman" w:eastAsia="Times New Roman"/>
          <w:sz w:val="24"/>
        </w:rPr>
        <w:t xml:space="preserve"> </w:t>
      </w:r>
      <w:r>
        <w:rPr>
          <w:iCs/>
          <w:rFonts w:ascii="Times New Roman" w:hAnsi="Times New Roman" w:eastAsia="Times New Roman"/>
          <w:i/>
          <w:sz w:val="24"/>
        </w:rPr>
        <w:t xml:space="preserve">Science, 384</w:t>
      </w:r>
      <w:r>
        <w:rPr>
          <w:rFonts w:ascii="Times New Roman" w:hAnsi="Times New Roman" w:eastAsia="Times New Roman"/>
          <w:sz w:val="24"/>
        </w:rPr>
        <w:t xml:space="preserve">(6702), 1306–1308.</w:t>
      </w:r>
    </w:p>
    <w:p>
      <w:pPr>
        <w:pStyle w:val="BodyText"/>
        <w:spacing w:line="480" w:lineRule="auto" w:after="0"/>
        <w:ind w:firstLine="720"/>
      </w:pPr>
      <w:r>
        <w:rPr>
          <w:rFonts w:ascii="Times New Roman" w:hAnsi="Times New Roman" w:eastAsia="Times New Roman"/>
          <w:sz w:val="24"/>
        </w:rPr>
        <w:t xml:space="preserve">Eurostat. (2024).</w:t>
      </w:r>
      <w:r>
        <w:rPr>
          <w:rFonts w:ascii="Times New Roman" w:hAnsi="Times New Roman" w:eastAsia="Times New Roman"/>
          <w:sz w:val="24"/>
        </w:rPr>
        <w:t xml:space="preserve"> </w:t>
      </w:r>
      <w:r>
        <w:rPr>
          <w:iCs/>
          <w:rFonts w:ascii="Times New Roman" w:hAnsi="Times New Roman" w:eastAsia="Times New Roman"/>
          <w:i/>
          <w:sz w:val="24"/>
        </w:rPr>
        <w:t xml:space="preserve">ICT usage in enterprises: Artificial intelligence (isoc_eb_ain2); national accounts (nama_10_a64); structural business statistics (sbs_ovw_act, sbs_sc_ovw)</w:t>
      </w:r>
      <w:r>
        <w:rPr>
          <w:rFonts w:ascii="Times New Roman" w:hAnsi="Times New Roman" w:eastAsia="Times New Roman"/>
          <w:sz w:val="24"/>
        </w:rPr>
        <w:t xml:space="preserve">. European Commission.</w:t>
      </w:r>
    </w:p>
    <w:p>
      <w:pPr>
        <w:pStyle w:val="BodyText"/>
        <w:spacing w:line="480" w:lineRule="auto" w:after="0"/>
        <w:ind w:firstLine="720"/>
      </w:pPr>
      <w:r>
        <w:rPr>
          <w:rFonts w:ascii="Times New Roman" w:hAnsi="Times New Roman" w:eastAsia="Times New Roman"/>
          <w:sz w:val="24"/>
        </w:rPr>
        <w:t xml:space="preserve">Felten, E., Raj, M., &amp; Seamans, R. (2018). A method to link advances in artificial intelligence to occupational abilities.</w:t>
      </w:r>
      <w:r>
        <w:rPr>
          <w:rFonts w:ascii="Times New Roman" w:hAnsi="Times New Roman" w:eastAsia="Times New Roman"/>
          <w:sz w:val="24"/>
        </w:rPr>
        <w:t xml:space="preserve"> </w:t>
      </w:r>
      <w:r>
        <w:rPr>
          <w:iCs/>
          <w:rFonts w:ascii="Times New Roman" w:hAnsi="Times New Roman" w:eastAsia="Times New Roman"/>
          <w:i/>
          <w:sz w:val="24"/>
        </w:rPr>
        <w:t xml:space="preserve">AEA Papers and Proceedings, 108</w:t>
      </w:r>
      <w:r>
        <w:rPr>
          <w:rFonts w:ascii="Times New Roman" w:hAnsi="Times New Roman" w:eastAsia="Times New Roman"/>
          <w:sz w:val="24"/>
        </w:rPr>
        <w:t xml:space="preserve">, 54–57.</w:t>
      </w:r>
    </w:p>
    <w:p>
      <w:pPr>
        <w:pStyle w:val="BodyText"/>
        <w:spacing w:line="480" w:lineRule="auto" w:after="0"/>
        <w:ind w:firstLine="720"/>
      </w:pPr>
      <w:r>
        <w:rPr>
          <w:rFonts w:ascii="Times New Roman" w:hAnsi="Times New Roman" w:eastAsia="Times New Roman"/>
          <w:sz w:val="24"/>
        </w:rPr>
        <w:t xml:space="preserve">Felten, E., Raj, M., &amp; Seamans, R. (2021). Occupational, industry, and geographic exposure to artificial intelligence: A novel dataset and its potential uses.</w:t>
      </w:r>
      <w:r>
        <w:rPr>
          <w:rFonts w:ascii="Times New Roman" w:hAnsi="Times New Roman" w:eastAsia="Times New Roman"/>
          <w:sz w:val="24"/>
        </w:rPr>
        <w:t xml:space="preserve"> </w:t>
      </w:r>
      <w:r>
        <w:rPr>
          <w:iCs/>
          <w:rFonts w:ascii="Times New Roman" w:hAnsi="Times New Roman" w:eastAsia="Times New Roman"/>
          <w:i/>
          <w:sz w:val="24"/>
        </w:rPr>
        <w:t xml:space="preserve">Strategic Management Journal, 42</w:t>
      </w:r>
      <w:r>
        <w:rPr>
          <w:rFonts w:ascii="Times New Roman" w:hAnsi="Times New Roman" w:eastAsia="Times New Roman"/>
          <w:sz w:val="24"/>
        </w:rPr>
        <w:t xml:space="preserve">(12), 2195–2217.</w:t>
      </w:r>
    </w:p>
    <w:p>
      <w:pPr>
        <w:pStyle w:val="BodyText"/>
        <w:spacing w:line="480" w:lineRule="auto" w:after="0"/>
        <w:ind w:firstLine="720"/>
      </w:pPr>
      <w:r>
        <w:rPr>
          <w:rFonts w:ascii="Times New Roman" w:hAnsi="Times New Roman" w:eastAsia="Times New Roman"/>
          <w:sz w:val="24"/>
        </w:rPr>
        <w:t xml:space="preserve">Fortanier, F., Liberatore, A., Maurer, A., &amp; Pilgrim, G. (2017).</w:t>
      </w:r>
      <w:r>
        <w:rPr>
          <w:rFonts w:ascii="Times New Roman" w:hAnsi="Times New Roman" w:eastAsia="Times New Roman"/>
          <w:sz w:val="24"/>
        </w:rPr>
        <w:t xml:space="preserve"> </w:t>
      </w:r>
      <w:r>
        <w:rPr>
          <w:iCs/>
          <w:rFonts w:ascii="Times New Roman" w:hAnsi="Times New Roman" w:eastAsia="Times New Roman"/>
          <w:i/>
          <w:sz w:val="24"/>
        </w:rPr>
        <w:t xml:space="preserve">The OECD–WTO Balanced Trade in Services database</w:t>
      </w:r>
      <w:r>
        <w:rPr>
          <w:rFonts w:ascii="Times New Roman" w:hAnsi="Times New Roman" w:eastAsia="Times New Roman"/>
          <w:sz w:val="24"/>
        </w:rPr>
        <w:t xml:space="preserve">. OECD/WTO.</w:t>
      </w:r>
    </w:p>
    <w:p>
      <w:pPr>
        <w:pStyle w:val="BodyText"/>
        <w:spacing w:line="480" w:lineRule="auto" w:after="0"/>
        <w:ind w:firstLine="720"/>
      </w:pPr>
      <w:r>
        <w:rPr>
          <w:rFonts w:ascii="Times New Roman" w:hAnsi="Times New Roman" w:eastAsia="Times New Roman"/>
          <w:sz w:val="24"/>
        </w:rPr>
        <w:t xml:space="preserve">Francois, J., &amp; Hoekman, B. (2010). Services trade and policy.</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Literature, 48</w:t>
      </w:r>
      <w:r>
        <w:rPr>
          <w:rFonts w:ascii="Times New Roman" w:hAnsi="Times New Roman" w:eastAsia="Times New Roman"/>
          <w:sz w:val="24"/>
        </w:rPr>
        <w:t xml:space="preserve">(3), 642–692.</w:t>
      </w:r>
    </w:p>
    <w:p>
      <w:pPr>
        <w:pStyle w:val="BodyText"/>
        <w:spacing w:line="480" w:lineRule="auto" w:after="0"/>
        <w:ind w:firstLine="720"/>
      </w:pPr>
      <w:r>
        <w:rPr>
          <w:rFonts w:ascii="Times New Roman" w:hAnsi="Times New Roman" w:eastAsia="Times New Roman"/>
          <w:sz w:val="24"/>
        </w:rPr>
        <w:t xml:space="preserve">Gann, D. M., &amp; Salter, A. J. (2000). Innovation in project-based, service-enhanced firms: The construction of complex products and systems.</w:t>
      </w:r>
      <w:r>
        <w:rPr>
          <w:rFonts w:ascii="Times New Roman" w:hAnsi="Times New Roman" w:eastAsia="Times New Roman"/>
          <w:sz w:val="24"/>
        </w:rPr>
        <w:t xml:space="preserve"> </w:t>
      </w:r>
      <w:r>
        <w:rPr>
          <w:iCs/>
          <w:rFonts w:ascii="Times New Roman" w:hAnsi="Times New Roman" w:eastAsia="Times New Roman"/>
          <w:i/>
          <w:sz w:val="24"/>
        </w:rPr>
        <w:t xml:space="preserve">Research Policy, 29</w:t>
      </w:r>
      <w:r>
        <w:rPr>
          <w:rFonts w:ascii="Times New Roman" w:hAnsi="Times New Roman" w:eastAsia="Times New Roman"/>
          <w:sz w:val="24"/>
        </w:rPr>
        <w:t xml:space="preserve">(7–8), 955–972.</w:t>
      </w:r>
    </w:p>
    <w:p>
      <w:pPr>
        <w:pStyle w:val="BodyText"/>
        <w:spacing w:line="480" w:lineRule="auto" w:after="0"/>
        <w:ind w:firstLine="720"/>
      </w:pPr>
      <w:r>
        <w:rPr>
          <w:rFonts w:ascii="Times New Roman" w:hAnsi="Times New Roman" w:eastAsia="Times New Roman"/>
          <w:sz w:val="24"/>
        </w:rPr>
        <w:t xml:space="preserve">Grossman, G. M., &amp; Rossi-Hansberg, E. (2008). Trading tasks: A simple theory of offshoring.</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98</w:t>
      </w:r>
      <w:r>
        <w:rPr>
          <w:rFonts w:ascii="Times New Roman" w:hAnsi="Times New Roman" w:eastAsia="Times New Roman"/>
          <w:sz w:val="24"/>
        </w:rPr>
        <w:t xml:space="preserve">(5), 1978–1997.</w:t>
      </w:r>
    </w:p>
    <w:p>
      <w:pPr>
        <w:pStyle w:val="BodyText"/>
        <w:spacing w:line="480" w:lineRule="auto" w:after="0"/>
        <w:ind w:firstLine="720"/>
      </w:pPr>
      <w:r>
        <w:rPr>
          <w:rFonts w:ascii="Times New Roman" w:hAnsi="Times New Roman" w:eastAsia="Times New Roman"/>
          <w:sz w:val="24"/>
        </w:rPr>
        <w:t xml:space="preserve">Hui, X., Reshef, O., &amp; Zhou, L. (2024). The short-term effects of generative artificial intelligence on employment: Evidence from an online labor market.</w:t>
      </w:r>
      <w:r>
        <w:rPr>
          <w:rFonts w:ascii="Times New Roman" w:hAnsi="Times New Roman" w:eastAsia="Times New Roman"/>
          <w:sz w:val="24"/>
        </w:rPr>
        <w:t xml:space="preserve"> </w:t>
      </w:r>
      <w:r>
        <w:rPr>
          <w:iCs/>
          <w:rFonts w:ascii="Times New Roman" w:hAnsi="Times New Roman" w:eastAsia="Times New Roman"/>
          <w:i/>
          <w:sz w:val="24"/>
        </w:rPr>
        <w:t xml:space="preserve">Organization Science</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ILO. (n.d.).</w:t>
      </w:r>
      <w:r>
        <w:rPr>
          <w:rFonts w:ascii="Times New Roman" w:hAnsi="Times New Roman" w:eastAsia="Times New Roman"/>
          <w:sz w:val="24"/>
        </w:rPr>
        <w:t xml:space="preserve"> </w:t>
      </w:r>
      <w:r>
        <w:rPr>
          <w:iCs/>
          <w:rFonts w:ascii="Times New Roman" w:hAnsi="Times New Roman" w:eastAsia="Times New Roman"/>
          <w:i/>
          <w:sz w:val="24"/>
        </w:rPr>
        <w:t xml:space="preserve">ILOSTAT: Employment by sex and economic activity</w:t>
      </w:r>
      <w:r>
        <w:rPr>
          <w:rFonts w:ascii="Times New Roman" w:hAnsi="Times New Roman" w:eastAsia="Times New Roman"/>
          <w:sz w:val="24"/>
        </w:rPr>
        <w:t xml:space="preserve">. International Labour Organization.</w:t>
      </w:r>
    </w:p>
    <w:p>
      <w:pPr>
        <w:pStyle w:val="BodyText"/>
        <w:spacing w:line="480" w:lineRule="auto" w:after="0"/>
        <w:ind w:firstLine="720"/>
      </w:pPr>
      <w:r>
        <w:rPr>
          <w:rFonts w:ascii="Times New Roman" w:hAnsi="Times New Roman" w:eastAsia="Times New Roman"/>
          <w:sz w:val="24"/>
        </w:rPr>
        <w:t xml:space="preserve">Korinek, A., &amp; Stiglitz, J. E. (2021). Artificial intelligence, globalization, and strategies for economic development (NBER Working Paper 28453).</w:t>
      </w:r>
    </w:p>
    <w:p>
      <w:pPr>
        <w:pStyle w:val="BodyText"/>
        <w:spacing w:line="480" w:lineRule="auto" w:after="0"/>
        <w:ind w:firstLine="720"/>
      </w:pPr>
      <w:r>
        <w:rPr>
          <w:rFonts w:ascii="Times New Roman" w:hAnsi="Times New Roman" w:eastAsia="Times New Roman"/>
          <w:sz w:val="24"/>
        </w:rPr>
        <w:t xml:space="preserve">Loungani, P., Mishra, S., Papageorgiou, C., &amp; Wang, K. (2017). World trade in services: Evidence from a new dataset (IMF Working Paper 17/77).</w:t>
      </w:r>
    </w:p>
    <w:p>
      <w:pPr>
        <w:pStyle w:val="BodyText"/>
        <w:spacing w:line="480" w:lineRule="auto" w:after="0"/>
        <w:ind w:firstLine="720"/>
      </w:pPr>
      <w:r>
        <w:rPr>
          <w:rFonts w:ascii="Times New Roman" w:hAnsi="Times New Roman" w:eastAsia="Times New Roman"/>
          <w:sz w:val="24"/>
        </w:rPr>
        <w:t xml:space="preserve">Noy, S., &amp; Zhang, W. (2023). Experimental evidence on the productivity effects of generative artificial intelligence.</w:t>
      </w:r>
      <w:r>
        <w:rPr>
          <w:rFonts w:ascii="Times New Roman" w:hAnsi="Times New Roman" w:eastAsia="Times New Roman"/>
          <w:sz w:val="24"/>
        </w:rPr>
        <w:t xml:space="preserve"> </w:t>
      </w:r>
      <w:r>
        <w:rPr>
          <w:iCs/>
          <w:rFonts w:ascii="Times New Roman" w:hAnsi="Times New Roman" w:eastAsia="Times New Roman"/>
          <w:i/>
          <w:sz w:val="24"/>
        </w:rPr>
        <w:t xml:space="preserve">Science, 381</w:t>
      </w:r>
      <w:r>
        <w:rPr>
          <w:rFonts w:ascii="Times New Roman" w:hAnsi="Times New Roman" w:eastAsia="Times New Roman"/>
          <w:sz w:val="24"/>
        </w:rPr>
        <w:t xml:space="preserve">(6654), 187–192.</w:t>
      </w:r>
    </w:p>
    <w:p>
      <w:pPr>
        <w:pStyle w:val="BodyText"/>
        <w:spacing w:line="480" w:lineRule="auto" w:after="0"/>
        <w:ind w:firstLine="720"/>
      </w:pPr>
      <w:r>
        <w:rPr>
          <w:rFonts w:ascii="Times New Roman" w:hAnsi="Times New Roman" w:eastAsia="Times New Roman"/>
          <w:sz w:val="24"/>
        </w:rPr>
        <w:t xml:space="preserve">OECD &amp; WTO. (n.d.).</w:t>
      </w:r>
      <w:r>
        <w:rPr>
          <w:rFonts w:ascii="Times New Roman" w:hAnsi="Times New Roman" w:eastAsia="Times New Roman"/>
          <w:sz w:val="24"/>
        </w:rPr>
        <w:t xml:space="preserve"> </w:t>
      </w:r>
      <w:r>
        <w:rPr>
          <w:iCs/>
          <w:rFonts w:ascii="Times New Roman" w:hAnsi="Times New Roman" w:eastAsia="Times New Roman"/>
          <w:i/>
          <w:sz w:val="24"/>
        </w:rPr>
        <w:t xml:space="preserve">BaTIS: Balanced Trade in Services dataset</w:t>
      </w:r>
      <w:r>
        <w:rPr>
          <w:rFonts w:ascii="Times New Roman" w:hAnsi="Times New Roman" w:eastAsia="Times New Roman"/>
          <w:sz w:val="24"/>
        </w:rPr>
        <w:t xml:space="preserve"> </w:t>
      </w:r>
      <w:r>
        <w:rPr>
          <w:rFonts w:ascii="Times New Roman" w:hAnsi="Times New Roman" w:eastAsia="Times New Roman"/>
          <w:sz w:val="24"/>
        </w:rPr>
        <w:t xml:space="preserve">(BPM6, adjustment B).</w:t>
      </w:r>
    </w:p>
    <w:p>
      <w:pPr>
        <w:pStyle w:val="BodyText"/>
        <w:spacing w:line="480" w:lineRule="auto" w:after="0"/>
        <w:ind w:firstLine="720"/>
      </w:pPr>
      <w:r>
        <w:rPr>
          <w:rFonts w:ascii="Times New Roman" w:hAnsi="Times New Roman" w:eastAsia="Times New Roman"/>
          <w:sz w:val="24"/>
        </w:rPr>
        <w:t xml:space="preserve">Office for National Statistics. (2019).</w:t>
      </w:r>
      <w:r>
        <w:rPr>
          <w:rFonts w:ascii="Times New Roman" w:hAnsi="Times New Roman" w:eastAsia="Times New Roman"/>
          <w:sz w:val="24"/>
        </w:rPr>
        <w:t xml:space="preserve"> </w:t>
      </w:r>
      <w:r>
        <w:rPr>
          <w:iCs/>
          <w:rFonts w:ascii="Times New Roman" w:hAnsi="Times New Roman" w:eastAsia="Times New Roman"/>
          <w:i/>
          <w:sz w:val="24"/>
        </w:rPr>
        <w:t xml:space="preserve">Which occupations are at highest risk of being automated?</w:t>
      </w:r>
      <w:r>
        <w:rPr>
          <w:rFonts w:ascii="Times New Roman" w:hAnsi="Times New Roman" w:eastAsia="Times New Roman"/>
          <w:sz w:val="24"/>
        </w:rPr>
        <w:t xml:space="preserve"> </w:t>
      </w:r>
      <w:r>
        <w:rPr>
          <w:rFonts w:ascii="Times New Roman" w:hAnsi="Times New Roman" w:eastAsia="Times New Roman"/>
          <w:sz w:val="24"/>
        </w:rPr>
        <w:t xml:space="preserve">(Table 9, SOC 2010).</w:t>
      </w:r>
    </w:p>
    <w:p>
      <w:pPr>
        <w:pStyle w:val="BodyText"/>
        <w:spacing w:line="480" w:lineRule="auto" w:after="0"/>
        <w:ind w:firstLine="720"/>
      </w:pPr>
      <w:r>
        <w:rPr>
          <w:rFonts w:ascii="Times New Roman" w:hAnsi="Times New Roman" w:eastAsia="Times New Roman"/>
          <w:sz w:val="24"/>
        </w:rPr>
        <w:t xml:space="preserve">Peng, S., Kalliamvakou, E., Cihon, P., &amp; Demirer, M. (2023). The impact of AI on developer productivity: Evidence from GitHub Copilot. arXiv:2302.06590.</w:t>
      </w:r>
    </w:p>
    <w:p>
      <w:pPr>
        <w:pStyle w:val="BodyText"/>
        <w:spacing w:line="480" w:lineRule="auto" w:after="0"/>
        <w:ind w:firstLine="720"/>
      </w:pPr>
      <w:r>
        <w:rPr>
          <w:rFonts w:ascii="Times New Roman" w:hAnsi="Times New Roman" w:eastAsia="Times New Roman"/>
          <w:sz w:val="24"/>
        </w:rPr>
        <w:t xml:space="preserve">Sacks, R., Eastman, C., Lee, G., &amp; Teicholz, P. (2018).</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 for owners, designers, engineers, contractors, and facility managers</w:t>
      </w:r>
      <w:r>
        <w:rPr>
          <w:rFonts w:ascii="Times New Roman" w:hAnsi="Times New Roman" w:eastAsia="Times New Roman"/>
          <w:sz w:val="24"/>
        </w:rPr>
        <w:t xml:space="preserve"> </w:t>
      </w:r>
      <w:r>
        <w:rPr>
          <w:rFonts w:ascii="Times New Roman" w:hAnsi="Times New Roman" w:eastAsia="Times New Roman"/>
          <w:sz w:val="24"/>
        </w:rPr>
        <w:t xml:space="preserve">(3rd ed.). Wiley.</w:t>
      </w:r>
    </w:p>
    <w:p>
      <w:pPr>
        <w:pStyle w:val="BodyText"/>
        <w:spacing w:line="480" w:lineRule="auto" w:after="0"/>
        <w:ind w:firstLine="720"/>
      </w:pPr>
      <w:r>
        <w:rPr>
          <w:rFonts w:ascii="Times New Roman" w:hAnsi="Times New Roman" w:eastAsia="Times New Roman"/>
          <w:sz w:val="24"/>
        </w:rPr>
        <w:t xml:space="preserve">Webb, M. (2020).</w:t>
      </w:r>
      <w:r>
        <w:rPr>
          <w:rFonts w:ascii="Times New Roman" w:hAnsi="Times New Roman" w:eastAsia="Times New Roman"/>
          <w:sz w:val="24"/>
        </w:rPr>
        <w:t xml:space="preserve"> </w:t>
      </w:r>
      <w:r>
        <w:rPr>
          <w:iCs/>
          <w:rFonts w:ascii="Times New Roman" w:hAnsi="Times New Roman" w:eastAsia="Times New Roman"/>
          <w:i/>
          <w:sz w:val="24"/>
        </w:rPr>
        <w:t xml:space="preserve">The impact of artificial intelligence on the labor market</w:t>
      </w:r>
      <w:r>
        <w:rPr>
          <w:rFonts w:ascii="Times New Roman" w:hAnsi="Times New Roman" w:eastAsia="Times New Roman"/>
          <w:sz w:val="24"/>
        </w:rPr>
        <w:t xml:space="preserve">. Stanford University.</w:t>
      </w:r>
    </w:p>
    <w:p>
      <w:pPr>
        <w:pStyle w:val="BodyText"/>
        <w:spacing w:line="480" w:lineRule="auto" w:after="0"/>
        <w:ind w:firstLine="720"/>
      </w:pPr>
      <w:r>
        <w:rPr>
          <w:rFonts w:ascii="Times New Roman" w:hAnsi="Times New Roman" w:eastAsia="Times New Roman"/>
          <w:sz w:val="24"/>
        </w:rPr>
        <w:t xml:space="preserve">Whyte, J. (2019). How digital information transforms project delivery models.</w:t>
      </w:r>
      <w:r>
        <w:rPr>
          <w:rFonts w:ascii="Times New Roman" w:hAnsi="Times New Roman" w:eastAsia="Times New Roman"/>
          <w:sz w:val="24"/>
        </w:rPr>
        <w:t xml:space="preserve"> </w:t>
      </w:r>
      <w:r>
        <w:rPr>
          <w:iCs/>
          <w:rFonts w:ascii="Times New Roman" w:hAnsi="Times New Roman" w:eastAsia="Times New Roman"/>
          <w:i/>
          <w:sz w:val="24"/>
        </w:rPr>
        <w:t xml:space="preserve">Project Management Journal, 50</w:t>
      </w:r>
      <w:r>
        <w:rPr>
          <w:rFonts w:ascii="Times New Roman" w:hAnsi="Times New Roman" w:eastAsia="Times New Roman"/>
          <w:sz w:val="24"/>
        </w:rPr>
        <w:t xml:space="preserve">(2), 177–194.</w:t>
      </w:r>
    </w:p>
    <w:p>
      <w:pPr>
        <w:pStyle w:val="BodyText"/>
        <w:spacing w:line="480" w:lineRule="auto" w:after="0"/>
        <w:ind w:firstLine="720"/>
      </w:pPr>
      <w:r>
        <w:rPr>
          <w:rFonts w:ascii="Times New Roman" w:hAnsi="Times New Roman" w:eastAsia="Times New Roman"/>
          <w:sz w:val="24"/>
        </w:rPr>
        <w:t xml:space="preserve">Winch, G. M. (2010).</w:t>
      </w:r>
      <w:r>
        <w:rPr>
          <w:rFonts w:ascii="Times New Roman" w:hAnsi="Times New Roman" w:eastAsia="Times New Roman"/>
          <w:sz w:val="24"/>
        </w:rPr>
        <w:t xml:space="preserve"> </w:t>
      </w:r>
      <w:r>
        <w:rPr>
          <w:iCs/>
          <w:rFonts w:ascii="Times New Roman" w:hAnsi="Times New Roman" w:eastAsia="Times New Roman"/>
          <w:i/>
          <w:sz w:val="24"/>
        </w:rPr>
        <w:t xml:space="preserve">Managing construction projects</w:t>
      </w:r>
      <w:r>
        <w:rPr>
          <w:rFonts w:ascii="Times New Roman" w:hAnsi="Times New Roman" w:eastAsia="Times New Roman"/>
          <w:sz w:val="24"/>
        </w:rPr>
        <w:t xml:space="preserve"> </w:t>
      </w:r>
      <w:r>
        <w:rPr>
          <w:rFonts w:ascii="Times New Roman" w:hAnsi="Times New Roman" w:eastAsia="Times New Roman"/>
          <w:sz w:val="24"/>
        </w:rPr>
        <w:t xml:space="preserve">(2nd ed.). Wiley-Blackwell.</w:t>
      </w:r>
    </w:p>
    <w:p>
      <w:pPr>
        <w:pStyle w:val="BodyText"/>
        <w:spacing w:line="480" w:lineRule="auto" w:after="0"/>
        <w:ind w:firstLine="720"/>
      </w:pPr>
      <w:r>
        <w:rPr>
          <w:rFonts w:ascii="Times New Roman" w:hAnsi="Times New Roman" w:eastAsia="Times New Roman"/>
          <w:sz w:val="24"/>
        </w:rPr>
        <w:t xml:space="preserve">WTO. (1994).</w:t>
      </w:r>
      <w:r>
        <w:rPr>
          <w:rFonts w:ascii="Times New Roman" w:hAnsi="Times New Roman" w:eastAsia="Times New Roman"/>
          <w:sz w:val="24"/>
        </w:rPr>
        <w:t xml:space="preserve"> </w:t>
      </w:r>
      <w:r>
        <w:rPr>
          <w:iCs/>
          <w:rFonts w:ascii="Times New Roman" w:hAnsi="Times New Roman" w:eastAsia="Times New Roman"/>
          <w:i/>
          <w:sz w:val="24"/>
        </w:rPr>
        <w:t xml:space="preserve">General Agreement on Trade in Services</w:t>
      </w:r>
      <w:r>
        <w:rPr>
          <w:rFonts w:ascii="Times New Roman" w:hAnsi="Times New Roman" w:eastAsia="Times New Roman"/>
          <w:sz w:val="24"/>
        </w:rPr>
        <w:t xml:space="preserve">. World Trade Organization.</w:t>
      </w:r>
    </w:p>
    <w:bookmarkEnd w:id="55"/>
    <w:bookmarkStart w:id="56" w:name="tables"/>
    <w:p>
      <w:pPr>
        <w:pStyle w:val="Heading2"/>
        <w:spacing w:line="480" w:lineRule="auto"/>
        <w:ind w:firstLine="0"/>
      </w:pPr>
      <w:r>
        <w:rPr>
          <w:rFonts w:ascii="Times New Roman" w:hAnsi="Times New Roman" w:eastAsia="Times New Roman"/>
          <w:b/>
          <w:sz w:val="24"/>
        </w:rPr>
        <w:t xml:space="preserve">Tables</w:t>
      </w:r>
    </w:p>
    <w:p>
      <w:pPr>
        <w:pStyle w:val="FirstParagraph"/>
        <w:spacing w:line="480" w:lineRule="auto" w:after="0"/>
        <w:ind w:firstLine="0"/>
      </w:pPr>
      <w:r>
        <w:rPr>
          <w:bCs/>
          <w:b/>
        </w:rPr>
        <w:t xml:space="preserve">Table 1.</w:t>
      </w:r>
      <w:r>
        <w:t xml:space="preserve"> </w:t>
      </w:r>
      <w:r>
        <w:t xml:space="preserve">UK–India and UK–China service corridors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76" w:lineRule="auto"/>
              <w:ind w:firstLine="0"/>
              <w:jc w:val="left"/>
            </w:pPr>
            <w:r>
              <w:rPr>
                <w:rFonts w:ascii="Times New Roman" w:hAnsi="Times New Roman" w:eastAsia="Times New Roman"/>
                <w:sz w:val="20"/>
              </w:rPr>
              <w:t xml:space="preserve">Import flow</w:t>
            </w:r>
          </w:p>
        </w:tc>
        <w:tc>
          <w:tcPr/>
          <w:p>
            <w:pPr>
              <w:pStyle w:val="Compact"/>
              <w:spacing w:line="276" w:lineRule="auto"/>
              <w:ind w:firstLine="0"/>
              <w:jc w:val="left"/>
            </w:pPr>
            <w:r>
              <w:rPr>
                <w:rFonts w:ascii="Times New Roman" w:hAnsi="Times New Roman" w:eastAsia="Times New Roman"/>
                <w:sz w:val="20"/>
              </w:rPr>
              <w:t xml:space="preserve">Service</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2,186.6</w:t>
            </w:r>
          </w:p>
        </w:tc>
        <w:tc>
          <w:tcPr/>
          <w:p>
            <w:pPr>
              <w:pStyle w:val="Compact"/>
              <w:spacing w:line="276" w:lineRule="auto"/>
              <w:ind w:firstLine="0"/>
              <w:jc w:val="left"/>
            </w:pPr>
            <w:r>
              <w:rPr>
                <w:rFonts w:ascii="Times New Roman" w:hAnsi="Times New Roman" w:eastAsia="Times New Roman"/>
                <w:sz w:val="20"/>
              </w:rPr>
              <w:t xml:space="preserve">4,979.3</w:t>
            </w:r>
          </w:p>
        </w:tc>
        <w:tc>
          <w:tcPr/>
          <w:p>
            <w:pPr>
              <w:pStyle w:val="Compact"/>
              <w:spacing w:line="276" w:lineRule="auto"/>
              <w:ind w:firstLine="0"/>
              <w:jc w:val="left"/>
            </w:pPr>
            <w:r>
              <w:rPr>
                <w:rFonts w:ascii="Times New Roman" w:hAnsi="Times New Roman" w:eastAsia="Times New Roman"/>
                <w:sz w:val="20"/>
              </w:rPr>
              <w:t xml:space="preserve">127.7%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787.6</w:t>
            </w:r>
          </w:p>
        </w:tc>
        <w:tc>
          <w:tcPr/>
          <w:p>
            <w:pPr>
              <w:pStyle w:val="Compact"/>
              <w:spacing w:line="276" w:lineRule="auto"/>
              <w:ind w:firstLine="0"/>
              <w:jc w:val="left"/>
            </w:pPr>
            <w:r>
              <w:rPr>
                <w:rFonts w:ascii="Times New Roman" w:hAnsi="Times New Roman" w:eastAsia="Times New Roman"/>
                <w:sz w:val="20"/>
              </w:rPr>
              <w:t xml:space="preserve">1,554.2</w:t>
            </w:r>
          </w:p>
        </w:tc>
        <w:tc>
          <w:tcPr/>
          <w:p>
            <w:pPr>
              <w:pStyle w:val="Compact"/>
              <w:spacing w:line="276" w:lineRule="auto"/>
              <w:ind w:firstLine="0"/>
              <w:jc w:val="left"/>
            </w:pPr>
            <w:r>
              <w:rPr>
                <w:rFonts w:ascii="Times New Roman" w:hAnsi="Times New Roman" w:eastAsia="Times New Roman"/>
                <w:sz w:val="20"/>
              </w:rPr>
              <w:t xml:space="preserve">97.3%</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775.5</w:t>
            </w:r>
          </w:p>
        </w:tc>
        <w:tc>
          <w:tcPr/>
          <w:p>
            <w:pPr>
              <w:pStyle w:val="Compact"/>
              <w:spacing w:line="276" w:lineRule="auto"/>
              <w:ind w:firstLine="0"/>
              <w:jc w:val="left"/>
            </w:pPr>
            <w:r>
              <w:rPr>
                <w:rFonts w:ascii="Times New Roman" w:hAnsi="Times New Roman" w:eastAsia="Times New Roman"/>
                <w:sz w:val="20"/>
              </w:rPr>
              <w:t xml:space="preserve">1,546.0</w:t>
            </w:r>
          </w:p>
        </w:tc>
        <w:tc>
          <w:tcPr/>
          <w:p>
            <w:pPr>
              <w:pStyle w:val="Compact"/>
              <w:spacing w:line="276" w:lineRule="auto"/>
              <w:ind w:firstLine="0"/>
              <w:jc w:val="left"/>
            </w:pPr>
            <w:r>
              <w:rPr>
                <w:rFonts w:ascii="Times New Roman" w:hAnsi="Times New Roman" w:eastAsia="Times New Roman"/>
                <w:sz w:val="20"/>
              </w:rPr>
              <w:t xml:space="preserve">99.3%</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739.0</w:t>
            </w:r>
          </w:p>
        </w:tc>
        <w:tc>
          <w:tcPr/>
          <w:p>
            <w:pPr>
              <w:pStyle w:val="Compact"/>
              <w:spacing w:line="276" w:lineRule="auto"/>
              <w:ind w:firstLine="0"/>
              <w:jc w:val="left"/>
            </w:pPr>
            <w:r>
              <w:rPr>
                <w:rFonts w:ascii="Times New Roman" w:hAnsi="Times New Roman" w:eastAsia="Times New Roman"/>
                <w:sz w:val="20"/>
              </w:rPr>
              <w:t xml:space="preserve">954.6</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41.9</w:t>
            </w:r>
          </w:p>
        </w:tc>
        <w:tc>
          <w:tcPr/>
          <w:p>
            <w:pPr>
              <w:pStyle w:val="Compact"/>
              <w:spacing w:line="276" w:lineRule="auto"/>
              <w:ind w:firstLine="0"/>
              <w:jc w:val="left"/>
            </w:pPr>
            <w:r>
              <w:rPr>
                <w:rFonts w:ascii="Times New Roman" w:hAnsi="Times New Roman" w:eastAsia="Times New Roman"/>
                <w:sz w:val="20"/>
              </w:rPr>
              <w:t xml:space="preserve">72.8</w:t>
            </w:r>
          </w:p>
        </w:tc>
        <w:tc>
          <w:tcPr/>
          <w:p>
            <w:pPr>
              <w:pStyle w:val="Compact"/>
              <w:spacing w:line="276" w:lineRule="auto"/>
              <w:ind w:firstLine="0"/>
              <w:jc w:val="left"/>
            </w:pPr>
            <w:r>
              <w:rPr>
                <w:rFonts w:ascii="Times New Roman" w:hAnsi="Times New Roman" w:eastAsia="Times New Roman"/>
                <w:sz w:val="20"/>
              </w:rPr>
              <w:t xml:space="preserve">73.7%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39.3</w:t>
            </w:r>
          </w:p>
        </w:tc>
        <w:tc>
          <w:tcPr/>
          <w:p>
            <w:pPr>
              <w:pStyle w:val="Compact"/>
              <w:spacing w:line="276" w:lineRule="auto"/>
              <w:ind w:firstLine="0"/>
              <w:jc w:val="left"/>
            </w:pPr>
            <w:r>
              <w:rPr>
                <w:rFonts w:ascii="Times New Roman" w:hAnsi="Times New Roman" w:eastAsia="Times New Roman"/>
                <w:sz w:val="20"/>
              </w:rPr>
              <w:t xml:space="preserve">72.6</w:t>
            </w:r>
          </w:p>
        </w:tc>
        <w:tc>
          <w:tcPr/>
          <w:p>
            <w:pPr>
              <w:pStyle w:val="Compact"/>
              <w:spacing w:line="276" w:lineRule="auto"/>
              <w:ind w:firstLine="0"/>
              <w:jc w:val="left"/>
            </w:pPr>
            <w:r>
              <w:rPr>
                <w:rFonts w:ascii="Times New Roman" w:hAnsi="Times New Roman" w:eastAsia="Times New Roman"/>
                <w:sz w:val="20"/>
              </w:rPr>
              <w:t xml:space="preserve">84.8%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118.5</w:t>
            </w:r>
          </w:p>
        </w:tc>
        <w:tc>
          <w:tcPr/>
          <w:p>
            <w:pPr>
              <w:pStyle w:val="Compact"/>
              <w:spacing w:line="276" w:lineRule="auto"/>
              <w:ind w:firstLine="0"/>
              <w:jc w:val="left"/>
            </w:pPr>
            <w:r>
              <w:rPr>
                <w:rFonts w:ascii="Times New Roman" w:hAnsi="Times New Roman" w:eastAsia="Times New Roman"/>
                <w:sz w:val="20"/>
              </w:rPr>
              <w:t xml:space="preserve">179.8</w:t>
            </w:r>
          </w:p>
        </w:tc>
        <w:tc>
          <w:tcPr/>
          <w:p>
            <w:pPr>
              <w:pStyle w:val="Compact"/>
              <w:spacing w:line="276" w:lineRule="auto"/>
              <w:ind w:firstLine="0"/>
              <w:jc w:val="left"/>
            </w:pPr>
            <w:r>
              <w:rPr>
                <w:rFonts w:ascii="Times New Roman" w:hAnsi="Times New Roman" w:eastAsia="Times New Roman"/>
                <w:sz w:val="20"/>
              </w:rPr>
              <w:t xml:space="preserve">51.7%</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54.8</w:t>
            </w:r>
          </w:p>
        </w:tc>
        <w:tc>
          <w:tcPr/>
          <w:p>
            <w:pPr>
              <w:pStyle w:val="Compact"/>
              <w:spacing w:line="276" w:lineRule="auto"/>
              <w:ind w:firstLine="0"/>
              <w:jc w:val="left"/>
            </w:pPr>
            <w:r>
              <w:rPr>
                <w:rFonts w:ascii="Times New Roman" w:hAnsi="Times New Roman" w:eastAsia="Times New Roman"/>
                <w:sz w:val="20"/>
              </w:rPr>
              <w:t xml:space="preserve">70.8</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2,215.3</w:t>
            </w:r>
          </w:p>
        </w:tc>
        <w:tc>
          <w:tcPr/>
          <w:p>
            <w:pPr>
              <w:pStyle w:val="Compact"/>
              <w:spacing w:line="276" w:lineRule="auto"/>
              <w:ind w:firstLine="0"/>
              <w:jc w:val="left"/>
            </w:pPr>
            <w:r>
              <w:rPr>
                <w:rFonts w:ascii="Times New Roman" w:hAnsi="Times New Roman" w:eastAsia="Times New Roman"/>
                <w:sz w:val="20"/>
              </w:rPr>
              <w:t xml:space="preserve">4,723.0</w:t>
            </w:r>
          </w:p>
        </w:tc>
        <w:tc>
          <w:tcPr/>
          <w:p>
            <w:pPr>
              <w:pStyle w:val="Compact"/>
              <w:spacing w:line="276" w:lineRule="auto"/>
              <w:ind w:firstLine="0"/>
              <w:jc w:val="left"/>
            </w:pPr>
            <w:r>
              <w:rPr>
                <w:rFonts w:ascii="Times New Roman" w:hAnsi="Times New Roman" w:eastAsia="Times New Roman"/>
                <w:sz w:val="20"/>
              </w:rPr>
              <w:t xml:space="preserve">113.2%</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389.2</w:t>
            </w:r>
          </w:p>
        </w:tc>
        <w:tc>
          <w:tcPr/>
          <w:p>
            <w:pPr>
              <w:pStyle w:val="Compact"/>
              <w:spacing w:line="276" w:lineRule="auto"/>
              <w:ind w:firstLine="0"/>
              <w:jc w:val="left"/>
            </w:pPr>
            <w:r>
              <w:rPr>
                <w:rFonts w:ascii="Times New Roman" w:hAnsi="Times New Roman" w:eastAsia="Times New Roman"/>
                <w:sz w:val="20"/>
              </w:rPr>
              <w:t xml:space="preserve">707.6</w:t>
            </w:r>
          </w:p>
        </w:tc>
        <w:tc>
          <w:tcPr/>
          <w:p>
            <w:pPr>
              <w:pStyle w:val="Compact"/>
              <w:spacing w:line="276" w:lineRule="auto"/>
              <w:ind w:firstLine="0"/>
              <w:jc w:val="left"/>
            </w:pPr>
            <w:r>
              <w:rPr>
                <w:rFonts w:ascii="Times New Roman" w:hAnsi="Times New Roman" w:eastAsia="Times New Roman"/>
                <w:sz w:val="20"/>
              </w:rPr>
              <w:t xml:space="preserve">81.8%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724.7</w:t>
            </w:r>
          </w:p>
        </w:tc>
        <w:tc>
          <w:tcPr/>
          <w:p>
            <w:pPr>
              <w:pStyle w:val="Compact"/>
              <w:spacing w:line="276" w:lineRule="auto"/>
              <w:ind w:firstLine="0"/>
              <w:jc w:val="left"/>
            </w:pPr>
            <w:r>
              <w:rPr>
                <w:rFonts w:ascii="Times New Roman" w:hAnsi="Times New Roman" w:eastAsia="Times New Roman"/>
                <w:sz w:val="20"/>
              </w:rPr>
              <w:t xml:space="preserve">1,054.5</w:t>
            </w:r>
          </w:p>
        </w:tc>
        <w:tc>
          <w:tcPr/>
          <w:p>
            <w:pPr>
              <w:pStyle w:val="Compact"/>
              <w:spacing w:line="276" w:lineRule="auto"/>
              <w:ind w:firstLine="0"/>
              <w:jc w:val="left"/>
            </w:pPr>
            <w:r>
              <w:rPr>
                <w:rFonts w:ascii="Times New Roman" w:hAnsi="Times New Roman" w:eastAsia="Times New Roman"/>
                <w:sz w:val="20"/>
              </w:rPr>
              <w:t xml:space="preserve">45.5%</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1,639.3</w:t>
            </w:r>
          </w:p>
        </w:tc>
        <w:tc>
          <w:tcPr/>
          <w:p>
            <w:pPr>
              <w:pStyle w:val="Compact"/>
              <w:spacing w:line="276" w:lineRule="auto"/>
              <w:ind w:firstLine="0"/>
              <w:jc w:val="left"/>
            </w:pPr>
            <w:r>
              <w:rPr>
                <w:rFonts w:ascii="Times New Roman" w:hAnsi="Times New Roman" w:eastAsia="Times New Roman"/>
                <w:sz w:val="20"/>
              </w:rPr>
              <w:t xml:space="preserve">2,404.1</w:t>
            </w:r>
          </w:p>
        </w:tc>
        <w:tc>
          <w:tcPr/>
          <w:p>
            <w:pPr>
              <w:pStyle w:val="Compact"/>
              <w:spacing w:line="276" w:lineRule="auto"/>
              <w:ind w:firstLine="0"/>
              <w:jc w:val="left"/>
            </w:pPr>
            <w:r>
              <w:rPr>
                <w:rFonts w:ascii="Times New Roman" w:hAnsi="Times New Roman" w:eastAsia="Times New Roman"/>
                <w:sz w:val="20"/>
              </w:rPr>
              <w:t xml:space="preserve">46.7%</w:t>
            </w:r>
          </w:p>
        </w:tc>
      </w:tr>
    </w:tbl>
    <w:p>
      <w:pPr>
        <w:pStyle w:val="BodyText"/>
        <w:spacing w:line="480" w:lineRule="auto" w:after="0"/>
        <w:ind w:firstLine="0"/>
      </w:pPr>
      <w:r>
        <w:rPr>
          <w:iCs/>
          <w:i/>
        </w:rPr>
        <w:t xml:space="preserve">Note.</w:t>
      </w:r>
      <w:r>
        <w:t xml:space="preserve"> </w:t>
      </w:r>
      <w:r>
        <w:t xml:space="preserve">Source: OECD–WTO BaTIS, adjustment B. Values are balanced imports in current USD million.</w:t>
      </w:r>
    </w:p>
    <w:p>
      <w:pPr>
        <w:pStyle w:val="BodyText"/>
        <w:spacing w:line="480" w:lineRule="auto" w:after="0"/>
        <w:ind w:firstLine="0"/>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Industry</w:t>
            </w:r>
          </w:p>
        </w:tc>
        <w:tc>
          <w:tcPr/>
          <w:p>
            <w:pPr>
              <w:pStyle w:val="Compact"/>
              <w:spacing w:line="276" w:lineRule="auto"/>
              <w:ind w:firstLine="0"/>
              <w:jc w:val="left"/>
            </w:pPr>
            <w:r>
              <w:rPr>
                <w:rFonts w:ascii="Times New Roman" w:hAnsi="Times New Roman" w:eastAsia="Times New Roman"/>
                <w:sz w:val="20"/>
              </w:rPr>
              <w:t xml:space="preserve">2023</w:t>
            </w:r>
          </w:p>
        </w:tc>
        <w:tc>
          <w:tcPr/>
          <w:p>
            <w:pPr>
              <w:pStyle w:val="Compact"/>
              <w:spacing w:line="276" w:lineRule="auto"/>
              <w:ind w:firstLine="0"/>
              <w:jc w:val="left"/>
            </w:pPr>
            <w:r>
              <w:rPr>
                <w:rFonts w:ascii="Times New Roman" w:hAnsi="Times New Roman" w:eastAsia="Times New Roman"/>
                <w:sz w:val="20"/>
              </w:rPr>
              <w:t xml:space="preserve">2024</w:t>
            </w:r>
          </w:p>
        </w:tc>
        <w:tc>
          <w:tcPr/>
          <w:p>
            <w:pPr>
              <w:pStyle w:val="Compact"/>
              <w:spacing w:line="276" w:lineRule="auto"/>
              <w:ind w:firstLine="0"/>
              <w:jc w:val="left"/>
            </w:pPr>
            <w:r>
              <w:rPr>
                <w:rFonts w:ascii="Times New Roman" w:hAnsi="Times New Roman" w:eastAsia="Times New Roman"/>
                <w:sz w:val="20"/>
              </w:rPr>
              <w:t xml:space="preserve">2025</w:t>
            </w:r>
          </w:p>
        </w:tc>
      </w:tr>
      <w:tr>
        <w:tc>
          <w:tcPr/>
          <w:p>
            <w:pPr>
              <w:pStyle w:val="Compact"/>
              <w:spacing w:line="276" w:lineRule="auto"/>
              <w:ind w:firstLine="0"/>
              <w:jc w:val="left"/>
            </w:pPr>
            <w:r>
              <w:rPr>
                <w:rFonts w:ascii="Times New Roman" w:hAnsi="Times New Roman" w:eastAsia="Times New Roman"/>
                <w:sz w:val="20"/>
              </w:rPr>
              <w:t xml:space="preserve">NACE M professional services</w:t>
            </w:r>
          </w:p>
        </w:tc>
        <w:tc>
          <w:tcPr/>
          <w:p>
            <w:pPr>
              <w:pStyle w:val="Compact"/>
              <w:spacing w:line="276" w:lineRule="auto"/>
              <w:ind w:firstLine="0"/>
              <w:jc w:val="left"/>
            </w:pPr>
            <w:r>
              <w:rPr>
                <w:rFonts w:ascii="Times New Roman" w:hAnsi="Times New Roman" w:eastAsia="Times New Roman"/>
                <w:sz w:val="20"/>
              </w:rPr>
              <w:t xml:space="preserve">4.55%</w:t>
            </w:r>
          </w:p>
        </w:tc>
        <w:tc>
          <w:tcPr/>
          <w:p>
            <w:pPr>
              <w:pStyle w:val="Compact"/>
              <w:spacing w:line="276" w:lineRule="auto"/>
              <w:ind w:firstLine="0"/>
              <w:jc w:val="left"/>
            </w:pPr>
            <w:r>
              <w:rPr>
                <w:rFonts w:ascii="Times New Roman" w:hAnsi="Times New Roman" w:eastAsia="Times New Roman"/>
                <w:sz w:val="20"/>
              </w:rPr>
              <w:t xml:space="preserve">11.51%</w:t>
            </w:r>
          </w:p>
        </w:tc>
        <w:tc>
          <w:tcPr/>
          <w:p>
            <w:pPr>
              <w:pStyle w:val="Compact"/>
              <w:spacing w:line="276" w:lineRule="auto"/>
              <w:ind w:firstLine="0"/>
              <w:jc w:val="left"/>
            </w:pPr>
            <w:r>
              <w:rPr>
                <w:rFonts w:ascii="Times New Roman" w:hAnsi="Times New Roman" w:eastAsia="Times New Roman"/>
                <w:sz w:val="20"/>
              </w:rPr>
              <w:t xml:space="preserve">17.74%</w:t>
            </w:r>
          </w:p>
        </w:tc>
      </w:tr>
      <w:tr>
        <w:tc>
          <w:tcPr/>
          <w:p>
            <w:pPr>
              <w:pStyle w:val="Compact"/>
              <w:spacing w:line="276" w:lineRule="auto"/>
              <w:ind w:firstLine="0"/>
              <w:jc w:val="left"/>
            </w:pPr>
            <w:r>
              <w:rPr>
                <w:rFonts w:ascii="Times New Roman" w:hAnsi="Times New Roman" w:eastAsia="Times New Roman"/>
                <w:sz w:val="20"/>
              </w:rPr>
              <w:t xml:space="preserve">NACE F construction</w:t>
            </w:r>
          </w:p>
        </w:tc>
        <w:tc>
          <w:tcPr/>
          <w:p>
            <w:pPr>
              <w:pStyle w:val="Compact"/>
              <w:spacing w:line="276" w:lineRule="auto"/>
              <w:ind w:firstLine="0"/>
              <w:jc w:val="left"/>
            </w:pPr>
            <w:r>
              <w:rPr>
                <w:rFonts w:ascii="Times New Roman" w:hAnsi="Times New Roman" w:eastAsia="Times New Roman"/>
                <w:sz w:val="20"/>
              </w:rPr>
              <w:t xml:space="preserve">0.58%</w:t>
            </w:r>
          </w:p>
        </w:tc>
        <w:tc>
          <w:tcPr/>
          <w:p>
            <w:pPr>
              <w:pStyle w:val="Compact"/>
              <w:spacing w:line="276" w:lineRule="auto"/>
              <w:ind w:firstLine="0"/>
              <w:jc w:val="left"/>
            </w:pPr>
            <w:r>
              <w:rPr>
                <w:rFonts w:ascii="Times New Roman" w:hAnsi="Times New Roman" w:eastAsia="Times New Roman"/>
                <w:sz w:val="20"/>
              </w:rPr>
              <w:t xml:space="preserve">2.42%</w:t>
            </w:r>
          </w:p>
        </w:tc>
        <w:tc>
          <w:tcPr/>
          <w:p>
            <w:pPr>
              <w:pStyle w:val="Compact"/>
              <w:spacing w:line="276" w:lineRule="auto"/>
              <w:ind w:firstLine="0"/>
              <w:jc w:val="left"/>
            </w:pPr>
            <w:r>
              <w:rPr>
                <w:rFonts w:ascii="Times New Roman" w:hAnsi="Times New Roman" w:eastAsia="Times New Roman"/>
                <w:sz w:val="20"/>
              </w:rPr>
              <w:t xml:space="preserve">3.25%</w:t>
            </w:r>
          </w:p>
        </w:tc>
      </w:tr>
    </w:tbl>
    <w:p>
      <w:pPr>
        <w:pStyle w:val="BodyText"/>
        <w:spacing w:line="480" w:lineRule="auto" w:after="0"/>
        <w:ind w:firstLine="0"/>
      </w:pPr>
      <w:r>
        <w:rPr>
          <w:iCs/>
          <w:i/>
        </w:rPr>
        <w:t xml:space="preserve">Note.</w:t>
      </w:r>
      <w:r>
        <w:t xml:space="preserve"> </w:t>
      </w:r>
      <w:r>
        <w:t xml:space="preserve">Source: Eurostat isoc_eb_ain2, enterprises with at least ten persons.</w:t>
      </w:r>
    </w:p>
    <w:p>
      <w:pPr>
        <w:pStyle w:val="BodyText"/>
        <w:spacing w:line="480" w:lineRule="auto" w:after="0"/>
        <w:ind w:firstLine="0"/>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Outcome/specification</w:t>
            </w:r>
          </w:p>
        </w:tc>
        <w:tc>
          <w:tcPr/>
          <w:p>
            <w:pPr>
              <w:pStyle w:val="Compact"/>
              <w:spacing w:line="276" w:lineRule="auto"/>
              <w:ind w:firstLine="0"/>
              <w:jc w:val="left"/>
            </w:pPr>
            <w:r>
              <w:rPr>
                <w:rFonts w:ascii="Times New Roman" w:hAnsi="Times New Roman" w:eastAsia="Times New Roman"/>
                <w:sz w:val="20"/>
              </w:rPr>
              <w:t xml:space="preserve">Coefficient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Indian SJ3, Post × ΔM TNLG</w:t>
            </w:r>
          </w:p>
        </w:tc>
        <w:tc>
          <w:tcPr/>
          <w:p>
            <w:pPr>
              <w:pStyle w:val="Compact"/>
              <w:spacing w:line="276" w:lineRule="auto"/>
              <w:ind w:firstLine="0"/>
              <w:jc w:val="left"/>
            </w:pPr>
            <w:r>
              <w:rPr>
                <w:rFonts w:ascii="Times New Roman" w:hAnsi="Times New Roman" w:eastAsia="Times New Roman"/>
                <w:sz w:val="20"/>
              </w:rPr>
              <w:t xml:space="preserve">0.021*** (0.008)</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Pooled Mode-1 SJ3, Post-2024 × ΔM TNLG</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Chinese construction services (SE)</w:t>
            </w:r>
          </w:p>
        </w:tc>
        <w:tc>
          <w:tcPr/>
          <w:p>
            <w:pPr>
              <w:pStyle w:val="Compact"/>
              <w:spacing w:line="276" w:lineRule="auto"/>
              <w:ind w:firstLine="0"/>
              <w:jc w:val="left"/>
            </w:pPr>
            <w:r>
              <w:rPr>
                <w:rFonts w:ascii="Times New Roman" w:hAnsi="Times New Roman" w:eastAsia="Times New Roman"/>
                <w:sz w:val="20"/>
              </w:rPr>
              <w:t xml:space="preserve">−0.008 (0.009)</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Chinese SJ3</w:t>
            </w:r>
          </w:p>
        </w:tc>
        <w:tc>
          <w:tcPr/>
          <w:p>
            <w:pPr>
              <w:pStyle w:val="Compact"/>
              <w:spacing w:line="276" w:lineRule="auto"/>
              <w:ind w:firstLine="0"/>
              <w:jc w:val="left"/>
            </w:pPr>
            <w:r>
              <w:rPr>
                <w:rFonts w:ascii="Times New Roman" w:hAnsi="Times New Roman" w:eastAsia="Times New Roman"/>
                <w:sz w:val="20"/>
              </w:rPr>
              <w:t xml:space="preserve">0.005 (0.010)</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Indian computer services comparison</w:t>
            </w:r>
          </w:p>
        </w:tc>
        <w:tc>
          <w:tcPr/>
          <w:p>
            <w:pPr>
              <w:pStyle w:val="Compact"/>
              <w:spacing w:line="276" w:lineRule="auto"/>
              <w:ind w:firstLine="0"/>
              <w:jc w:val="left"/>
            </w:pPr>
            <w:r>
              <w:rPr>
                <w:rFonts w:ascii="Times New Roman" w:hAnsi="Times New Roman" w:eastAsia="Times New Roman"/>
                <w:sz w:val="20"/>
              </w:rPr>
              <w:t xml:space="preserve">−0.002 (0.006)</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Generic any-AI comparison</w:t>
            </w:r>
          </w:p>
        </w:tc>
        <w:tc>
          <w:tcPr/>
          <w:p>
            <w:pPr>
              <w:pStyle w:val="Compact"/>
              <w:spacing w:line="276" w:lineRule="auto"/>
              <w:ind w:firstLine="0"/>
              <w:jc w:val="left"/>
            </w:pPr>
            <w:r>
              <w:rPr>
                <w:rFonts w:ascii="Times New Roman" w:hAnsi="Times New Roman" w:eastAsia="Times New Roman"/>
                <w:sz w:val="20"/>
              </w:rPr>
              <w:t xml:space="preserve">0.000 (0.006)</w:t>
            </w:r>
          </w:p>
        </w:tc>
        <w:tc>
          <w:tcPr/>
          <w:p>
            <w:pPr>
              <w:pStyle w:val="Compact"/>
              <w:spacing w:line="276" w:lineRule="auto"/>
              <w:ind w:firstLine="0"/>
              <w:jc w:val="left"/>
            </w:pPr>
            <w:r>
              <w:rPr>
                <w:rFonts w:ascii="Times New Roman" w:hAnsi="Times New Roman" w:eastAsia="Times New Roman"/>
                <w:sz w:val="20"/>
              </w:rPr>
              <w:t xml:space="preserve">336</w:t>
            </w:r>
          </w:p>
        </w:tc>
      </w:tr>
    </w:tbl>
    <w:p>
      <w:pPr>
        <w:pStyle w:val="BodyText"/>
        <w:spacing w:line="480" w:lineRule="auto" w:after="0"/>
        <w:ind w:firstLine="0"/>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w:t>
            </w:r>
          </w:p>
        </w:tc>
        <w:tc>
          <w:tcPr/>
          <w:p>
            <w:pPr>
              <w:pStyle w:val="Compact"/>
              <w:spacing w:line="276" w:lineRule="auto"/>
              <w:ind w:firstLine="0"/>
              <w:jc w:val="left"/>
            </w:pPr>
            <w:r>
              <w:rPr>
                <w:rFonts w:ascii="Times New Roman" w:hAnsi="Times New Roman" w:eastAsia="Times New Roman"/>
                <w:sz w:val="20"/>
              </w:rPr>
              <w:t xml:space="preserve">Post-2024 × ΔTNLG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Log M71 turnover</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employment</w:t>
            </w:r>
          </w:p>
        </w:tc>
        <w:tc>
          <w:tcPr/>
          <w:p>
            <w:pPr>
              <w:pStyle w:val="Compact"/>
              <w:spacing w:line="276" w:lineRule="auto"/>
              <w:ind w:firstLine="0"/>
              <w:jc w:val="left"/>
            </w:pPr>
            <w:r>
              <w:rPr>
                <w:rFonts w:ascii="Times New Roman" w:hAnsi="Times New Roman" w:eastAsia="Times New Roman"/>
                <w:sz w:val="20"/>
              </w:rPr>
              <w:t xml:space="preserve">−0.000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wages</w:t>
            </w:r>
          </w:p>
        </w:tc>
        <w:tc>
          <w:tcPr/>
          <w:p>
            <w:pPr>
              <w:pStyle w:val="Compact"/>
              <w:spacing w:line="276" w:lineRule="auto"/>
              <w:ind w:firstLine="0"/>
              <w:jc w:val="left"/>
            </w:pPr>
            <w:r>
              <w:rPr>
                <w:rFonts w:ascii="Times New Roman" w:hAnsi="Times New Roman" w:eastAsia="Times New Roman"/>
                <w:sz w:val="20"/>
              </w:rPr>
              <w:t xml:space="preserve">−0.009***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value added</w:t>
            </w:r>
          </w:p>
        </w:tc>
        <w:tc>
          <w:tcPr/>
          <w:p>
            <w:pPr>
              <w:pStyle w:val="Compact"/>
              <w:spacing w:line="276" w:lineRule="auto"/>
              <w:ind w:firstLine="0"/>
              <w:jc w:val="left"/>
            </w:pPr>
            <w:r>
              <w:rPr>
                <w:rFonts w:ascii="Times New Roman" w:hAnsi="Times New Roman" w:eastAsia="Times New Roman"/>
                <w:sz w:val="20"/>
              </w:rPr>
              <w:t xml:space="preserve">−0.006***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construction turnover (comparison)</w:t>
            </w:r>
          </w:p>
        </w:tc>
        <w:tc>
          <w:tcPr/>
          <w:p>
            <w:pPr>
              <w:pStyle w:val="Compact"/>
              <w:spacing w:line="276" w:lineRule="auto"/>
              <w:ind w:firstLine="0"/>
              <w:jc w:val="left"/>
            </w:pPr>
            <w:r>
              <w:rPr>
                <w:rFonts w:ascii="Times New Roman" w:hAnsi="Times New Roman" w:eastAsia="Times New Roman"/>
                <w:sz w:val="20"/>
              </w:rPr>
              <w:t xml:space="preserve">−0.010*** (0.003)</w:t>
            </w:r>
          </w:p>
        </w:tc>
        <w:tc>
          <w:tcPr/>
          <w:p>
            <w:pPr>
              <w:pStyle w:val="Compact"/>
              <w:spacing w:line="276" w:lineRule="auto"/>
              <w:ind w:firstLine="0"/>
              <w:jc w:val="left"/>
            </w:pPr>
            <w:r>
              <w:rPr>
                <w:rFonts w:ascii="Times New Roman" w:hAnsi="Times New Roman" w:eastAsia="Times New Roman"/>
                <w:sz w:val="20"/>
              </w:rPr>
              <w:t xml:space="preserve">68</w:t>
            </w:r>
          </w:p>
        </w:tc>
      </w:tr>
    </w:tbl>
    <w:p>
      <w:pPr>
        <w:pStyle w:val="BodyText"/>
        <w:spacing w:line="480" w:lineRule="auto" w:after="0"/>
        <w:ind w:firstLine="0"/>
      </w:pPr>
      <w:r>
        <w:rPr>
          <w:iCs/>
          <w:i/>
        </w:rPr>
        <w:t xml:space="preserve">Note.</w:t>
      </w:r>
      <w:r>
        <w:t xml:space="preserve"> </w:t>
      </w:r>
      <w:r>
        <w:t xml:space="preserve">Country and year fixed effects; standard errors clustered by country.</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EU destination group</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Lower ΔTNLG</w:t>
            </w:r>
          </w:p>
        </w:tc>
        <w:tc>
          <w:tcPr/>
          <w:p>
            <w:pPr>
              <w:pStyle w:val="Compact"/>
              <w:spacing w:line="276" w:lineRule="auto"/>
              <w:ind w:firstLine="0"/>
              <w:jc w:val="left"/>
            </w:pPr>
            <w:r>
              <w:rPr>
                <w:rFonts w:ascii="Times New Roman" w:hAnsi="Times New Roman" w:eastAsia="Times New Roman"/>
                <w:sz w:val="20"/>
              </w:rPr>
              <w:t xml:space="preserve">571.9</w:t>
            </w:r>
          </w:p>
        </w:tc>
        <w:tc>
          <w:tcPr/>
          <w:p>
            <w:pPr>
              <w:pStyle w:val="Compact"/>
              <w:spacing w:line="276" w:lineRule="auto"/>
              <w:ind w:firstLine="0"/>
              <w:jc w:val="left"/>
            </w:pPr>
            <w:r>
              <w:rPr>
                <w:rFonts w:ascii="Times New Roman" w:hAnsi="Times New Roman" w:eastAsia="Times New Roman"/>
                <w:sz w:val="20"/>
              </w:rPr>
              <w:t xml:space="preserve">946.2</w:t>
            </w:r>
          </w:p>
        </w:tc>
        <w:tc>
          <w:tcPr/>
          <w:p>
            <w:pPr>
              <w:pStyle w:val="Compact"/>
              <w:spacing w:line="276" w:lineRule="auto"/>
              <w:ind w:firstLine="0"/>
              <w:jc w:val="left"/>
            </w:pPr>
            <w:r>
              <w:rPr>
                <w:rFonts w:ascii="Times New Roman" w:hAnsi="Times New Roman" w:eastAsia="Times New Roman"/>
                <w:sz w:val="20"/>
              </w:rPr>
              <w:t xml:space="preserve">65.4%</w:t>
            </w:r>
          </w:p>
        </w:tc>
      </w:tr>
      <w:tr>
        <w:tc>
          <w:tcPr/>
          <w:p>
            <w:pPr>
              <w:pStyle w:val="Compact"/>
              <w:spacing w:line="276" w:lineRule="auto"/>
              <w:ind w:firstLine="0"/>
              <w:jc w:val="left"/>
            </w:pPr>
            <w:r>
              <w:rPr>
                <w:rFonts w:ascii="Times New Roman" w:hAnsi="Times New Roman" w:eastAsia="Times New Roman"/>
                <w:sz w:val="20"/>
              </w:rPr>
              <w:t xml:space="preserve">Higher ΔTNLG</w:t>
            </w:r>
          </w:p>
        </w:tc>
        <w:tc>
          <w:tcPr/>
          <w:p>
            <w:pPr>
              <w:pStyle w:val="Compact"/>
              <w:spacing w:line="276" w:lineRule="auto"/>
              <w:ind w:firstLine="0"/>
              <w:jc w:val="left"/>
            </w:pPr>
            <w:r>
              <w:rPr>
                <w:rFonts w:ascii="Times New Roman" w:hAnsi="Times New Roman" w:eastAsia="Times New Roman"/>
                <w:sz w:val="20"/>
              </w:rPr>
              <w:t xml:space="preserve">679.9</w:t>
            </w:r>
          </w:p>
        </w:tc>
        <w:tc>
          <w:tcPr/>
          <w:p>
            <w:pPr>
              <w:pStyle w:val="Compact"/>
              <w:spacing w:line="276" w:lineRule="auto"/>
              <w:ind w:firstLine="0"/>
              <w:jc w:val="left"/>
            </w:pPr>
            <w:r>
              <w:rPr>
                <w:rFonts w:ascii="Times New Roman" w:hAnsi="Times New Roman" w:eastAsia="Times New Roman"/>
                <w:sz w:val="20"/>
              </w:rPr>
              <w:t xml:space="preserve">1,002.6</w:t>
            </w:r>
          </w:p>
        </w:tc>
        <w:tc>
          <w:tcPr/>
          <w:p>
            <w:pPr>
              <w:pStyle w:val="Compact"/>
              <w:spacing w:line="276" w:lineRule="auto"/>
              <w:ind w:firstLine="0"/>
              <w:jc w:val="left"/>
            </w:pPr>
            <w:r>
              <w:rPr>
                <w:rFonts w:ascii="Times New Roman" w:hAnsi="Times New Roman" w:eastAsia="Times New Roman"/>
                <w:sz w:val="20"/>
              </w:rPr>
              <w:t xml:space="preserve">47.5%</w:t>
            </w:r>
          </w:p>
        </w:tc>
      </w:tr>
    </w:tbl>
    <w:p>
      <w:pPr>
        <w:pStyle w:val="BodyText"/>
        <w:spacing w:line="480" w:lineRule="auto" w:after="0"/>
        <w:ind w:firstLine="0"/>
      </w:pPr>
      <w:r>
        <w:rPr>
          <w:iCs/>
          <w:i/>
        </w:rPr>
        <w:t xml:space="preserve">Note.</w:t>
      </w:r>
      <w:r>
        <w:t xml:space="preserve"> </w:t>
      </w:r>
      <w:r>
        <w:t xml:space="preserve">Source: OECD–WTO BaTIS SE. Groups split at the importer median change in NACE M TNLG.</w:t>
      </w:r>
    </w:p>
    <w:p>
      <w:pPr>
        <w:pStyle w:val="BodyText"/>
        <w:spacing w:line="480" w:lineRule="auto" w:after="0"/>
        <w:ind w:firstLine="0"/>
      </w:pPr>
      <w:r>
        <w:rPr>
          <w:bCs/>
          <w:b/>
        </w:rPr>
        <w:t xml:space="preserve">Table 6.</w:t>
      </w:r>
      <w:r>
        <w:t xml:space="preserve"> </w:t>
      </w:r>
      <w:r>
        <w:t xml:space="preserve">Interpretation boundary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spacing w:line="276" w:lineRule="auto"/>
              <w:ind w:firstLine="0"/>
              <w:jc w:val="left"/>
            </w:pPr>
            <w:r>
              <w:rPr>
                <w:rFonts w:ascii="Times New Roman" w:hAnsi="Times New Roman" w:eastAsia="Times New Roman"/>
                <w:sz w:val="20"/>
              </w:rPr>
              <w:t xml:space="preserve">Supported by the data</w:t>
            </w:r>
          </w:p>
        </w:tc>
        <w:tc>
          <w:tcPr/>
          <w:p>
            <w:pPr>
              <w:pStyle w:val="Compact"/>
              <w:spacing w:line="276" w:lineRule="auto"/>
              <w:ind w:firstLine="0"/>
              <w:jc w:val="left"/>
            </w:pPr>
            <w:r>
              <w:rPr>
                <w:rFonts w:ascii="Times New Roman" w:hAnsi="Times New Roman" w:eastAsia="Times New Roman"/>
                <w:sz w:val="20"/>
              </w:rPr>
              <w:t xml:space="preserve">Not identified</w:t>
            </w:r>
          </w:p>
        </w:tc>
      </w:tr>
      <w:tr>
        <w:tc>
          <w:tcPr/>
          <w:p>
            <w:pPr>
              <w:pStyle w:val="Compact"/>
              <w:spacing w:line="276" w:lineRule="auto"/>
              <w:ind w:firstLine="0"/>
              <w:jc w:val="left"/>
            </w:pPr>
            <w:r>
              <w:rPr>
                <w:rFonts w:ascii="Times New Roman" w:hAnsi="Times New Roman" w:eastAsia="Times New Roman"/>
                <w:sz w:val="20"/>
              </w:rPr>
              <w:t xml:space="preserve">Two-way UK–India and UK–China service trends</w:t>
            </w:r>
          </w:p>
        </w:tc>
        <w:tc>
          <w:tcPr/>
          <w:p>
            <w:pPr>
              <w:pStyle w:val="Compact"/>
              <w:spacing w:line="276" w:lineRule="auto"/>
              <w:ind w:firstLine="0"/>
              <w:jc w:val="left"/>
            </w:pPr>
            <w:r>
              <w:rPr>
                <w:rFonts w:ascii="Times New Roman" w:hAnsi="Times New Roman" w:eastAsia="Times New Roman"/>
                <w:sz w:val="20"/>
              </w:rPr>
              <w:t xml:space="preserve">AI causing those bilateral changes</w:t>
            </w:r>
          </w:p>
        </w:tc>
      </w:tr>
      <w:tr>
        <w:tc>
          <w:tcPr/>
          <w:p>
            <w:pPr>
              <w:pStyle w:val="Compact"/>
              <w:spacing w:line="276" w:lineRule="auto"/>
              <w:ind w:firstLine="0"/>
              <w:jc w:val="left"/>
            </w:pPr>
            <w:r>
              <w:rPr>
                <w:rFonts w:ascii="Times New Roman" w:hAnsi="Times New Roman" w:eastAsia="Times New Roman"/>
                <w:sz w:val="20"/>
              </w:rPr>
              <w:t xml:space="preserve">EU importer NLG associated with Indian SJ3</w:t>
            </w:r>
          </w:p>
        </w:tc>
        <w:tc>
          <w:tcPr/>
          <w:p>
            <w:pPr>
              <w:pStyle w:val="Compact"/>
              <w:spacing w:line="276" w:lineRule="auto"/>
              <w:ind w:firstLine="0"/>
              <w:jc w:val="left"/>
            </w:pPr>
            <w:r>
              <w:rPr>
                <w:rFonts w:ascii="Times New Roman" w:hAnsi="Times New Roman" w:eastAsia="Times New Roman"/>
                <w:sz w:val="20"/>
              </w:rPr>
              <w:t xml:space="preserve">Civil-specific SJ312 invoices</w:t>
            </w:r>
          </w:p>
        </w:tc>
      </w:tr>
      <w:tr>
        <w:tc>
          <w:tcPr/>
          <w:p>
            <w:pPr>
              <w:pStyle w:val="Compact"/>
              <w:spacing w:line="276" w:lineRule="auto"/>
              <w:ind w:firstLine="0"/>
              <w:jc w:val="left"/>
            </w:pPr>
            <w:r>
              <w:rPr>
                <w:rFonts w:ascii="Times New Roman" w:hAnsi="Times New Roman" w:eastAsia="Times New Roman"/>
                <w:sz w:val="20"/>
              </w:rPr>
              <w:t xml:space="preserve">Null Chinese construction-service comparison</w:t>
            </w:r>
          </w:p>
        </w:tc>
        <w:tc>
          <w:tcPr/>
          <w:p>
            <w:pPr>
              <w:pStyle w:val="Compact"/>
              <w:spacing w:line="276" w:lineRule="auto"/>
              <w:ind w:firstLine="0"/>
              <w:jc w:val="left"/>
            </w:pPr>
            <w:r>
              <w:rPr>
                <w:rFonts w:ascii="Times New Roman" w:hAnsi="Times New Roman" w:eastAsia="Times New Roman"/>
                <w:sz w:val="20"/>
              </w:rPr>
              <w:t xml:space="preserve">India replacing Chinese or UK civil engineers</w:t>
            </w:r>
          </w:p>
        </w:tc>
      </w:tr>
      <w:tr>
        <w:tc>
          <w:tcPr/>
          <w:p>
            <w:pPr>
              <w:pStyle w:val="Compact"/>
              <w:spacing w:line="276" w:lineRule="auto"/>
              <w:ind w:firstLine="0"/>
              <w:jc w:val="left"/>
            </w:pPr>
            <w:r>
              <w:rPr>
                <w:rFonts w:ascii="Times New Roman" w:hAnsi="Times New Roman" w:eastAsia="Times New Roman"/>
                <w:sz w:val="20"/>
              </w:rPr>
              <w:t xml:space="preserve">M71 outcomes associated with importer NLG</w:t>
            </w:r>
          </w:p>
        </w:tc>
        <w:tc>
          <w:tcPr/>
          <w:p>
            <w:pPr>
              <w:pStyle w:val="Compact"/>
              <w:spacing w:line="276" w:lineRule="auto"/>
              <w:ind w:firstLine="0"/>
              <w:jc w:val="left"/>
            </w:pPr>
            <w:r>
              <w:rPr>
                <w:rFonts w:ascii="Times New Roman" w:hAnsi="Times New Roman" w:eastAsia="Times New Roman"/>
                <w:sz w:val="20"/>
              </w:rPr>
              <w:t xml:space="preserve">Bilateral employment or GDP effects</w:t>
            </w:r>
          </w:p>
        </w:tc>
      </w:tr>
    </w:tbl>
    <w:p>
      <w:pPr>
        <w:pStyle w:val="BodyText"/>
        <w:spacing w:line="480" w:lineRule="auto" w:after="0"/>
        <w:ind w:firstLine="0"/>
      </w:pPr>
      <w:r>
        <w:rPr>
          <w:iCs/>
          <w:i/>
        </w:rPr>
        <w:t xml:space="preserve">Note.</w:t>
      </w:r>
      <w:r>
        <w:t xml:space="preserve"> </w:t>
      </w:r>
      <w:r>
        <w:t xml:space="preserve">The table restates the claim boundary; it is not an additional statistical test.</w:t>
      </w:r>
    </w:p>
    <w:bookmarkEnd w:id="56"/>
    <w:bookmarkStart w:id="57" w:name="figure-captions"/>
    <w:p>
      <w:pPr>
        <w:pStyle w:val="Heading2"/>
        <w:spacing w:line="480" w:lineRule="auto"/>
        <w:ind w:firstLine="0"/>
      </w:pPr>
      <w:r>
        <w:rPr>
          <w:rFonts w:ascii="Times New Roman" w:hAnsi="Times New Roman" w:eastAsia="Times New Roman"/>
          <w:b/>
          <w:sz w:val="24"/>
        </w:rPr>
        <w:t xml:space="preserve">Figure captions</w:t>
      </w:r>
    </w:p>
    <w:p>
      <w:pPr>
        <w:pStyle w:val="FirstParagraph"/>
        <w:spacing w:line="480" w:lineRule="auto" w:after="0"/>
        <w:ind w:firstLine="0"/>
      </w:pPr>
      <w:r>
        <w:rPr>
          <w:bCs/>
          <w:b/>
        </w:rPr>
        <w:t xml:space="preserve">Figure 1.</w:t>
      </w:r>
      <w:r>
        <w:t xml:space="preserve"> </w:t>
      </w:r>
      <w:r>
        <w:t xml:space="preserve">The United Kingdom’s SJ3 service corridors with India and China, 2015–2024 (2019 = 100).</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BodyText"/>
        <w:spacing w:line="480" w:lineRule="auto" w:after="0"/>
        <w:ind w:firstLine="0"/>
      </w:pPr>
      <w:r>
        <w:rPr>
          <w:bCs/>
          <w:b/>
        </w:rPr>
        <w:t xml:space="preserve">Figure 5.</w:t>
      </w:r>
      <w:r>
        <w:t xml:space="preserve"> </w:t>
      </w:r>
      <w:r>
        <w:t xml:space="preserve">M71 and construction turnover growth, 2021–2024.</w:t>
      </w:r>
    </w:p>
    <w:bookmarkEnd w:id="57"/>
    <w:bookmarkStart w:id="73" w:name="figures"/>
    <w:p>
      <w:pPr>
        <w:pStyle w:val="Heading2"/>
        <w:spacing w:line="480" w:lineRule="auto"/>
        <w:ind w:firstLine="0"/>
      </w:pPr>
      <w:r>
        <w:rPr>
          <w:rFonts w:ascii="Times New Roman" w:hAnsi="Times New Roman" w:eastAsia="Times New Roman"/>
          <w:b/>
          <w:sz w:val="24"/>
        </w:rPr>
        <w:t xml:space="preserve">Figures</w:t>
      </w:r>
    </w:p>
    <w:p>
      <w:pPr>
        <w:pStyle w:val="FirstParagraph"/>
        <w:spacing w:line="480" w:lineRule="auto" w:after="0"/>
        <w:ind w:firstLine="720"/>
      </w:pPr>
      <w:r>
        <w:rPr>
          <w:rFonts w:ascii="Times New Roman" w:hAnsi="Times New Roman" w:eastAsia="Times New Roman"/>
          <w:sz w:val="24"/>
        </w:rPr>
        <w:t xml:space="preserve">Figures are supplied as separate 300 dpi PNG files (</w:t>
      </w:r>
      <w:r>
        <w:rPr>
          <w:rStyle w:val="VerbatimChar"/>
          <w:rFonts w:ascii="Times New Roman" w:hAnsi="Times New Roman" w:eastAsia="Times New Roman"/>
          <w:sz w:val="24"/>
        </w:rPr>
        <w:t xml:space="preserve">Figure1.png</w:t>
      </w:r>
      <w:r>
        <w:rPr>
          <w:rFonts w:ascii="Times New Roman" w:hAnsi="Times New Roman" w:eastAsia="Times New Roman"/>
          <w:sz w:val="24"/>
        </w:rPr>
        <w:t xml:space="preserve">–</w:t>
      </w:r>
      <w:r>
        <w:rPr>
          <w:rStyle w:val="VerbatimChar"/>
          <w:rFonts w:ascii="Times New Roman" w:hAnsi="Times New Roman" w:eastAsia="Times New Roman"/>
          <w:sz w:val="24"/>
        </w:rPr>
        <w:t xml:space="preserve">Figure5.png</w:t>
      </w:r>
      <w:r>
        <w:rPr>
          <w:rFonts w:ascii="Times New Roman" w:hAnsi="Times New Roman" w:eastAsia="Times New Roman"/>
          <w:sz w:val="24"/>
        </w:rPr>
        <w:t xml:space="preserve">) and are repeated below for the convenience of reviewers.</w:t>
      </w:r>
    </w:p>
    <w:p>
      <w:pPr>
        <w:pStyle w:val="BodyText"/>
        <w:spacing w:line="480" w:lineRule="auto" w:after="0"/>
        <w:ind w:firstLine="0"/>
      </w:pPr>
      <w:r>
        <w:rPr>
          <w:bCs/>
          <w:b/>
        </w:rPr>
        <w:t xml:space="preserve">Figure 1.</w:t>
      </w:r>
      <w:r>
        <w:t xml:space="preserve"> </w:t>
      </w:r>
      <w:r>
        <w:t xml:space="preserve">The United Kingdom’s SJ3 service corridors with India and China, 2015–2024 (2019 = 100).</w:t>
      </w:r>
    </w:p>
    <w:p>
      <w:pPr>
        <w:pStyle w:val="CaptionedFigure"/>
        <w:spacing w:line="480" w:lineRule="auto" w:after="0"/>
        <w:ind w:firstLine="0"/>
      </w:pPr>
      <w:r>
        <w:drawing>
          <wp:inline>
            <wp:extent cx="5580000" cy="3335869"/>
            <wp:effectExtent b="0" l="0" r="0" t="0"/>
            <wp:docPr descr="Figure 1" title="" id="59" name="Picture"/>
            <a:graphic>
              <a:graphicData uri="http://schemas.openxmlformats.org/drawingml/2006/picture">
                <pic:pic>
                  <pic:nvPicPr>
                    <pic:cNvPr descr="figures/figure22_uk_india_china_sj3.png" id="60" name="Picture"/>
                    <pic:cNvPicPr>
                      <a:picLocks noChangeArrowheads="1" noChangeAspect="1"/>
                    </pic:cNvPicPr>
                  </pic:nvPicPr>
                  <pic:blipFill>
                    <a:blip r:embed="rId58"/>
                    <a:stretch>
                      <a:fillRect/>
                    </a:stretch>
                  </pic:blipFill>
                  <pic:spPr bwMode="auto">
                    <a:xfrm>
                      <a:off x="0" y="0"/>
                      <a:ext cx="5580000" cy="3335869"/>
                    </a:xfrm>
                    <a:prstGeom prst="rect">
                      <a:avLst/>
                    </a:prstGeom>
                    <a:noFill/>
                    <a:ln w="9525">
                      <a:noFill/>
                      <a:headEnd/>
                      <a:tailEnd/>
                    </a:ln>
                  </pic:spPr>
                </pic:pic>
              </a:graphicData>
            </a:graphic>
          </wp:inline>
        </w:drawing>
      </w:r>
    </w:p>
    <w:p>
      <w:pPr>
        <w:pStyle w:val="ImageCaption"/>
        <w:spacing w:line="480" w:lineRule="auto" w:after="0"/>
        <w:ind w:firstLine="0"/>
      </w:pPr>
      <w:r>
        <w:t xml:space="preserve">Figure 1</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CaptionedFigure"/>
        <w:spacing w:line="480" w:lineRule="auto" w:after="0"/>
        <w:ind w:firstLine="0"/>
      </w:pPr>
      <w:r>
        <w:drawing>
          <wp:inline>
            <wp:extent cx="5580000" cy="2232000"/>
            <wp:effectExtent b="0" l="0" r="0" t="0"/>
            <wp:docPr descr="Figure 2" title="" id="62" name="Picture"/>
            <a:graphic>
              <a:graphicData uri="http://schemas.openxmlformats.org/drawingml/2006/picture">
                <pic:pic>
                  <pic:nvPicPr>
                    <pic:cNvPr descr="figures/figure23_uk_india_china_service_growth.png" id="63" name="Picture"/>
                    <pic:cNvPicPr>
                      <a:picLocks noChangeArrowheads="1" noChangeAspect="1"/>
                    </pic:cNvPicPr>
                  </pic:nvPicPr>
                  <pic:blipFill>
                    <a:blip r:embed="rId61"/>
                    <a:stretch>
                      <a:fillRect/>
                    </a:stretch>
                  </pic:blipFill>
                  <pic:spPr bwMode="auto">
                    <a:xfrm>
                      <a:off x="0" y="0"/>
                      <a:ext cx="5580000" cy="2232000"/>
                    </a:xfrm>
                    <a:prstGeom prst="rect">
                      <a:avLst/>
                    </a:prstGeom>
                    <a:noFill/>
                    <a:ln w="9525">
                      <a:noFill/>
                      <a:headEnd/>
                      <a:tailEnd/>
                    </a:ln>
                  </pic:spPr>
                </pic:pic>
              </a:graphicData>
            </a:graphic>
          </wp:inline>
        </w:drawing>
      </w:r>
    </w:p>
    <w:p>
      <w:pPr>
        <w:pStyle w:val="ImageCaption"/>
        <w:spacing w:line="480" w:lineRule="auto" w:after="0"/>
        <w:ind w:firstLine="0"/>
      </w:pPr>
      <w:r>
        <w:t xml:space="preserve">Figure 2</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CaptionedFigure"/>
        <w:spacing w:line="480" w:lineRule="auto" w:after="0"/>
        <w:ind w:firstLine="0"/>
      </w:pPr>
      <w:r>
        <w:drawing>
          <wp:inline>
            <wp:extent cx="5580000" cy="3188571"/>
            <wp:effectExtent b="0" l="0" r="0" t="0"/>
            <wp:docPr descr="Figure 3" title="" id="65" name="Picture"/>
            <a:graphic>
              <a:graphicData uri="http://schemas.openxmlformats.org/drawingml/2006/picture">
                <pic:pic>
                  <pic:nvPicPr>
                    <pic:cNvPr descr="figures/figure12_tnlg_vs_tml.png" id="66" name="Picture"/>
                    <pic:cNvPicPr>
                      <a:picLocks noChangeArrowheads="1" noChangeAspect="1"/>
                    </pic:cNvPicPr>
                  </pic:nvPicPr>
                  <pic:blipFill>
                    <a:blip r:embed="rId64"/>
                    <a:stretch>
                      <a:fillRect/>
                    </a:stretch>
                  </pic:blipFill>
                  <pic:spPr bwMode="auto">
                    <a:xfrm>
                      <a:off x="0" y="0"/>
                      <a:ext cx="5580000" cy="3188571"/>
                    </a:xfrm>
                    <a:prstGeom prst="rect">
                      <a:avLst/>
                    </a:prstGeom>
                    <a:noFill/>
                    <a:ln w="9525">
                      <a:noFill/>
                      <a:headEnd/>
                      <a:tailEnd/>
                    </a:ln>
                  </pic:spPr>
                </pic:pic>
              </a:graphicData>
            </a:graphic>
          </wp:inline>
        </w:drawing>
      </w:r>
    </w:p>
    <w:p>
      <w:pPr>
        <w:pStyle w:val="ImageCaption"/>
        <w:spacing w:line="480" w:lineRule="auto" w:after="0"/>
        <w:ind w:firstLine="0"/>
      </w:pPr>
      <w:r>
        <w:t xml:space="preserve">Figure 3</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CaptionedFigure"/>
        <w:spacing w:line="480" w:lineRule="auto" w:after="0"/>
        <w:ind w:firstLine="0"/>
      </w:pPr>
      <w:r>
        <w:drawing>
          <wp:inline>
            <wp:extent cx="5580000" cy="3938823"/>
            <wp:effectExtent b="0" l="0" r="0" t="0"/>
            <wp:docPr descr="Figure 4" title="" id="68" name="Picture"/>
            <a:graphic>
              <a:graphicData uri="http://schemas.openxmlformats.org/drawingml/2006/picture">
                <pic:pic>
                  <pic:nvPicPr>
                    <pic:cNvPr descr="figures/figure15_cross_section_tnlg.png" id="69" name="Picture"/>
                    <pic:cNvPicPr>
                      <a:picLocks noChangeArrowheads="1" noChangeAspect="1"/>
                    </pic:cNvPicPr>
                  </pic:nvPicPr>
                  <pic:blipFill>
                    <a:blip r:embed="rId67"/>
                    <a:stretch>
                      <a:fillRect/>
                    </a:stretch>
                  </pic:blipFill>
                  <pic:spPr bwMode="auto">
                    <a:xfrm>
                      <a:off x="0" y="0"/>
                      <a:ext cx="5580000" cy="3938823"/>
                    </a:xfrm>
                    <a:prstGeom prst="rect">
                      <a:avLst/>
                    </a:prstGeom>
                    <a:noFill/>
                    <a:ln w="9525">
                      <a:noFill/>
                      <a:headEnd/>
                      <a:tailEnd/>
                    </a:ln>
                  </pic:spPr>
                </pic:pic>
              </a:graphicData>
            </a:graphic>
          </wp:inline>
        </w:drawing>
      </w:r>
    </w:p>
    <w:p>
      <w:pPr>
        <w:pStyle w:val="ImageCaption"/>
        <w:spacing w:line="480" w:lineRule="auto" w:after="0"/>
        <w:ind w:firstLine="0"/>
      </w:pPr>
      <w:r>
        <w:t xml:space="preserve">Figure 4</w:t>
      </w:r>
    </w:p>
    <w:p>
      <w:pPr>
        <w:pStyle w:val="BodyText"/>
        <w:spacing w:line="480" w:lineRule="auto" w:after="0"/>
        <w:ind w:firstLine="0"/>
      </w:pPr>
      <w:r>
        <w:rPr>
          <w:bCs/>
          <w:b/>
        </w:rPr>
        <w:t xml:space="preserve">Figure 5.</w:t>
      </w:r>
      <w:r>
        <w:t xml:space="preserve"> </w:t>
      </w:r>
      <w:r>
        <w:t xml:space="preserve">M71 and construction turnover growth, 2021–2024.</w:t>
      </w:r>
    </w:p>
    <w:p>
      <w:pPr>
        <w:pStyle w:val="CaptionedFigure"/>
        <w:spacing w:line="480" w:lineRule="auto" w:after="0"/>
        <w:ind w:firstLine="0"/>
      </w:pPr>
      <w:r>
        <w:drawing>
          <wp:inline>
            <wp:extent cx="5580000" cy="3587142"/>
            <wp:effectExtent b="0" l="0" r="0" t="0"/>
            <wp:docPr descr="Figure 5" title="" id="71" name="Picture"/>
            <a:graphic>
              <a:graphicData uri="http://schemas.openxmlformats.org/drawingml/2006/picture">
                <pic:pic>
                  <pic:nvPicPr>
                    <pic:cNvPr descr="figures/figure17_sbs_turnover_m71_vs_F.png" id="72" name="Picture"/>
                    <pic:cNvPicPr>
                      <a:picLocks noChangeArrowheads="1" noChangeAspect="1"/>
                    </pic:cNvPicPr>
                  </pic:nvPicPr>
                  <pic:blipFill>
                    <a:blip r:embed="rId70"/>
                    <a:stretch>
                      <a:fillRect/>
                    </a:stretch>
                  </pic:blipFill>
                  <pic:spPr bwMode="auto">
                    <a:xfrm>
                      <a:off x="0" y="0"/>
                      <a:ext cx="5580000" cy="3587142"/>
                    </a:xfrm>
                    <a:prstGeom prst="rect">
                      <a:avLst/>
                    </a:prstGeom>
                    <a:noFill/>
                    <a:ln w="9525">
                      <a:noFill/>
                      <a:headEnd/>
                      <a:tailEnd/>
                    </a:ln>
                  </pic:spPr>
                </pic:pic>
              </a:graphicData>
            </a:graphic>
          </wp:inline>
        </w:drawing>
      </w:r>
    </w:p>
    <w:p>
      <w:pPr>
        <w:pStyle w:val="ImageCaption"/>
        <w:spacing w:line="480" w:lineRule="auto" w:after="0"/>
        <w:ind w:firstLine="0"/>
      </w:pPr>
      <w:r>
        <w:t xml:space="preserve">Figure 5</w:t>
      </w:r>
    </w:p>
    <w:bookmarkEnd w:id="73"/>
    <w:bookmarkEnd w:id="74"/>
    <w:sectPr w:rsidR="00FC693F" w:rsidRPr="0006063C" w:rsidSect="00034616">
      <w:footerReference w:type="default" r:id="rId9"/>
      <w:headerReference w:type="default" r:id="rId10"/>
      <w:pgSz w:h="16838" w:w="11906"/>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AI and the civil engineering economy</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imes New Roman"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0" w:before="240" w:line="480" w:lineRule="auto"/>
      <w:contextualSpacing/>
    </w:pPr>
    <w:rPr>
      <w:rFonts w:ascii="Times New Roman" w:asciiTheme="majorHAnsi" w:cstheme="majorBidi" w:eastAsia="Times New Roman"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58" Type="http://schemas.openxmlformats.org/officeDocument/2006/relationships/image" Target="media/rId58.png"/><Relationship Id="rId61" Type="http://schemas.openxmlformats.org/officeDocument/2006/relationships/image" Target="media/rId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2026-09-18T11:45:25Z</dcterms:created>
  <dcterms:modified xsi:type="dcterms:W3CDTF">2026-09-18T11:45:25Z</dcterms:modified>
</cp:coreProperties>
</file>

<file path=docProps/custom.xml><?xml version="1.0" encoding="utf-8"?>
<Properties xmlns="http://schemas.openxmlformats.org/officeDocument/2006/custom-properties" xmlns:vt="http://schemas.openxmlformats.org/officeDocument/2006/docPropsVTypes"/>
</file>