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Tables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4"/>
        </w:rPr>
        <w:t>Editable tables for the International Journal of Construction Management. Place each table after the paragraph in which it is first cited, or upload this file as a separate tables document if required by ScholarOne.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1. UK–India and UK–China service corridors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Import flow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Service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2019 (USD m)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2024 (USD m)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Change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India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SJ3 technical and other business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2,186.6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4,979.3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127.7%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SJ3 technical and other business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787.6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1,554.2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97.3%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China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SJ3 technical and other business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775.5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1,546.0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99.3%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SJ3 technical and other business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739.0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954.6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29.2%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India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SE construction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41.9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72.8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73.7%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SE construction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39.3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72.6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84.8%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China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SE construction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118.5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179.8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51.7%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SE construction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54.8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70.8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29.2%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India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SI computer and information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2,215.3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4,723.0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113.2%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SI computer and information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389.2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707.6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81.8%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China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SI computer and information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724.7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1,054.5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45.5%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SI computer and information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1,639.3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2,404.1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46.7%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Source: OECD–WTO BaTIS, adjustment B. Values are balanced imports in current USD million.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2. EU-27 enterprise use of natural-language-generation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Industry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2023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2024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2025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NACE M professional services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4.55%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11.51%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17.74%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NACE F construction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0.58%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2.42%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3.25%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Source: Eurostat isoc_eb_ain2, enterprises with at least ten persons.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3. Selected trade estimates under the NLG shock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Outcome/specification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Coefficient (s.e.)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Indian SJ3, Post × ΔM TNLG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0.021*** (0.008)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119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Pooled Mode-1 SJ3, Post-2024 × ΔM TNLG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0.007** (0.003)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357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Chinese construction services (SE)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−0.008 (0.009)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119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Chinese SJ3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0.005 (0.010)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119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Indian computer services comparison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−0.002 (0.006)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357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Generic any-AI comparison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0.000 (0.006)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336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Importer and year fixed effects; standard errors clustered by importer. The pooled model also contains partner fixed effects. *p &lt; 0.10, **p &lt; 0.05, ***p &lt; 0.01.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4. M71 industry outcomes under the NLG shock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Outcome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Post-2024 × ΔTNLG (s.e.)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M71 turnover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−0.007** (0.003)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M71 employment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−0.000 (0.002)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M71 wages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−0.009*** (0.003)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M71 value added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−0.006*** (0.002)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construction turnover (comparison)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−0.010*** (0.003)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Country and year fixed effects; standard errors clustered by country. *p &lt; 0.10, **p &lt; 0.05, ***p &lt; 0.01.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5. Chinese construction services by importer NLG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EU destination group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2019 (USD m)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2024 (USD m)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Change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Lower ΔTNLG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571.9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946.2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65.4%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Higher ΔTNLG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679.9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1,002.6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47.5%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Source: OECD–WTO BaTIS SE. Groups split at the importer median change in NACE M TNLG.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6. Interpretation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Supported by the data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Not identified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Two-way UK–India and UK–China service trends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AI causing those bilateral changes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EU importer NLG associated with Indian SJ3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Civil-specific SJ312 invoices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Null Chinese construction-service comparison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 replacing Chinese or UK civil engineers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M71 outcomes associated with importer NLG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Bilateral employment or GDP effects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The table restates the claim boundary; it is not an additional statistical test.</w:t>
      </w:r>
    </w:p>
    <w:p/>
    <w:sectPr w:rsidR="00FC693F" w:rsidRPr="0006063C" w:rsidSect="00034616">
      <w:footerReference w:type="default" r:id="rId9"/>
      <w:head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i/>
        <w:sz w:val="20"/>
      </w:rPr>
      <w:t>Tables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480" w:lineRule="auto" w:before="24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