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49.png" ContentType="image/png"/>
  <Override PartName="/word/media/rId106.png" ContentType="image/png"/>
  <Override PartName="/word/media/rId10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Study4_Manuscript</w:t>
      </w:r>
    </w:p>
    <w:bookmarkStart w:id="130" w:name="X52e92c4d5ce47fca8279c91070b3b322e44de81"/>
    <w:p>
      <w:pPr>
        <w:pStyle w:val="Heading1"/>
      </w:pPr>
      <w:r>
        <w:t xml:space="preserve">How Does the Civil Engineering Industry Economy Change under an AI Shock? Evidence from a Cross-Country Stack</w:t>
      </w:r>
    </w:p>
    <w:p>
      <w:pPr>
        <w:pStyle w:val="FirstParagraph"/>
      </w:pPr>
      <w:r>
        <w:t xml:space="preserve">Yuxuan Chai · University of Strathclyde ·</w:t>
      </w:r>
      <w:r>
        <w:t xml:space="preserve"> </w:t>
      </w:r>
      <w:r>
        <w:rPr>
          <w:rStyle w:val="VerbatimChar"/>
        </w:rPr>
        <w:t xml:space="preserve">yuxuanchai98@outlook.com</w:t>
      </w:r>
      <w:r>
        <w:br/>
      </w:r>
      <w:r>
        <w:t xml:space="preserve">Working paper · 17 September 2026</w:t>
      </w:r>
    </w:p>
    <w:p>
      <w:pPr>
        <w:pStyle w:val="BodyText"/>
      </w:pPr>
      <w:r>
        <w:t xml:space="preserve">This article uses</w:t>
      </w:r>
      <w:r>
        <w:t xml:space="preserve"> </w:t>
      </w:r>
      <w:r>
        <w:rPr>
          <w:bCs/>
          <w:b/>
        </w:rPr>
        <w:t xml:space="preserve">only retrieved official series</w:t>
      </w:r>
      <w:r>
        <w:t xml:space="preserve">. No occupation, M71, or GDP cell is interpolated. It is</w:t>
      </w:r>
      <w:r>
        <w:t xml:space="preserve"> </w:t>
      </w:r>
      <w:r>
        <w:rPr>
          <w:bCs/>
          <w:b/>
        </w:rPr>
        <w:t xml:space="preserve">not</w:t>
      </w:r>
      <w:r>
        <w:t xml:space="preserve"> </w:t>
      </w:r>
      <w:r>
        <w:t xml:space="preserve">a reuse of the IJCM large-language-model occupation panel. Exposure is Eloundou et al.; UK employment is ONS APS (status A); the preferred shock is Eurostat</w:t>
      </w:r>
      <w:r>
        <w:t xml:space="preserve"> </w:t>
      </w:r>
      <w:r>
        <w:rPr>
          <w:rStyle w:val="VerbatimChar"/>
        </w:rPr>
        <w:t xml:space="preserve">E_AI_TNLG</w:t>
      </w:r>
      <w:r>
        <w:t xml:space="preserve">; industry outcomes are Eurostat NACE M71; trade is OECD–WTO BaTIS.</w:t>
      </w:r>
    </w:p>
    <w:p>
      <w:pPr>
        <w:pStyle w:val="BodyText"/>
      </w:pPr>
      <w:r>
        <w:rPr>
          <w:bCs/>
          <w:b/>
        </w:rPr>
        <w:t xml:space="preserve">Claim boundary.</w:t>
      </w:r>
      <w:r>
        <w:t xml:space="preserve"> </w:t>
      </w:r>
      <w:r>
        <w:t xml:space="preserve">A decline in UK SOC 2121 does</w:t>
      </w:r>
      <w:r>
        <w:t xml:space="preserve"> </w:t>
      </w:r>
      <w:r>
        <w:rPr>
          <w:bCs/>
          <w:b/>
        </w:rPr>
        <w:t xml:space="preserve">not</w:t>
      </w:r>
      <w:r>
        <w:t xml:space="preserve"> </w:t>
      </w:r>
      <w:r>
        <w:t xml:space="preserve">identify another country’s civil-engineer counts or GDP. ILO does not publish bilateral ISCO 2142.</w:t>
      </w:r>
    </w:p>
    <w:p>
      <w:r>
        <w:pict>
          <v:rect style="width:0;height:1.5pt" o:hralign="center" o:hrstd="t" o:hr="t"/>
        </w:pict>
      </w:r>
    </w:p>
    <w:bookmarkStart w:id="20" w:name="abstract"/>
    <w:p>
      <w:pPr>
        <w:pStyle w:val="Heading2"/>
      </w:pPr>
      <w:r>
        <w:t xml:space="preserve">Abstract</w:t>
      </w:r>
    </w:p>
    <w:p>
      <w:pPr>
        <w:pStyle w:val="FirstParagraph"/>
      </w:pPr>
      <w:r>
        <w:t xml:space="preserve">This paper examines whether the adoption of generative AI is associated with changes in civil-engineering work, engineering consultancies and cross-border technical services. The narrative is organised around the United Kingdom and India. The UK provides occupation-level evidence and a clearly observed trade corridor; India is the principal supplier-side case for remotely delivered services. China is retained only as a comparison for construction services that depend more heavily on physical projects and commercial presence. A panel of 17 EU members supplies the variation used to estimate industry and trade relationships, but those members are not presented as 17 separate country studies.</w:t>
      </w:r>
    </w:p>
    <w:p>
      <w:pPr>
        <w:pStyle w:val="BodyText"/>
      </w:pPr>
      <w:r>
        <w:t xml:space="preserve">Occupation data already disagree with a single “civil engineers collapse” story. Eloundou et al.’s human GPT-exposure score is 0.52 for architectural and civil drafters, 0.477 for civil engineering technologists, and 0.375 for civil engineers. In the UK Annual Population Survey, December 2021–September 2025, CAD/drawing technicians (SOC 3120) fell 23.9%, civil engineers (2121) fell 14.3%, and building and civil technicians (3114) rose 214.5%.</w:t>
      </w:r>
    </w:p>
    <w:p>
      <w:pPr>
        <w:pStyle w:val="BodyText"/>
      </w:pPr>
      <w:r>
        <w:t xml:space="preserve">Industry and trade data disagree with a domestic boom. EU-27 professional NLG use jumped from 4.55% of enterprises in 2023 to 11.51% in 2024 and 17.74% in 2025; construction NLG stayed at 0.58, 2.42 and 3.25. On 17 EU members, post-2024 × ΔTNLG (2023–24) is</w:t>
      </w:r>
      <w:r>
        <w:t xml:space="preserve"> </w:t>
      </w:r>
      <w:r>
        <w:rPr>
          <w:bCs/>
          <w:b/>
        </w:rPr>
        <w:t xml:space="preserve">−0.007</w:t>
      </w:r>
      <w:r>
        <w:t xml:space="preserve"> </w:t>
      </w:r>
      <w:r>
        <w:t xml:space="preserve">(s.e. 0.003) on log M71 net turnover and</w:t>
      </w:r>
      <w:r>
        <w:t xml:space="preserve"> </w:t>
      </w:r>
      <w:r>
        <w:rPr>
          <w:bCs/>
          <w:b/>
        </w:rPr>
        <w:t xml:space="preserve">−0.009</w:t>
      </w:r>
      <w:r>
        <w:t xml:space="preserve"> </w:t>
      </w:r>
      <w:r>
        <w:t xml:space="preserve">on log wages; M71 employment is a precise null. Construction turnover is also negative. By contrast, UK imports of BaTIS SJ3 (technical, trade-related and other business services) from India rose from USD 2.19 billion (2019) to 4.98 billion (2024). In the EU panel, post-2024 × ΔTNLG on log Mode-1 SJ3 is 0.007</w:t>
      </w:r>
      <w:r>
        <w:rPr>
          <w:bCs/>
          <w:b/>
        </w:rPr>
        <w:t xml:space="preserve">; the India corridor is 0.021</w:t>
      </w:r>
      <w:r>
        <w:t xml:space="preserve">*. Generic any-AI (E_AI_TANY) is 0.000 (0.006). Chinese Mode-3 construction services did not reallocate toward high-NLG importers.</w:t>
      </w:r>
    </w:p>
    <w:p>
      <w:pPr>
        <w:pStyle w:val="BodyText"/>
      </w:pPr>
      <w:r>
        <w:t xml:space="preserve">Taken together, the estimates do not show a domestic engineering-consultancy boom in economies where NLG adoption rose most quickly. The clearest cross-border relationship appears instead in technical and other business services imported from India. That finding is narrower than an outsourcing claim: the trade category is broader than civil engineering, and the available data cannot connect changes in UK civil-engineer employment to employment or output in India.</w:t>
      </w:r>
    </w:p>
    <w:p>
      <w:pPr>
        <w:pStyle w:val="BodyText"/>
      </w:pPr>
      <w:r>
        <w:rPr>
          <w:bCs/>
          <w:b/>
        </w:rPr>
        <w:t xml:space="preserve">Keywords:</w:t>
      </w:r>
      <w:r>
        <w:t xml:space="preserve"> </w:t>
      </w:r>
      <w:r>
        <w:t xml:space="preserve">generative AI; civil engineering; NACE M71; Mode 1; BaTIS; Eurostat; cross-country.</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Civil engineering combines office work that can be digitised with delivery that remains tied to a place. Drawings, specifications, calculations and reports resemble tasks on which language models can assist (Eloundou, Manning, Mishkin and Rock 2023, 2024; Felten, Raj and Seamans 2021). Site inspection, statutory responsibility and physical construction do not travel as easily. This distinction matters empirically. An occupation called “civil engineer,” an engineering consultancy classified in NACE M71 and a construction contractor classified in NACE F refer to related but different economic units.</w:t>
      </w:r>
    </w:p>
    <w:p>
      <w:pPr>
        <w:pStyle w:val="BodyText"/>
      </w:pPr>
      <w:r>
        <w:t xml:space="preserve">The research question is therefore specific: when firms adopt natural-language-generation tools, what happens to architectural and engineering businesses at home, and what happens to technical services purchased across borders? The UK is used to describe adjustment within civil occupations. India is the main cross-border case because it is an established supplier of remotely delivered professional services and because the UK–India corridor changes markedly over the sample. China serves a more limited purpose: its construction-services exports offer a useful comparison with project delivery that is less readily supplied through Mode 1.</w:t>
      </w:r>
    </w:p>
    <w:p>
      <w:pPr>
        <w:pStyle w:val="BodyText"/>
      </w:pPr>
      <w:r>
        <w:t xml:space="preserve">The empirical choices follow from this framing. The preferred shock is the change from 2023 to 2024 in Eurostat’s measure of enterprise use of AI for natural-language generation, E_AI_TNLG. The catch-all “any AI” measure is retained as a comparison because it also captures older machine-learning and image technologies. Domestic outcomes are measured for NACE M71 rather than for construction as a whole. Cross-border delivery is separated by GATS mode (WTO 1994; Francois and Hoekman 2010): Indian SJ3 imports approximate a broad Mode-1 technical-services margin, while Chinese construction services provide the contrasting project-delivery margin. The other exporters in the pooled estimation increase statistical coverage but are not independent case studies.</w:t>
      </w:r>
    </w:p>
    <w:p>
      <w:pPr>
        <w:pStyle w:val="BodyText"/>
      </w:pPr>
      <w:r>
        <w:t xml:space="preserve">The contribution lies in joining evidence that is usually studied separately. Occupation-exposure maps describe which tasks might change, but not whether engineering businesses expand or contract. Firm experiments identify productivity effects on selected tasks, but not changes in industry accounts. The present data connect those literatures to realised adoption, M71 turnover and employment, and bilateral services trade. The approach is deliberately modest: it uses the EU panel for estimation while keeping the substantive interpretation centred on the UK–India relationship and the China comparison.</w:t>
      </w:r>
    </w:p>
    <w:p>
      <w:pPr>
        <w:pStyle w:val="BodyText"/>
      </w:pPr>
      <w:r>
        <w:t xml:space="preserve">Replication files are in</w:t>
      </w:r>
      <w:r>
        <w:t xml:space="preserve"> </w:t>
      </w:r>
      <w:r>
        <w:rPr>
          <w:rStyle w:val="VerbatimChar"/>
        </w:rPr>
        <w:t xml:space="preserve">Study4_Article_Complete/</w:t>
      </w:r>
      <w:r>
        <w:t xml:space="preserve"> </w:t>
      </w:r>
      <w:r>
        <w:t xml:space="preserve">(open</w:t>
      </w:r>
      <w:r>
        <w:t xml:space="preserve"> </w:t>
      </w:r>
      <w:r>
        <w:rPr>
          <w:rStyle w:val="VerbatimChar"/>
        </w:rPr>
        <w:t xml:space="preserve">Study4_Manuscript.md</w:t>
      </w:r>
      <w:r>
        <w:t xml:space="preserve">,</w:t>
      </w:r>
      <w:r>
        <w:t xml:space="preserve"> </w:t>
      </w:r>
      <w:r>
        <w:rPr>
          <w:rStyle w:val="VerbatimChar"/>
        </w:rPr>
        <w:t xml:space="preserve">CN_full_article.md</w:t>
      </w:r>
      <w:r>
        <w:t xml:space="preserve">,</w:t>
      </w:r>
      <w:r>
        <w:t xml:space="preserve"> </w:t>
      </w:r>
      <w:r>
        <w:rPr>
          <w:rStyle w:val="VerbatimChar"/>
        </w:rPr>
        <w:t xml:space="preserve">FIGURES.md</w:t>
      </w:r>
      <w:r>
        <w:t xml:space="preserve">, and</w:t>
      </w:r>
      <w:r>
        <w:t xml:space="preserve"> </w:t>
      </w:r>
      <w:r>
        <w:rPr>
          <w:rStyle w:val="VerbatimChar"/>
        </w:rPr>
        <w:t xml:space="preserve">tables_for_article.md</w:t>
      </w:r>
      <w:r>
        <w:t xml:space="preserve"> </w:t>
      </w:r>
      <w:r>
        <w:t xml:space="preserve">in the editor — not the zip). Figures, tables, and official data are in</w:t>
      </w:r>
      <w:r>
        <w:t xml:space="preserve"> </w:t>
      </w:r>
      <w:r>
        <w:rPr>
          <w:rStyle w:val="VerbatimChar"/>
        </w:rPr>
        <w:t xml:space="preserve">figures/</w:t>
      </w:r>
      <w:r>
        <w:t xml:space="preserve">,</w:t>
      </w:r>
      <w:r>
        <w:t xml:space="preserve"> </w:t>
      </w:r>
      <w:r>
        <w:rPr>
          <w:rStyle w:val="VerbatimChar"/>
        </w:rPr>
        <w:t xml:space="preserve">tables/</w:t>
      </w:r>
      <w:r>
        <w:t xml:space="preserve">, and</w:t>
      </w:r>
      <w:r>
        <w:t xml:space="preserve"> </w:t>
      </w:r>
      <w:r>
        <w:rPr>
          <w:rStyle w:val="VerbatimChar"/>
        </w:rPr>
        <w:t xml:space="preserve">data/</w:t>
      </w:r>
      <w:r>
        <w:t xml:space="preserve"> </w:t>
      </w:r>
      <w:r>
        <w:t xml:space="preserve">in that folder. Missing series are catalogued in</w:t>
      </w:r>
      <w:r>
        <w:t xml:space="preserve"> </w:t>
      </w:r>
      <w:r>
        <w:rPr>
          <w:rStyle w:val="VerbatimChar"/>
        </w:rPr>
        <w:t xml:space="preserve">DATA_INVENTORY.md</w:t>
      </w:r>
      <w:r>
        <w:t xml:space="preserve">; their absence is part of the claim boundary.</w:t>
      </w:r>
    </w:p>
    <w:p>
      <w:r>
        <w:pict>
          <v:rect style="width:0;height:1.5pt" o:hralign="center" o:hrstd="t" o:hr="t"/>
        </w:pict>
      </w:r>
    </w:p>
    <w:bookmarkEnd w:id="21"/>
    <w:bookmarkStart w:id="28" w:name="literature-review"/>
    <w:p>
      <w:pPr>
        <w:pStyle w:val="Heading2"/>
      </w:pPr>
      <w:r>
        <w:t xml:space="preserve">2. Literature review</w:t>
      </w:r>
    </w:p>
    <w:bookmarkStart w:id="22" w:name="X73d50b3ec8079d6a9cfa5eb5d1f5152493db6f8"/>
    <w:p>
      <w:pPr>
        <w:pStyle w:val="Heading3"/>
      </w:pPr>
      <w:r>
        <w:t xml:space="preserve">2.1 Task-based technical change, not occupation disappearance</w:t>
      </w:r>
    </w:p>
    <w:p>
      <w:pPr>
        <w:pStyle w:val="FirstParagraph"/>
      </w:pPr>
      <w:r>
        <w:t xml:space="preserve">Autor, Levy and Murnane (2003) shifted empirical work from “which occupations computers replace” to “which</w:t>
      </w:r>
      <w:r>
        <w:t xml:space="preserve"> </w:t>
      </w:r>
      <w:r>
        <w:rPr>
          <w:iCs/>
          <w:i/>
        </w:rPr>
        <w:t xml:space="preserve">tasks</w:t>
      </w:r>
      <w:r>
        <w:t xml:space="preserve"> </w:t>
      </w:r>
      <w:r>
        <w:t xml:space="preserve">are routine.” Autor (2015) emphasised that automation often raises the value of complementary non-routine work. Acemoglu and Restrepo (2018, 2019, 2020) distinguish displacement from reinstatement: new tasks can offset lost ones, so industry employment need not fall when a technology arrives. That is the right prior for civil engineering. Draughting and clause-drafting are more exposed than site supervision and statutory sign-off; a fall in CAD technicians can coexist with stable or rising technician grades that interface with software (Section 4.1).</w:t>
      </w:r>
    </w:p>
    <w:p>
      <w:pPr>
        <w:pStyle w:val="BodyText"/>
      </w:pPr>
      <w:r>
        <w:t xml:space="preserve">Acemoglu, Autor, Hazell and Restrepo (2022) find, for the United States before ChatGPT, limited employment effects of AI-related vacancies outside a few exposed occupations. The implication for this paper is that</w:t>
      </w:r>
      <w:r>
        <w:t xml:space="preserve"> </w:t>
      </w:r>
      <w:r>
        <w:rPr>
          <w:bCs/>
          <w:b/>
        </w:rPr>
        <w:t xml:space="preserve">occupation exposure is not industry incidence</w:t>
      </w:r>
      <w:r>
        <w:t xml:space="preserve">. Felten industry scores (AIIE) for NAICS 23 construction are mostly negative (Table 12c, Figure 11), matching Eurostat: construction enterprises rarely use AI. The professional M71 story cannot be read off construction-robot papers.</w:t>
      </w:r>
    </w:p>
    <w:bookmarkEnd w:id="22"/>
    <w:bookmarkStart w:id="23" w:name="Xd1248fc801dbf5de2c3dfb8f6ffe4d9488657f2"/>
    <w:p>
      <w:pPr>
        <w:pStyle w:val="Heading3"/>
      </w:pPr>
      <w:r>
        <w:t xml:space="preserve">2.2 Measuring AI exposure: AIOE, Webb, Eloundou, ILO–NASK</w:t>
      </w:r>
    </w:p>
    <w:p>
      <w:pPr>
        <w:pStyle w:val="FirstParagraph"/>
      </w:pPr>
      <w:r>
        <w:t xml:space="preserve">Felten, Raj and Seamans (2018, 2021) overlap O</w:t>
      </w:r>
      <w:r>
        <w:rPr>
          <w:iCs/>
          <w:i/>
        </w:rPr>
        <w:t xml:space="preserve">NET abilities with AI progress (AIOE) and build industry scores (AIIE). Webb (2020) overlaps patents with occupation task text. Eloundou et al. (2023, 2024) score O</w:t>
      </w:r>
      <w:r>
        <w:t xml:space="preserve">NET tasks for GPT exposure with humans and with models; the occupation-level</w:t>
      </w:r>
      <w:r>
        <w:t xml:space="preserve"> </w:t>
      </w:r>
      <w:r>
        <w:rPr>
          <w:rStyle w:val="VerbatimChar"/>
        </w:rPr>
        <w:t xml:space="preserve">occ_level.csv</w:t>
      </w:r>
      <w:r>
        <w:t xml:space="preserve"> </w:t>
      </w:r>
      <w:r>
        <w:t xml:space="preserve">is the exposure file used here. ILO and NASK (2023) apply a similar logic to ISCO-08: civil engineers (2142) are classified</w:t>
      </w:r>
      <w:r>
        <w:t xml:space="preserve"> </w:t>
      </w:r>
      <w:r>
        <w:rPr>
          <w:bCs/>
          <w:b/>
        </w:rPr>
        <w:t xml:space="preserve">Not Exposed</w:t>
      </w:r>
      <w:r>
        <w:t xml:space="preserve">, with a mean score of 0.30 in their published summary—licensed judgement and site coordination dominate.</w:t>
      </w:r>
    </w:p>
    <w:p>
      <w:pPr>
        <w:pStyle w:val="BodyText"/>
      </w:pPr>
      <w:r>
        <w:t xml:space="preserve">These instruments</w:t>
      </w:r>
      <w:r>
        <w:t xml:space="preserve"> </w:t>
      </w:r>
      <w:r>
        <w:rPr>
          <w:bCs/>
          <w:b/>
        </w:rPr>
        <w:t xml:space="preserve">do not rank civil occupations the same way</w:t>
      </w:r>
      <w:r>
        <w:t xml:space="preserve">. In the files already in</w:t>
      </w:r>
      <w:r>
        <w:t xml:space="preserve"> </w:t>
      </w:r>
      <w:r>
        <w:rPr>
          <w:rStyle w:val="VerbatimChar"/>
        </w:rPr>
        <w:t xml:space="preserve">Data_IJCM/04_external_indices/</w:t>
      </w:r>
      <w:r>
        <w:t xml:space="preserve">, Felten AIOE (2021, pre-ChatGPT applications) scores civil engineers at 1.283, above drafters (0.923) and civil engineering technicians (0.932). Eloundou β_human, ONS automation probabilities (ONS 2019) and an earlier LLM panel reverse that ranking for CAD versus licensed engineers (Table 12). UK APS 2021–25 follows the</w:t>
      </w:r>
      <w:r>
        <w:t xml:space="preserve"> </w:t>
      </w:r>
      <w:r>
        <w:rPr>
          <w:iCs/>
          <w:i/>
        </w:rPr>
        <w:t xml:space="preserve">generative</w:t>
      </w:r>
      <w:r>
        <w:t xml:space="preserve"> </w:t>
      </w:r>
      <w:r>
        <w:t xml:space="preserve">ranking for CAD versus 2121, not 2021 AIOE. Technicians are high on Eloundou and ONS automation but</w:t>
      </w:r>
      <w:r>
        <w:t xml:space="preserve"> </w:t>
      </w:r>
      <w:r>
        <w:rPr>
          <w:iCs/>
          <w:i/>
        </w:rPr>
        <w:t xml:space="preserve">rose</w:t>
      </w:r>
      <w:r>
        <w:t xml:space="preserve"> </w:t>
      </w:r>
      <w:r>
        <w:t xml:space="preserve">214.5%—exposure is not incidence (Autor 2015).</w:t>
      </w:r>
    </w:p>
    <w:p>
      <w:pPr>
        <w:pStyle w:val="BodyText"/>
      </w:pPr>
      <w:r>
        <w:t xml:space="preserve">Goldfarb, Taska and Teodoridis (2023) and related vacancy studies show that AI skill demand is concentrated in a few firms and occupations. That cautions against using a national Copilot share as a civil-industry shock. Microsoft’s 2025–26 AI user-share snapshot is therefore kept as context, not as the 2015–24 DiD intensity (years do not overlap BaTIS).</w:t>
      </w:r>
    </w:p>
    <w:bookmarkEnd w:id="23"/>
    <w:bookmarkStart w:id="24" w:name="generative-ai-as-a-labour-market-shock"/>
    <w:p>
      <w:pPr>
        <w:pStyle w:val="Heading3"/>
      </w:pPr>
      <w:r>
        <w:t xml:space="preserve">2.3 Generative AI as a labour-market shock</w:t>
      </w:r>
    </w:p>
    <w:p>
      <w:pPr>
        <w:pStyle w:val="FirstParagraph"/>
      </w:pPr>
      <w:r>
        <w:t xml:space="preserve">The 2022–23 arrival of ChatGPT created a dated shock that earlier AI indices lack. Noy and Zhang (2023) find large productivity gains in professional writing. Peng, Kalliamvakou, Cihon and Demirer (2023) and related software studies find faster coding with Copilot. Brynjolfsson, Li and Raymond (2025) document customer-support productivity gains concentrated among less experienced workers. Dell’Acqua et al. (2023) describe a “jagged frontier”: AI helps some knowledge tasks and fails on others inside the same job. Hui, Reshef and Zhou (2024) study freelance coding after Copilot.</w:t>
      </w:r>
    </w:p>
    <w:p>
      <w:pPr>
        <w:pStyle w:val="BodyText"/>
      </w:pPr>
      <w:r>
        <w:t xml:space="preserve">Two lessons matter for civil engineering. First,</w:t>
      </w:r>
      <w:r>
        <w:t xml:space="preserve"> </w:t>
      </w:r>
      <w:r>
        <w:rPr>
          <w:bCs/>
          <w:b/>
        </w:rPr>
        <w:t xml:space="preserve">text and drawing tasks</w:t>
      </w:r>
      <w:r>
        <w:t xml:space="preserve"> </w:t>
      </w:r>
      <w:r>
        <w:t xml:space="preserve">(specifications, CAD annotation, quantity take-off assistance) sit on the helped side of the jagged frontier;</w:t>
      </w:r>
      <w:r>
        <w:t xml:space="preserve"> </w:t>
      </w:r>
      <w:r>
        <w:rPr>
          <w:bCs/>
          <w:b/>
        </w:rPr>
        <w:t xml:space="preserve">stamp, liability and site</w:t>
      </w:r>
      <w:r>
        <w:t xml:space="preserve"> </w:t>
      </w:r>
      <w:r>
        <w:t xml:space="preserve">sit on the other. Second,</w:t>
      </w:r>
      <w:r>
        <w:t xml:space="preserve"> </w:t>
      </w:r>
      <w:r>
        <w:rPr>
          <w:bCs/>
          <w:b/>
        </w:rPr>
        <w:t xml:space="preserve">firm experiments are not industry accounts</w:t>
      </w:r>
      <w:r>
        <w:t xml:space="preserve">. A draughtsman who finishes a drawing faster may reduce billed hours (turnover) without reducing headcount, which is exactly the SBS pattern in Section 4.4: wages and turnover grow more slowly where NLG jumped; employment does not.</w:t>
      </w:r>
    </w:p>
    <w:p>
      <w:pPr>
        <w:pStyle w:val="BodyText"/>
      </w:pPr>
      <w:r>
        <w:t xml:space="preserve">Agrawal, Gans and Goldfarb (2018, 2022) frame AI as cheaper prediction. Korinek and Stiglitz (2021) and Acemoglu (2025, policy writing on complementary AI) warn that the distribution of gains depends on whether AI automates or augments. This paper does not estimate welfare. It asks which</w:t>
      </w:r>
      <w:r>
        <w:t xml:space="preserve"> </w:t>
      </w:r>
      <w:r>
        <w:rPr>
          <w:iCs/>
          <w:i/>
        </w:rPr>
        <w:t xml:space="preserve">measured</w:t>
      </w:r>
      <w:r>
        <w:t xml:space="preserve"> </w:t>
      </w:r>
      <w:r>
        <w:t xml:space="preserve">industry aggregates moved.</w:t>
      </w:r>
    </w:p>
    <w:bookmarkEnd w:id="24"/>
    <w:bookmarkStart w:id="25" w:name="offshoring-tradable-tasks-and-gats-modes"/>
    <w:p>
      <w:pPr>
        <w:pStyle w:val="Heading3"/>
      </w:pPr>
      <w:r>
        <w:t xml:space="preserve">2.4 Offshoring, tradable tasks, and GATS modes</w:t>
      </w:r>
    </w:p>
    <w:p>
      <w:pPr>
        <w:pStyle w:val="FirstParagraph"/>
      </w:pPr>
      <w:r>
        <w:t xml:space="preserve">Blinder (2006) argued that whatever can be delivered down a wire is potentially offshorable. Grossman and Rossi-Hansberg (2008) model trade in</w:t>
      </w:r>
      <w:r>
        <w:t xml:space="preserve"> </w:t>
      </w:r>
      <w:r>
        <w:rPr>
          <w:iCs/>
          <w:i/>
        </w:rPr>
        <w:t xml:space="preserve">tasks</w:t>
      </w:r>
      <w:r>
        <w:t xml:space="preserve">. Baldwin (2016, 2019) emphasises globotics: digital technology unbundles the professional service from the office. GATS (WTO 1994) still classifies supply as Mode 1 (cross-border), Mode 2 (consumption abroad), Mode 3 (commercial presence) and Mode 4 (presence of natural persons). Francois and Hoekman (2010) and Loungani, Mishra, Papageorgiou and Wang (2017) review why services trade data lag goods data.</w:t>
      </w:r>
    </w:p>
    <w:p>
      <w:pPr>
        <w:pStyle w:val="BodyText"/>
      </w:pPr>
      <w:r>
        <w:t xml:space="preserve">For civil engineering the mode split is not a footnote.</w:t>
      </w:r>
      <w:r>
        <w:t xml:space="preserve"> </w:t>
      </w:r>
      <w:r>
        <w:rPr>
          <w:bCs/>
          <w:b/>
        </w:rPr>
        <w:t xml:space="preserve">Drawings and calculations</w:t>
      </w:r>
      <w:r>
        <w:t xml:space="preserve"> </w:t>
      </w:r>
      <w:r>
        <w:t xml:space="preserve">can move as Mode 1 from India.</w:t>
      </w:r>
      <w:r>
        <w:t xml:space="preserve"> </w:t>
      </w:r>
      <w:r>
        <w:rPr>
          <w:bCs/>
          <w:b/>
        </w:rPr>
        <w:t xml:space="preserve">Contracting on a site</w:t>
      </w:r>
      <w:r>
        <w:t xml:space="preserve"> </w:t>
      </w:r>
      <w:r>
        <w:t xml:space="preserve">is Mode 3 (or goods-plus-construction). Mixing them in “construction AI” regressions is a specification error. OECD–WTO BaTIS balanced statistics (Fortanier, Liberatore, Maurer and Pilgrim 2017; OECD–WTO documentation) provide bilateral EBOPS headings. The finest published heading that still covers engineering-adjacent professional work in this pull is</w:t>
      </w:r>
      <w:r>
        <w:t xml:space="preserve"> </w:t>
      </w:r>
      <w:r>
        <w:rPr>
          <w:bCs/>
          <w:b/>
        </w:rPr>
        <w:t xml:space="preserve">SJ3</w:t>
      </w:r>
      <w:r>
        <w:t xml:space="preserve"> </w:t>
      </w:r>
      <w:r>
        <w:t xml:space="preserve">(technical, trade-related and other business services).</w:t>
      </w:r>
      <w:r>
        <w:t xml:space="preserve"> </w:t>
      </w:r>
      <w:r>
        <w:rPr>
          <w:bCs/>
          <w:b/>
        </w:rPr>
        <w:t xml:space="preserve">SJ311/SJ312</w:t>
      </w:r>
      <w:r>
        <w:t xml:space="preserve"> </w:t>
      </w:r>
      <w:r>
        <w:t xml:space="preserve">(architectural and engineering services) are not in BaTIS (HTTP 404). SJ3 is therefore a ceiling, not a civil invoice.</w:t>
      </w:r>
    </w:p>
    <w:p>
      <w:pPr>
        <w:pStyle w:val="BodyText"/>
      </w:pPr>
      <w:r>
        <w:t xml:space="preserve">Computer services (SI) are the natural digital placebo: if the result is “any remote professional work,” SI should move with TNLG; it does not (Table 13). Consulting (SJ2) and R&amp;D (SJ1) are neighbouring professional placebos.</w:t>
      </w:r>
    </w:p>
    <w:bookmarkEnd w:id="25"/>
    <w:bookmarkStart w:id="26" w:name="X3559a0a6390b414caf7a0c25e996c1e7dec9dad"/>
    <w:p>
      <w:pPr>
        <w:pStyle w:val="Heading3"/>
      </w:pPr>
      <w:r>
        <w:t xml:space="preserve">2.5 Construction economics versus professional engineering</w:t>
      </w:r>
    </w:p>
    <w:p>
      <w:pPr>
        <w:pStyle w:val="FirstParagraph"/>
      </w:pPr>
      <w:r>
        <w:t xml:space="preserve">Construction economics has long treated the contractor industry as project-based, local and weakly digitised (Gann and Salter 2000; Winch 2010). Building information modelling (Eastman, Teicholz, Sacks and Liston 2011; Sacks, Eastman, Lee and Teicholz 2018) digitises</w:t>
      </w:r>
      <w:r>
        <w:t xml:space="preserve"> </w:t>
      </w:r>
      <w:r>
        <w:rPr>
          <w:iCs/>
          <w:i/>
        </w:rPr>
        <w:t xml:space="preserve">design and coordination</w:t>
      </w:r>
      <w:r>
        <w:t xml:space="preserve">, which live in NACE M71 and related consultancies, not necessarily in NACE F. Whyte and colleagues on digital delivery similarly locate the information model in professional organisations.</w:t>
      </w:r>
    </w:p>
    <w:p>
      <w:pPr>
        <w:pStyle w:val="BodyText"/>
      </w:pPr>
      <w:r>
        <w:t xml:space="preserve">Eurostat confirms the split. In 2024, EU-27 E_AI_TANY was 42-ish percent in high-M countries’ professional services versus single digits on construction sites (Table 3). NLG is even more skewed (Table 15, Figures 12–13, 16). Felten AIIE for highway and heavy-civil contractors is negative.</w:t>
      </w:r>
      <w:r>
        <w:t xml:space="preserve"> </w:t>
      </w:r>
      <w:r>
        <w:rPr>
          <w:bCs/>
          <w:b/>
        </w:rPr>
        <w:t xml:space="preserve">On-site construction is the placebo industry, not the treatment industry.</w:t>
      </w:r>
    </w:p>
    <w:bookmarkEnd w:id="26"/>
    <w:bookmarkStart w:id="27" w:name="X3220a9eb3f56e35a7c39394853b2981663b2420"/>
    <w:p>
      <w:pPr>
        <w:pStyle w:val="Heading3"/>
      </w:pPr>
      <w:r>
        <w:t xml:space="preserve">2.6 What is missing in existing AI–construction papers</w:t>
      </w:r>
    </w:p>
    <w:p>
      <w:pPr>
        <w:pStyle w:val="FirstParagraph"/>
      </w:pPr>
      <w:r>
        <w:t xml:space="preserve">Most AI-and-construction papers are either (a) occupation checklists without trade or M71 accounts, or (b) case studies of BIM/ChatGPT on a project. Macro AI-and-growth papers (e.g. cross-country regressions of GDP on AI patents or internet use) do not isolate civil engineering. Vacancy studies do not observe Mode-1 SJ3. This paper’s gap is therefore:</w:t>
      </w:r>
      <w:r>
        <w:t xml:space="preserve"> </w:t>
      </w:r>
      <w:r>
        <w:rPr>
          <w:bCs/>
          <w:b/>
        </w:rPr>
        <w:t xml:space="preserve">a dated generative shock × M71 industry economy × mode-split trade × placebos</w:t>
      </w:r>
      <w:r>
        <w:t xml:space="preserve">, with an explicit list of series that statistical agencies do not publish (M71 AI survey; bilateral ISCO 2142; BaTIS SJ312; ILO M71 for China/India).</w:t>
      </w:r>
    </w:p>
    <w:p>
      <w:r>
        <w:pict>
          <v:rect style="width:0;height:1.5pt" o:hralign="center" o:hrstd="t" o:hr="t"/>
        </w:pict>
      </w:r>
    </w:p>
    <w:bookmarkEnd w:id="27"/>
    <w:bookmarkEnd w:id="28"/>
    <w:bookmarkStart w:id="33" w:name="data"/>
    <w:p>
      <w:pPr>
        <w:pStyle w:val="Heading2"/>
      </w:pPr>
      <w:r>
        <w:t xml:space="preserve">3. Data</w:t>
      </w:r>
    </w:p>
    <w:p>
      <w:pPr>
        <w:pStyle w:val="FirstParagraph"/>
      </w:pPr>
      <w:r>
        <w:t xml:space="preserve">All files are in</w:t>
      </w:r>
      <w:r>
        <w:t xml:space="preserve"> </w:t>
      </w:r>
      <w:r>
        <w:rPr>
          <w:rStyle w:val="VerbatimChar"/>
        </w:rPr>
        <w:t xml:space="preserve">data/</w:t>
      </w:r>
      <w:r>
        <w:t xml:space="preserve"> </w:t>
      </w:r>
      <w:r>
        <w:t xml:space="preserve">of the replication package. Retrieval dates are in</w:t>
      </w:r>
      <w:r>
        <w:t xml:space="preserve"> </w:t>
      </w:r>
      <w:r>
        <w:rPr>
          <w:rStyle w:val="VerbatimChar"/>
        </w:rPr>
        <w:t xml:space="preserve">DATA_SOURCES.md</w:t>
      </w:r>
      <w:r>
        <w:t xml:space="preserve">. Table A in the inventory file records failed pulls (OWID ChatGPT CSVs, IMF AIPI empty JSON, OECD ICT_BUS 404, ILO M71 404). Failed pulls are not filled.</w:t>
      </w:r>
    </w:p>
    <w:bookmarkStart w:id="29" w:name="occupation-exposure-and-uk-employment"/>
    <w:p>
      <w:pPr>
        <w:pStyle w:val="Heading3"/>
      </w:pPr>
      <w:r>
        <w:t xml:space="preserve">3.1 Occupation exposure and UK employment</w:t>
      </w:r>
    </w:p>
    <w:p>
      <w:pPr>
        <w:pStyle w:val="FirstParagraph"/>
      </w:pPr>
      <w:r>
        <w:t xml:space="preserve">Eloundou occupation scores:</w:t>
      </w:r>
      <w:r>
        <w:t xml:space="preserve"> </w:t>
      </w:r>
      <w:r>
        <w:rPr>
          <w:rStyle w:val="VerbatimChar"/>
        </w:rPr>
        <w:t xml:space="preserve">eloundou_occ_level.csv</w:t>
      </w:r>
      <w:r>
        <w:t xml:space="preserve">. Matches used: SOC 2121 → O*NET 17-2051; 3114 → 17-3022; 3120 → 17-3011 (Table 1). Other APS civil-adjacent unit groups are reported unmatched (Table 2).</w:t>
      </w:r>
    </w:p>
    <w:p>
      <w:pPr>
        <w:pStyle w:val="BodyText"/>
      </w:pPr>
      <w:r>
        <w:t xml:space="preserve">ONS APS SOC 2020 employment, status A only, December 2021–September 2025, from the extract already in</w:t>
      </w:r>
      <w:r>
        <w:t xml:space="preserve"> </w:t>
      </w:r>
      <w:r>
        <w:rPr>
          <w:rStyle w:val="VerbatimChar"/>
        </w:rPr>
        <w:t xml:space="preserve">Data_IJCM/04_external_indices/</w:t>
      </w:r>
      <w:r>
        <w:t xml:space="preserve">. Felten AIOE/AIIE workbooks and ONS automation probabilities are copied to</w:t>
      </w:r>
      <w:r>
        <w:t xml:space="preserve"> </w:t>
      </w:r>
      <w:r>
        <w:rPr>
          <w:rStyle w:val="VerbatimChar"/>
        </w:rPr>
        <w:t xml:space="preserve">data/from_legacy_study4/</w:t>
      </w:r>
      <w:r>
        <w:t xml:space="preserve"> </w:t>
      </w:r>
      <w:r>
        <w:t xml:space="preserve">and used as</w:t>
      </w:r>
      <w:r>
        <w:t xml:space="preserve"> </w:t>
      </w:r>
      <w:r>
        <w:rPr>
          <w:bCs/>
          <w:b/>
        </w:rPr>
        <w:t xml:space="preserve">additional instruments</w:t>
      </w:r>
      <w:r>
        <w:t xml:space="preserve"> </w:t>
      </w:r>
      <w:r>
        <w:t xml:space="preserve">(Table 12, Figures 10–11), not as the DiD shock.</w:t>
      </w:r>
    </w:p>
    <w:bookmarkEnd w:id="29"/>
    <w:bookmarkStart w:id="30" w:name="ai-shock"/>
    <w:p>
      <w:pPr>
        <w:pStyle w:val="Heading3"/>
      </w:pPr>
      <w:r>
        <w:t xml:space="preserve">3.2 AI shock</w:t>
      </w:r>
    </w:p>
    <w:p>
      <w:pPr>
        <w:pStyle w:val="FirstParagraph"/>
      </w:pPr>
      <w:r>
        <w:t xml:space="preserve">Eurostat</w:t>
      </w:r>
      <w:r>
        <w:t xml:space="preserve"> </w:t>
      </w:r>
      <w:r>
        <w:rPr>
          <w:rStyle w:val="VerbatimChar"/>
        </w:rPr>
        <w:t xml:space="preserve">isoc_eb_ain2</w:t>
      </w:r>
      <w:r>
        <w:t xml:space="preserve">, enterprises with 10+ persons, percent using AI:</w:t>
      </w:r>
    </w:p>
    <w:p>
      <w:pPr>
        <w:numPr>
          <w:ilvl w:val="0"/>
          <w:numId w:val="1001"/>
        </w:numPr>
        <w:pStyle w:val="Compact"/>
      </w:pPr>
      <w:r>
        <w:t xml:space="preserve">E_AI_TANY, NACE F and M: generic comparison (</w:t>
      </w:r>
      <w:r>
        <w:rPr>
          <w:rStyle w:val="VerbatimChar"/>
        </w:rPr>
        <w:t xml:space="preserve">eurostat_ai_raw.csv</w:t>
      </w:r>
      <w:r>
        <w:t xml:space="preserve">).</w:t>
      </w:r>
    </w:p>
    <w:p>
      <w:pPr>
        <w:numPr>
          <w:ilvl w:val="0"/>
          <w:numId w:val="1001"/>
        </w:numPr>
        <w:pStyle w:val="Compact"/>
      </w:pPr>
      <w:r>
        <w:t xml:space="preserve">E_AI_TNLG, TML, TTM, TIR, TPVSG, NACE F and M: generative and technology placebos (</w:t>
      </w:r>
      <w:r>
        <w:rPr>
          <w:rStyle w:val="VerbatimChar"/>
        </w:rPr>
        <w:t xml:space="preserve">eurostat_ai_genai_types.csv</w:t>
      </w:r>
      <w:r>
        <w:t xml:space="preserve">). TPVSG (pictures/video/sound) exists for</w:t>
      </w:r>
      <w:r>
        <w:t xml:space="preserve"> </w:t>
      </w:r>
      <w:r>
        <w:rPr>
          <w:bCs/>
          <w:b/>
        </w:rPr>
        <w:t xml:space="preserve">2025 only</w:t>
      </w:r>
      <w:r>
        <w:t xml:space="preserve">.</w:t>
      </w:r>
    </w:p>
    <w:p>
      <w:pPr>
        <w:numPr>
          <w:ilvl w:val="0"/>
          <w:numId w:val="1001"/>
        </w:numPr>
        <w:pStyle w:val="Compact"/>
      </w:pPr>
      <w:r>
        <w:t xml:space="preserve">Same indicators, NACE C, J, N: sector placebos (</w:t>
      </w:r>
      <w:r>
        <w:rPr>
          <w:rStyle w:val="VerbatimChar"/>
        </w:rPr>
        <w:t xml:space="preserve">eurostat_ai_nace_placebos.csv</w:t>
      </w:r>
      <w:r>
        <w:t xml:space="preserve">). NACE K (finance) is empty.</w:t>
      </w:r>
      <w:r>
        <w:t xml:space="preserve"> </w:t>
      </w:r>
      <w:r>
        <w:rPr>
          <w:bCs/>
          <w:b/>
        </w:rPr>
        <w:t xml:space="preserve">NACE M71 is not in the survey</w:t>
      </w:r>
      <w:r>
        <w:t xml:space="preserve"> </w:t>
      </w:r>
      <w:r>
        <w:t xml:space="preserve">(HTTP 400). NACE M is the finest cell that contains M71 firms.</w:t>
      </w:r>
    </w:p>
    <w:p>
      <w:pPr>
        <w:pStyle w:val="FirstParagraph"/>
      </w:pPr>
      <w:r>
        <w:rPr>
          <w:bCs/>
          <w:b/>
        </w:rPr>
        <w:t xml:space="preserve">Preferred shock:</w:t>
      </w:r>
      <w:r>
        <w:t xml:space="preserve"> </w:t>
      </w:r>
      <w:r>
        <w:t xml:space="preserve">ΔTNLG in NACE M, 2024 minus 2023. EU-27 M: 2.60 (2021), 4.55 (2023), 11.51 (2024), 17.74 (2025). Construction: 0.99, 0.58, 2.42, 3.25.</w:t>
      </w:r>
    </w:p>
    <w:bookmarkEnd w:id="30"/>
    <w:bookmarkStart w:id="31" w:name="civil-industry-economy"/>
    <w:p>
      <w:pPr>
        <w:pStyle w:val="Heading3"/>
      </w:pPr>
      <w:r>
        <w:t xml:space="preserve">3.3 Civil industry economy</w:t>
      </w:r>
    </w:p>
    <w:p>
      <w:pPr>
        <w:numPr>
          <w:ilvl w:val="0"/>
          <w:numId w:val="1002"/>
        </w:numPr>
        <w:pStyle w:val="Compact"/>
      </w:pPr>
      <w:r>
        <w:t xml:space="preserve">National accounts</w:t>
      </w:r>
      <w:r>
        <w:t xml:space="preserve"> </w:t>
      </w:r>
      <w:r>
        <w:rPr>
          <w:rStyle w:val="VerbatimChar"/>
        </w:rPr>
        <w:t xml:space="preserve">nama_10_a64</w:t>
      </w:r>
      <w:r>
        <w:t xml:space="preserve"> </w:t>
      </w:r>
      <w:r>
        <w:t xml:space="preserve">/</w:t>
      </w:r>
      <w:r>
        <w:t xml:space="preserve"> </w:t>
      </w:r>
      <w:r>
        <w:rPr>
          <w:rStyle w:val="VerbatimChar"/>
        </w:rPr>
        <w:t xml:space="preserve">_e</w:t>
      </w:r>
      <w:r>
        <w:t xml:space="preserve">: GVA, employment, compensation (D1), output (P1) for M71, F, M. UK M71 GVA/D1 stop in</w:t>
      </w:r>
      <w:r>
        <w:t xml:space="preserve"> </w:t>
      </w:r>
      <w:r>
        <w:rPr>
          <w:bCs/>
          <w:b/>
        </w:rPr>
        <w:t xml:space="preserve">2018</w:t>
      </w:r>
      <w:r>
        <w:t xml:space="preserve">.</w:t>
      </w:r>
    </w:p>
    <w:p>
      <w:pPr>
        <w:numPr>
          <w:ilvl w:val="0"/>
          <w:numId w:val="1002"/>
        </w:numPr>
        <w:pStyle w:val="Compact"/>
      </w:pPr>
      <w:r>
        <w:t xml:space="preserve">Structural business statistics</w:t>
      </w:r>
      <w:r>
        <w:t xml:space="preserve"> </w:t>
      </w:r>
      <w:r>
        <w:rPr>
          <w:rStyle w:val="VerbatimChar"/>
        </w:rPr>
        <w:t xml:space="preserve">sbs_ovw_act</w:t>
      </w:r>
      <w:r>
        <w:t xml:space="preserve"> </w:t>
      </w:r>
      <w:r>
        <w:t xml:space="preserve">and</w:t>
      </w:r>
      <w:r>
        <w:t xml:space="preserve"> </w:t>
      </w:r>
      <w:r>
        <w:rPr>
          <w:rStyle w:val="VerbatimChar"/>
        </w:rPr>
        <w:t xml:space="preserve">sbs_sc_ovw</w:t>
      </w:r>
      <w:r>
        <w:t xml:space="preserve">: M71 vs F vs M, 2021–</w:t>
      </w:r>
      <w:r>
        <w:rPr>
          <w:bCs/>
          <w:b/>
        </w:rPr>
        <w:t xml:space="preserve">2024</w:t>
      </w:r>
      <w:r>
        <w:t xml:space="preserve">, net turnover, persons employed, wages, value added, GOS. This is the industry-economy file that overlaps the 2024 NLG year.</w:t>
      </w:r>
    </w:p>
    <w:p>
      <w:pPr>
        <w:numPr>
          <w:ilvl w:val="0"/>
          <w:numId w:val="1002"/>
        </w:numPr>
        <w:pStyle w:val="Compact"/>
      </w:pPr>
      <w:r>
        <w:t xml:space="preserve">ILOSTAT employment ISIC F vs M (</w:t>
      </w:r>
      <w:r>
        <w:rPr>
          <w:rStyle w:val="VerbatimChar"/>
        </w:rPr>
        <w:t xml:space="preserve">ilo_emp_FM.csv</w:t>
      </w:r>
      <w:r>
        <w:t xml:space="preserve">). China is empty. ISIC M71 is not published (404).</w:t>
      </w:r>
    </w:p>
    <w:p>
      <w:pPr>
        <w:numPr>
          <w:ilvl w:val="0"/>
          <w:numId w:val="1002"/>
        </w:numPr>
        <w:pStyle w:val="Compact"/>
      </w:pPr>
      <w:r>
        <w:t xml:space="preserve">BLS CES: public API returned NAICS</w:t>
      </w:r>
      <w:r>
        <w:t xml:space="preserve"> </w:t>
      </w:r>
      <w:r>
        <w:rPr>
          <w:bCs/>
          <w:b/>
        </w:rPr>
        <w:t xml:space="preserve">54</w:t>
      </w:r>
      <w:r>
        <w:t xml:space="preserve"> </w:t>
      </w:r>
      <w:r>
        <w:t xml:space="preserve">(all professional and technical), not 54133. Figure 21 is labelled as too broad.</w:t>
      </w:r>
    </w:p>
    <w:p>
      <w:pPr>
        <w:pStyle w:val="FirstParagraph"/>
      </w:pPr>
      <w:r>
        <w:t xml:space="preserve">Values are</w:t>
      </w:r>
      <w:r>
        <w:t xml:space="preserve"> </w:t>
      </w:r>
      <w:r>
        <w:rPr>
          <w:bCs/>
          <w:b/>
        </w:rPr>
        <w:t xml:space="preserve">current prices</w:t>
      </w:r>
      <w:r>
        <w:t xml:space="preserve"> </w:t>
      </w:r>
      <w:r>
        <w:t xml:space="preserve">where applicable. Nominal growth is not a GenAI effect; the DiD asks whether high-NLG countries grew</w:t>
      </w:r>
      <w:r>
        <w:t xml:space="preserve"> </w:t>
      </w:r>
      <w:r>
        <w:rPr>
          <w:iCs/>
          <w:i/>
        </w:rPr>
        <w:t xml:space="preserve">faster</w:t>
      </w:r>
      <w:r>
        <w:t xml:space="preserve">.</w:t>
      </w:r>
    </w:p>
    <w:bookmarkEnd w:id="31"/>
    <w:bookmarkStart w:id="32" w:name="trade"/>
    <w:p>
      <w:pPr>
        <w:pStyle w:val="Heading3"/>
      </w:pPr>
      <w:r>
        <w:t xml:space="preserve">3.4 Trade</w:t>
      </w:r>
    </w:p>
    <w:p>
      <w:pPr>
        <w:pStyle w:val="FirstParagraph"/>
      </w:pPr>
      <w:r>
        <w:t xml:space="preserve">OECD–WTO BaTIS, adjustment B, USD million, 2015–2024: SJ3, SE, SI in</w:t>
      </w:r>
      <w:r>
        <w:t xml:space="preserve"> </w:t>
      </w:r>
      <w:r>
        <w:rPr>
          <w:rStyle w:val="VerbatimChar"/>
        </w:rPr>
        <w:t xml:space="preserve">batis_civil_related.csv</w:t>
      </w:r>
      <w:r>
        <w:t xml:space="preserve">; SJ1 and SJ2 in</w:t>
      </w:r>
      <w:r>
        <w:t xml:space="preserve"> </w:t>
      </w:r>
      <w:r>
        <w:rPr>
          <w:rStyle w:val="VerbatimChar"/>
        </w:rPr>
        <w:t xml:space="preserve">batis_SJ1_SJ2.csv</w:t>
      </w:r>
      <w:r>
        <w:t xml:space="preserve">. Partners: IND, PHL, VNM (Mode 1); CHN (Mode 3 SE).</w:t>
      </w:r>
    </w:p>
    <w:p>
      <w:pPr>
        <w:pStyle w:val="BodyText"/>
      </w:pPr>
      <w:r>
        <w:t xml:space="preserve">World Bank GDP and sector shares are background only (</w:t>
      </w:r>
      <w:r>
        <w:rPr>
          <w:rStyle w:val="VerbatimChar"/>
        </w:rPr>
        <w:t xml:space="preserve">wb_*.json</w:t>
      </w:r>
      <w:r>
        <w:t xml:space="preserve">). Construction value-added indicator</w:t>
      </w:r>
      <w:r>
        <w:t xml:space="preserve"> </w:t>
      </w:r>
      <w:r>
        <w:rPr>
          <w:rStyle w:val="VerbatimChar"/>
        </w:rPr>
        <w:t xml:space="preserve">NV.IND.CONS.ZS</w:t>
      </w:r>
      <w:r>
        <w:t xml:space="preserve"> </w:t>
      </w:r>
      <w:r>
        <w:t xml:space="preserve">is invalid (API 120) and is not invented.</w:t>
      </w:r>
    </w:p>
    <w:p>
      <w:r>
        <w:pict>
          <v:rect style="width:0;height:1.5pt" o:hralign="center" o:hrstd="t" o:hr="t"/>
        </w:pict>
      </w:r>
    </w:p>
    <w:bookmarkEnd w:id="32"/>
    <w:bookmarkEnd w:id="33"/>
    <w:bookmarkStart w:id="37" w:name="empirical-design"/>
    <w:p>
      <w:pPr>
        <w:pStyle w:val="Heading2"/>
      </w:pPr>
      <w:r>
        <w:t xml:space="preserve">4. Empirical design</w:t>
      </w:r>
    </w:p>
    <w:bookmarkStart w:id="34" w:name="trade-equation"/>
    <w:p>
      <w:pPr>
        <w:pStyle w:val="Heading3"/>
      </w:pPr>
      <w:r>
        <w:t xml:space="preserve">4.1 Trade equation</w:t>
      </w:r>
    </w:p>
    <w:p>
      <w:pPr>
        <w:pStyle w:val="FirstParagraph"/>
      </w:pPr>
      <w:r>
        <w:t xml:space="preserve">For EU importers (i), Mode-1 partners (j \in {\text{IND}, \text{PHL}, \text{VNM}}), (t = 2018,\ldots,2024):</w:t>
      </w:r>
    </w:p>
    <w:p>
      <w:pPr>
        <w:pStyle w:val="BodyText"/>
      </w:pPr>
      <w:r>
        <w:t xml:space="preserve">[</w:t>
      </w:r>
      <w:r>
        <w:br/>
      </w:r>
      <w:r>
        <w:t xml:space="preserve">\log M^{SJ3}</w:t>
      </w:r>
      <w:r>
        <w:rPr>
          <w:iCs/>
          <w:i/>
        </w:rPr>
        <w:t xml:space="preserve">{ijt}=\alpha_i+\delta_t+\gamma_j+\beta\bigl(\mathbf{1}[t\ge t_0]\times \Delta TNLG_i\bigr)+\varepsilon</w:t>
      </w:r>
      <w:r>
        <w:t xml:space="preserve">{ijt}.</w:t>
      </w:r>
      <w:r>
        <w:br/>
      </w:r>
      <w:r>
        <w:t xml:space="preserve">]</w:t>
      </w:r>
    </w:p>
    <w:p>
      <w:pPr>
        <w:pStyle w:val="BodyText"/>
      </w:pPr>
      <w:r>
        <w:t xml:space="preserve">Standard errors are clustered by importer after an iterative within transformation (importer, year, partner). (t_0=2023) is reported; (t_0=2024) matches the year BaTIS still covers after the NLG jump. Portugal has TNLG in 2024 but missing TANY M 2024, so TNLG panels have 17 importers ((N=357)) and TANY panels 16 ((N=336)).</w:t>
      </w:r>
    </w:p>
    <w:p>
      <w:pPr>
        <w:pStyle w:val="BodyText"/>
      </w:pPr>
      <w:r>
        <w:t xml:space="preserve">Placebos replace SJ3 with SI, SJ1, SJ2, SE from China, SJ3 from China; or replace ΔTNLG-M with ΔTNLG-F, ΔTML, ΔTTM, ΔTIR, ΔTNLG in J/C/N. Generic TANY is the horse-race comparison, not the preferred shock. Event studies interact year dummies with ΔTNLG (or ΔTANY), omitting 2022.</w:t>
      </w:r>
    </w:p>
    <w:bookmarkEnd w:id="34"/>
    <w:bookmarkStart w:id="35" w:name="industry-economy-equation"/>
    <w:p>
      <w:pPr>
        <w:pStyle w:val="Heading3"/>
      </w:pPr>
      <w:r>
        <w:t xml:space="preserve">4.2 Industry-economy equation</w:t>
      </w:r>
    </w:p>
    <w:p>
      <w:pPr>
        <w:pStyle w:val="FirstParagraph"/>
      </w:pPr>
      <w:r>
        <w:t xml:space="preserve">[</w:t>
      </w:r>
      <w:r>
        <w:br/>
      </w:r>
      <w:r>
        <w:t xml:space="preserve">\log Y^{M71}</w:t>
      </w:r>
      <w:r>
        <w:rPr>
          <w:iCs/>
          <w:i/>
        </w:rPr>
        <w:t xml:space="preserve">{it}=\alpha_i+\delta_t+\beta\bigl(\mathbf{1}[t\ge 2024]\times \Delta TNLG_i\bigr)+u</w:t>
      </w:r>
      <w:r>
        <w:t xml:space="preserve">{it},</w:t>
      </w:r>
      <w:r>
        <w:br/>
      </w:r>
      <w:r>
        <w:t xml:space="preserve">]</w:t>
      </w:r>
    </w:p>
    <w:p>
      <w:pPr>
        <w:pStyle w:val="BodyText"/>
      </w:pPr>
      <w:r>
        <w:t xml:space="preserve">(Y \in {\text{net turnover, employment, wages, value added, GOS}}), SBS 2021–2024, 17 countries ((N=68)). Construction F and all-professional M are placebos. National-accounts GVA/D1/P1 use post-2023 because those series largely end in 2023.</w:t>
      </w:r>
    </w:p>
    <w:bookmarkEnd w:id="35"/>
    <w:bookmarkStart w:id="36" w:name="what-is-not-identified"/>
    <w:p>
      <w:pPr>
        <w:pStyle w:val="Heading3"/>
      </w:pPr>
      <w:r>
        <w:t xml:space="preserve">4.3 What is not identified</w:t>
      </w:r>
    </w:p>
    <w:p>
      <w:pPr>
        <w:pStyle w:val="FirstParagraph"/>
      </w:pPr>
      <w:r>
        <w:t xml:space="preserve">UK APS 2121 is an</w:t>
      </w:r>
      <w:r>
        <w:t xml:space="preserve"> </w:t>
      </w:r>
      <w:r>
        <w:rPr>
          <w:iCs/>
          <w:i/>
        </w:rPr>
        <w:t xml:space="preserve">outcome</w:t>
      </w:r>
      <w:r>
        <w:t xml:space="preserve"> </w:t>
      </w:r>
      <w:r>
        <w:t xml:space="preserve">in one labour market, not an instrument for Indian GDP. Reverse causality and common trends would invalidate that regression even if ILO published bilateral engineer counts—which it does not.</w:t>
      </w:r>
    </w:p>
    <w:p>
      <w:r>
        <w:pict>
          <v:rect style="width:0;height:1.5pt" o:hralign="center" o:hrstd="t" o:hr="t"/>
        </w:pict>
      </w:r>
    </w:p>
    <w:bookmarkEnd w:id="36"/>
    <w:bookmarkEnd w:id="37"/>
    <w:bookmarkStart w:id="44" w:name="results"/>
    <w:p>
      <w:pPr>
        <w:pStyle w:val="Heading2"/>
      </w:pPr>
      <w:r>
        <w:t xml:space="preserve">5. Results</w:t>
      </w:r>
    </w:p>
    <w:bookmarkStart w:id="38" w:name="X81b9f732b41d4813ebe613a5281dbaf2e27106a"/>
    <w:p>
      <w:pPr>
        <w:pStyle w:val="Heading3"/>
      </w:pPr>
      <w:r>
        <w:t xml:space="preserve">5.1 Polarisation inside civil occupations (Figure 2, Tables 1–2, 12)</w:t>
      </w:r>
    </w:p>
    <w:p>
      <w:pPr>
        <w:pStyle w:val="FirstParagraph"/>
      </w:pPr>
      <w:r>
        <w:t xml:space="preserve">Among 16 APS civil-adjacent unit groups, the largest declines are quality-control and planning engineers (−25.3%), CAD/drawing technicians (−23.9%), chartered surveyors (−21.7%) and civil engineers (−14.3%). The largest increase is building and civil engineering technicians (+214.5%). CAD is the high-Eloundou match (0.52) and contracted more than civil engineers (0.375). That pattern matches task-based technical change (Autor et al. 2003; Eloundou et al. 2024) and the jagged-frontier view (Dell’Acqua et al. 2023), not a uniform occupation collapse.</w:t>
      </w:r>
    </w:p>
    <w:p>
      <w:pPr>
        <w:pStyle w:val="BodyText"/>
      </w:pPr>
      <w:r>
        <w:t xml:space="preserve">Felten AIOE ranks the other way for engineers versus drafters (Table 12, Figure 10). The 2021 ability-based index is a poor description of 2022–25 generative-text disruption inside civil offices.</w:t>
      </w:r>
    </w:p>
    <w:bookmarkEnd w:id="38"/>
    <w:bookmarkStart w:id="39" w:name="the-ukindia-corridor-figure-3-table-4"/>
    <w:p>
      <w:pPr>
        <w:pStyle w:val="Heading3"/>
      </w:pPr>
      <w:r>
        <w:t xml:space="preserve">5.2 The UK–India corridor (Figure 3, Table 4)</w:t>
      </w:r>
    </w:p>
    <w:p>
      <w:pPr>
        <w:pStyle w:val="FirstParagraph"/>
      </w:pPr>
      <w:r>
        <w:t xml:space="preserve">UK imports of Indian SJ3 services increased from USD 2.19 billion in 2019 to USD 4.98 billion in 2024, a rise of 128%. This is the most transparent corridor in the data and motivates the panel analysis below. It should not be read as a direct measure of imported civil-engineering work: SJ3 includes technical, trade-related and other business services, and bilateral architectural and engineering services are not separately available. Nor can the increase be paired mechanically with the decline in UK civil-engineer employment. The overlap between the occupation and trade series is only four years, and the resulting correlation is descriptive rather than causal.</w:t>
      </w:r>
    </w:p>
    <w:p>
      <w:pPr>
        <w:pStyle w:val="BodyText"/>
      </w:pPr>
      <w:r>
        <w:t xml:space="preserve">Two comparisons help to locate the margin. UK imports of Indian computer services also increased over the period, but computer services do not respond to the NLG shock in the panel estimates. UK imports of Chinese construction services increased by 52%, yet the destination pattern of those exports is not related to importer NLG adoption. The issue is therefore not simply that all digitally intensive trade or all construction-related trade expanded after 2019.</w:t>
      </w:r>
    </w:p>
    <w:bookmarkEnd w:id="39"/>
    <w:bookmarkStart w:id="40" w:name="X83d85b21a195741a7e6ae1784e5cda38311734b"/>
    <w:p>
      <w:pPr>
        <w:pStyle w:val="Heading3"/>
      </w:pPr>
      <w:r>
        <w:t xml:space="preserve">5.3 Generic any-AI is the wrong shock (Figures 4, 7, 8; Tables 5, 6, 10)</w:t>
      </w:r>
    </w:p>
    <w:p>
      <w:pPr>
        <w:pStyle w:val="FirstParagraph"/>
      </w:pPr>
      <w:r>
        <w:t xml:space="preserve">The generic any-AI measure produces little evidence of a trade relationship. In the 16-member sample, the post-shock interaction between the change in NACE M “any AI” use and log SJ3 imports is 0.000 with a standard error of 0.006 ((N=336)). A positive estimate in a smaller eight-member sample disappears when coverage is expanded. The event study also shows a pre-existing difference in 2018 relative to 2022, which weakens any causal interpretation. These results explain why the analysis does not use a broad digital-maturity index as its principal shock. Natural-language generation has a clearer date and a closer connection to the written technical work at issue.</w:t>
      </w:r>
    </w:p>
    <w:bookmarkEnd w:id="40"/>
    <w:bookmarkStart w:id="41" w:name="X38550a4c43d979a89562b29d4e2347beb03f733"/>
    <w:p>
      <w:pPr>
        <w:pStyle w:val="Heading3"/>
      </w:pPr>
      <w:r>
        <w:t xml:space="preserve">5.4 Preferred shock: generative NLG and Mode-1 SJ3 (Figures 12–16; Tables 13–15)</w:t>
      </w:r>
    </w:p>
    <w:p>
      <w:pPr>
        <w:pStyle w:val="FirstParagraph"/>
      </w:pPr>
      <w:r>
        <w:t xml:space="preserve">NLG use in professional services rose sharply between 2023 and 2024, although the size of the change differed substantially across EU members (Figures 12–13). This cross-sectional variation identifies the preferred specification. In the pooled Mode-1 panel, the interaction for 2024 is 0.007 with a standard error of 0.003. When the sample is restricted to India, the estimate rises to 0.021 (0.008). The cross-sectional regression for the 2022–24 change in Indian SJ3 imports gives a similar positive relationship. Estimates for the earlier pre-period years are not statistically distinguishable from zero, although the very short post-period still calls for restraint.</w:t>
      </w:r>
    </w:p>
    <w:p>
      <w:pPr>
        <w:pStyle w:val="BodyText"/>
      </w:pPr>
      <w:r>
        <w:t xml:space="preserve">The comparison specifications make the interpretation more precise. The association is not reproduced for the other exporters in the pooled sample. It is also absent for computer services, Chinese SJ3, Chinese construction services, R&amp;D and consulting. In a direct comparison with enterprise use of machine learning, the NLG interaction remains positive while the machine-learning interaction is negative. Measures for text mining and image recognition are not significant.</w:t>
      </w:r>
    </w:p>
    <w:p>
      <w:pPr>
        <w:pStyle w:val="BodyText"/>
      </w:pPr>
      <w:r>
        <w:t xml:space="preserve">Sector-level adoption measures are less discriminating. NLG changes in ICT, manufacturing and administrative services also predict SJ3 imports, while NLG use within construction does not. Thus the treatment should be understood as a national generative-AI wave observed through professional-service adoption, not as an M71-specific intervention. Within that wave, India is the corridor that carries the positive Mode-1 relationship. This is consistent with the trade-in-tasks mechanism described by Grossman and Rossi-Hansberg (2008) and Baldwin (2019), but it does not establish that every remotely supplied service or every exporting economy responded in the same way.</w:t>
      </w:r>
    </w:p>
    <w:bookmarkEnd w:id="41"/>
    <w:bookmarkStart w:id="42" w:name="X9ba754dd432452ae4a52358b57c4cffec4c77a9"/>
    <w:p>
      <w:pPr>
        <w:pStyle w:val="Heading3"/>
      </w:pPr>
      <w:r>
        <w:t xml:space="preserve">5.5 Domestic M71 industry economy (Figures 9, 17–20; Tables 8–9, 16–17)</w:t>
      </w:r>
    </w:p>
    <w:p>
      <w:pPr>
        <w:pStyle w:val="FirstParagraph"/>
      </w:pPr>
      <w:r>
        <w:t xml:space="preserve">Nominal M71 turnover increased in nearly every member between 2021 and 2024 (Table 17, Figure 17). That common recovery, which also includes inflation, should not be attributed to generative AI. The fixed-effects model asks the narrower question of whether turnover grew differently in countries where NLG adoption rose more.</w:t>
      </w:r>
    </w:p>
    <w:p>
      <w:pPr>
        <w:pStyle w:val="BodyText"/>
      </w:pPr>
      <w:r>
        <w:t xml:space="preserve">The estimate for log M71 turnover is −0.007 with a standard error of 0.003 ((N=68)). The corresponding estimates are −0.009 for wages, −0.006 for value added and effectively zero for employment. The combination matters more than any single coefficient. Firms in higher-adoption economies did not shed more workers, but their billed output and labour costs grew more slowly in the first observed post-shock year. One possible explanation is that assistance with drawings and documents reduced billable hours without immediately changing staffing. Price changes, demand composition and broader macroeconomic conditions are equally possible, and the present data cannot distinguish among them.</w:t>
      </w:r>
    </w:p>
    <w:p>
      <w:pPr>
        <w:pStyle w:val="BodyText"/>
      </w:pPr>
      <w:r>
        <w:t xml:space="preserve">The construction comparison cautions against treating the result as unique to engineering consultancies. Construction turnover has an estimate of −0.010, while turnover across all professional services has an estimate of −0.005. National-accounts compensation and output, which mostly end in 2023, show a similar direction. The domestic evidence is therefore best described as a relative slowdown in nominal activity among higher-NLG economies, not as proof that AI damaged M71 firms.</w:t>
      </w:r>
    </w:p>
    <w:p>
      <w:pPr>
        <w:pStyle w:val="BodyText"/>
      </w:pPr>
      <w:r>
        <w:t xml:space="preserve">China Mode-3 SE, 2019–24 sums: low-TNLG EU destinations USD 572 → 946 million (+65%); high-TNLG destinations 680 → 1,003 (+47%). Mode 3 did not follow the NLG map.</w:t>
      </w:r>
    </w:p>
    <w:bookmarkEnd w:id="42"/>
    <w:bookmarkStart w:id="43" w:name="exporter-side-evidence"/>
    <w:p>
      <w:pPr>
        <w:pStyle w:val="Heading3"/>
      </w:pPr>
      <w:r>
        <w:t xml:space="preserve">5.6 Exporter-side evidence</w:t>
      </w:r>
    </w:p>
    <w:p>
      <w:pPr>
        <w:pStyle w:val="FirstParagraph"/>
      </w:pPr>
      <w:r>
        <w:t xml:space="preserve">Indian employment provides a useful check on the simplest substitution story. Between 2019 and 2024, employment in the broad professional-services sector increased by 13.0%, whereas construction employment increased by 33.0%. These aggregates do not resemble a clean transfer from UK civil-engineering jobs into Indian professional employment. They are also too broad to test such a claim: ILOSTAT does not supply bilateral civil-engineer employment, and M71 is not consistently published for the countries and years needed here.</w:t>
      </w:r>
    </w:p>
    <w:p>
      <w:pPr>
        <w:pStyle w:val="BodyText"/>
      </w:pPr>
      <w:r>
        <w:t xml:space="preserve">China remains a comparison rather than a second treatment case. Its construction-services exports to lower-NLG EU destinations rose from USD 572 million to USD 946 million between 2019 and 2024; exports to higher-NLG destinations rose from USD 680 million to USD 1.00 billion. The latter increase is smaller in percentage terms, so Chinese project delivery did not reorient toward the economies with the largest NLG shock. Consumer Copilot shares are not used in this analysis because they omit important domestic models and do not align with the BaTIS period.</w:t>
      </w:r>
    </w:p>
    <w:p>
      <w:r>
        <w:pict>
          <v:rect style="width:0;height:1.5pt" o:hralign="center" o:hrstd="t" o:hr="t"/>
        </w:pict>
      </w:r>
    </w:p>
    <w:bookmarkEnd w:id="43"/>
    <w:bookmarkEnd w:id="44"/>
    <w:bookmarkStart w:id="45" w:name="discussion"/>
    <w:p>
      <w:pPr>
        <w:pStyle w:val="Heading2"/>
      </w:pPr>
      <w:r>
        <w:t xml:space="preserve">6. Discussion</w:t>
      </w:r>
    </w:p>
    <w:p>
      <w:pPr>
        <w:pStyle w:val="FirstParagraph"/>
      </w:pPr>
      <w:r>
        <w:t xml:space="preserve">The evidence fits a task-based account better than an occupation-replacement account. UK employment changed in different directions across adjacent civil occupations. CAD and drawing technicians contracted more than civil engineers, but building and civil-engineering technicians expanded despite having relatively high measured exposure. This is what one would expect if generative AI altered the mix of drafting, checking, coordination and responsibility within jobs rather than removing an occupation in one step. It also explains why occupation exposure cannot stand in for an industry outcome.</w:t>
      </w:r>
    </w:p>
    <w:p>
      <w:pPr>
        <w:pStyle w:val="BodyText"/>
      </w:pPr>
      <w:r>
        <w:t xml:space="preserve">The M71 estimates add an industry perspective that is missing from most task experiments. Faster preparation of a drawing or specification does not necessarily increase a consultancy’s nominal turnover. It may lower the hours billed for a fixed deliverable, change prices, release capacity for other projects or alter the division of work between grades. Stable employment alongside weaker turnover and wage growth is compatible with several of these channels. Because the data contain only one complete post-shock year, however, the estimates cannot determine which channel dominates or whether the pattern will persist.</w:t>
      </w:r>
    </w:p>
    <w:p>
      <w:pPr>
        <w:pStyle w:val="BodyText"/>
      </w:pPr>
      <w:r>
        <w:t xml:space="preserve">The trade result is similarly bounded. India’s positive coefficient is consistent with the idea that digital tools lower the cost of coordinating technical work across borders. It could reflect complementary trade, in which AI makes it easier for UK clients and Indian suppliers to work together, rather than direct replacement of UK labour. It could also reflect demand or sourcing changes correlated with adoption. The absence of an effect for computer services and Chinese construction services helps to rule out a wholly generic trade expansion, but it does not isolate civil-engineering invoices within SJ3.</w:t>
      </w:r>
    </w:p>
    <w:p>
      <w:pPr>
        <w:pStyle w:val="BodyText"/>
      </w:pPr>
      <w:r>
        <w:t xml:space="preserve">Keeping the country narrative narrow makes these distinctions clearer. The UK evidence concerns occupations and one import corridor. India represents the remotely supplied services margin. China is useful because construction-services delivery depends more heavily on projects and commercial presence. The EU members provide variation in adoption and industry outcomes; listing each of them as a separate case would imply a level of country-specific identification that the design does not offer.</w:t>
      </w:r>
    </w:p>
    <w:p>
      <w:pPr>
        <w:pStyle w:val="BodyText"/>
      </w:pPr>
      <w:r>
        <w:t xml:space="preserve">The results therefore support a restrained interpretation. Generative-AI adoption coincided with reorganisation inside UK civil occupations, slower nominal growth in M71 activity among higher-adoption EU economies, and increased technical-services imports from India. They do not demonstrate that AI destroyed engineering consultancies, that UK job losses moved to India, or that national GDP changed because of civil-engineering exposure.</w:t>
      </w:r>
    </w:p>
    <w:p>
      <w:r>
        <w:pict>
          <v:rect style="width:0;height:1.5pt" o:hralign="center" o:hrstd="t" o:hr="t"/>
        </w:pict>
      </w:r>
    </w:p>
    <w:bookmarkEnd w:id="45"/>
    <w:bookmarkStart w:id="46" w:name="limitations"/>
    <w:p>
      <w:pPr>
        <w:pStyle w:val="Heading2"/>
      </w:pPr>
      <w:r>
        <w:t xml:space="preserve">7. Limitations</w:t>
      </w:r>
    </w:p>
    <w:p>
      <w:pPr>
        <w:pStyle w:val="FirstParagraph"/>
      </w:pPr>
      <w:r>
        <w:t xml:space="preserve">Several data constraints set the boundary of the study. Eurostat does not publish NLG adoption for M71 itself, so adoption in the broader NACE M sector is used as a proxy. Changes in NLG adoption in other sectors also predict SJ3 imports, which means the trade treatment captures a national generative-AI wave rather than an intervention confined to engineering consultancies.</w:t>
      </w:r>
    </w:p>
    <w:p>
      <w:pPr>
        <w:pStyle w:val="BodyText"/>
      </w:pPr>
      <w:r>
        <w:t xml:space="preserve">The trade category is also broad. BaTIS SJ3 includes technical, trade-related and other business services, while bilateral SJ312 architectural and engineering services are unavailable in this extraction. The positive India estimate may therefore contain non-engineering activity. No bilateral series records employment in ISCO 2142, so the analysis cannot trace jobs between the UK and India.</w:t>
      </w:r>
    </w:p>
    <w:p>
      <w:pPr>
        <w:pStyle w:val="BodyText"/>
      </w:pPr>
      <w:r>
        <w:t xml:space="preserve">The time dimension is short. BaTIS ends in 2024, and Structural Business Statistics provide only one complete post-shock year. The industry models rely on 17 country clusters, and their outcomes are in current prices. Construction turnover shares the negative association found for M71, making it difficult to separate an engineering-specific response from broader national conditions. APS estimates are subject to sampling variation and are used descriptively.</w:t>
      </w:r>
    </w:p>
    <w:p>
      <w:pPr>
        <w:pStyle w:val="BodyText"/>
      </w:pPr>
      <w:r>
        <w:t xml:space="preserve">These limitations are not repaired by filling missing observations. No country, occupation, industry or GDP cell is interpolated. Unsuccessful retrievals, including M71-specific AI adoption and more detailed engineering trade and employment series, remain documented in the data inventory. Additional post-shock years and more precise service classifications are needed before the associations reported here can support stronger causal claims.</w:t>
      </w:r>
    </w:p>
    <w:p>
      <w:r>
        <w:pict>
          <v:rect style="width:0;height:1.5pt" o:hralign="center" o:hrstd="t" o:hr="t"/>
        </w:pict>
      </w:r>
    </w:p>
    <w:bookmarkEnd w:id="46"/>
    <w:bookmarkStart w:id="47" w:name="conclusion"/>
    <w:p>
      <w:pPr>
        <w:pStyle w:val="Heading2"/>
      </w:pPr>
      <w:r>
        <w:t xml:space="preserve">8. Conclusion</w:t>
      </w:r>
    </w:p>
    <w:p>
      <w:pPr>
        <w:pStyle w:val="FirstParagraph"/>
      </w:pPr>
      <w:r>
        <w:t xml:space="preserve">The available evidence does not show a domestic civil-engineering consultancy boom following the generative-AI shock. In the EU panel, M71 turnover, wages and value added grew more slowly where professional-service NLG adoption rose more, while employment was unchanged. Within the UK, civil occupations moved in different directions rather than contracting as a single group.</w:t>
      </w:r>
    </w:p>
    <w:p>
      <w:pPr>
        <w:pStyle w:val="BodyText"/>
      </w:pPr>
      <w:r>
        <w:t xml:space="preserve">The clearest cross-border relationship is with Indian Mode-1 technical services. It is not present for generic any-AI adoption or for Chinese construction services. The appropriate conclusion is therefore limited but informative: generative AI is associated with task reorganisation and a changing India-linked services margin, not with a simple transfer of civil-engineering jobs or a measurable effect on partner-country GDP. More detailed bilateral engineering trade, M71-specific adoption and additional post-shock years are required to establish the mechanism.</w:t>
      </w:r>
    </w:p>
    <w:p>
      <w:r>
        <w:pict>
          <v:rect style="width:0;height:1.5pt" o:hralign="center" o:hrstd="t" o:hr="t"/>
        </w:pict>
      </w:r>
    </w:p>
    <w:bookmarkEnd w:id="47"/>
    <w:bookmarkStart w:id="48" w:name="references"/>
    <w:p>
      <w:pPr>
        <w:pStyle w:val="Heading2"/>
      </w:pPr>
      <w:r>
        <w:t xml:space="preserve">References</w:t>
      </w:r>
    </w:p>
    <w:p>
      <w:pPr>
        <w:pStyle w:val="FirstParagraph"/>
      </w:pPr>
      <w:r>
        <w:t xml:space="preserve">Acemoglu, D., &amp; Restrepo, P. (2018). The race between man and machine: Implications of technology for growth, factor shares, and employment.</w:t>
      </w:r>
      <w:r>
        <w:t xml:space="preserve"> </w:t>
      </w:r>
      <w:r>
        <w:rPr>
          <w:iCs/>
          <w:i/>
        </w:rPr>
        <w:t xml:space="preserve">American Economic Review</w:t>
      </w:r>
      <w:r>
        <w:t xml:space="preserve">, 108(6), 1488–1542.</w:t>
      </w:r>
    </w:p>
    <w:p>
      <w:pPr>
        <w:pStyle w:val="BodyText"/>
      </w:pPr>
      <w:r>
        <w:t xml:space="preserve">Acemoglu, D., &amp; Restrepo, P. (2019). Automation and new tasks: How technology displaces and reinstates labor.</w:t>
      </w:r>
      <w:r>
        <w:t xml:space="preserve"> </w:t>
      </w:r>
      <w:r>
        <w:rPr>
          <w:iCs/>
          <w:i/>
        </w:rPr>
        <w:t xml:space="preserve">Journal of Economic Perspectives</w:t>
      </w:r>
      <w:r>
        <w:t xml:space="preserve">, 33(2), 3–30.</w:t>
      </w:r>
    </w:p>
    <w:p>
      <w:pPr>
        <w:pStyle w:val="BodyText"/>
      </w:pPr>
      <w:r>
        <w:t xml:space="preserve">Acemoglu, D., &amp; Restrepo, P. (2020). Robots and jobs: Evidence from US labor markets.</w:t>
      </w:r>
      <w:r>
        <w:t xml:space="preserve"> </w:t>
      </w:r>
      <w:r>
        <w:rPr>
          <w:iCs/>
          <w:i/>
        </w:rPr>
        <w:t xml:space="preserve">Journal of Political Economy</w:t>
      </w:r>
      <w:r>
        <w:t xml:space="preserve">, 128(6), 2188–2244.</w:t>
      </w:r>
    </w:p>
    <w:p>
      <w:pPr>
        <w:pStyle w:val="BodyText"/>
      </w:pPr>
      <w:r>
        <w:t xml:space="preserve">Acemoglu, D., Autor, D., Hazell, J., &amp; Restrepo, P. (2022). Artificial intelligence and jobs: Evidence from online vacancies.</w:t>
      </w:r>
      <w:r>
        <w:t xml:space="preserve"> </w:t>
      </w:r>
      <w:r>
        <w:rPr>
          <w:iCs/>
          <w:i/>
        </w:rPr>
        <w:t xml:space="preserve">Journal of Labor Economics</w:t>
      </w:r>
      <w:r>
        <w:t xml:space="preserve">, 40(S1), S293–S340.</w:t>
      </w:r>
    </w:p>
    <w:p>
      <w:pPr>
        <w:pStyle w:val="BodyText"/>
      </w:pPr>
      <w:r>
        <w:t xml:space="preserve">Agrawal, A., Gans, J., &amp; Goldfarb, A. (2018).</w:t>
      </w:r>
      <w:r>
        <w:t xml:space="preserve"> </w:t>
      </w:r>
      <w:r>
        <w:rPr>
          <w:iCs/>
          <w:i/>
        </w:rPr>
        <w:t xml:space="preserve">Prediction machines: The simple economics of artificial intelligence</w:t>
      </w:r>
      <w:r>
        <w:t xml:space="preserve">. Harvard Business Review Press.</w:t>
      </w:r>
    </w:p>
    <w:p>
      <w:pPr>
        <w:pStyle w:val="BodyText"/>
      </w:pPr>
      <w:r>
        <w:t xml:space="preserve">Agrawal, A., Gans, J., &amp; Goldfarb, A. (2022).</w:t>
      </w:r>
      <w:r>
        <w:t xml:space="preserve"> </w:t>
      </w:r>
      <w:r>
        <w:rPr>
          <w:iCs/>
          <w:i/>
        </w:rPr>
        <w:t xml:space="preserve">Power and prediction: The disruptive economics of artificial intelligence</w:t>
      </w:r>
      <w:r>
        <w:t xml:space="preserve">. Harvard Business Review Press.</w:t>
      </w:r>
    </w:p>
    <w:p>
      <w:pPr>
        <w:pStyle w:val="BodyText"/>
      </w:pPr>
      <w:r>
        <w:t xml:space="preserve">Autor, D. H. (2015). Why are there still so many jobs? The history and future of workplace automation.</w:t>
      </w:r>
      <w:r>
        <w:t xml:space="preserve"> </w:t>
      </w:r>
      <w:r>
        <w:rPr>
          <w:iCs/>
          <w:i/>
        </w:rPr>
        <w:t xml:space="preserve">Journal of Economic Perspectives</w:t>
      </w:r>
      <w:r>
        <w:t xml:space="preserve">, 29(3), 3–30.</w:t>
      </w:r>
    </w:p>
    <w:p>
      <w:pPr>
        <w:pStyle w:val="BodyText"/>
      </w:pPr>
      <w:r>
        <w:t xml:space="preserve">Autor, D. H., Levy, F., &amp; Murnane, R. J. (2003). The skill content of recent technological change: An empirical exploration.</w:t>
      </w:r>
      <w:r>
        <w:t xml:space="preserve"> </w:t>
      </w:r>
      <w:r>
        <w:rPr>
          <w:iCs/>
          <w:i/>
        </w:rPr>
        <w:t xml:space="preserve">Quarterly Journal of Economics</w:t>
      </w:r>
      <w:r>
        <w:t xml:space="preserve">, 118(4), 1279–1333.</w:t>
      </w:r>
    </w:p>
    <w:p>
      <w:pPr>
        <w:pStyle w:val="BodyText"/>
      </w:pPr>
      <w:r>
        <w:t xml:space="preserve">Autor, D., Mindell, D., &amp; Reynolds, E. (2022).</w:t>
      </w:r>
      <w:r>
        <w:t xml:space="preserve"> </w:t>
      </w:r>
      <w:r>
        <w:rPr>
          <w:iCs/>
          <w:i/>
        </w:rPr>
        <w:t xml:space="preserve">The work of the future: Building better jobs in an age of intelligent machines</w:t>
      </w:r>
      <w:r>
        <w:t xml:space="preserve">. MIT Press.</w:t>
      </w:r>
    </w:p>
    <w:p>
      <w:pPr>
        <w:pStyle w:val="BodyText"/>
      </w:pPr>
      <w:r>
        <w:t xml:space="preserve">Baldwin, R. (2016).</w:t>
      </w:r>
      <w:r>
        <w:t xml:space="preserve"> </w:t>
      </w:r>
      <w:r>
        <w:rPr>
          <w:iCs/>
          <w:i/>
        </w:rPr>
        <w:t xml:space="preserve">The great convergence: Information technology and the new globalization</w:t>
      </w:r>
      <w:r>
        <w:t xml:space="preserve">. Harvard University Press.</w:t>
      </w:r>
    </w:p>
    <w:p>
      <w:pPr>
        <w:pStyle w:val="BodyText"/>
      </w:pPr>
      <w:r>
        <w:t xml:space="preserve">Baldwin, R. (2019).</w:t>
      </w:r>
      <w:r>
        <w:t xml:space="preserve"> </w:t>
      </w:r>
      <w:r>
        <w:rPr>
          <w:iCs/>
          <w:i/>
        </w:rPr>
        <w:t xml:space="preserve">The globotics upheaval: Globalization, robotics, and the future of work</w:t>
      </w:r>
      <w:r>
        <w:t xml:space="preserve">. Oxford University Press.</w:t>
      </w:r>
    </w:p>
    <w:p>
      <w:pPr>
        <w:pStyle w:val="BodyText"/>
      </w:pPr>
      <w:r>
        <w:t xml:space="preserve">Blinder, A. S. (2006). Offshoring: The next industrial revolution?</w:t>
      </w:r>
      <w:r>
        <w:t xml:space="preserve"> </w:t>
      </w:r>
      <w:r>
        <w:rPr>
          <w:iCs/>
          <w:i/>
        </w:rPr>
        <w:t xml:space="preserve">Foreign Affairs</w:t>
      </w:r>
      <w:r>
        <w:t xml:space="preserve">, 85(2), 113–128.</w:t>
      </w:r>
    </w:p>
    <w:p>
      <w:pPr>
        <w:pStyle w:val="BodyText"/>
      </w:pPr>
      <w:r>
        <w:t xml:space="preserve">Brynjolfsson, E., Li, D., &amp; Raymond, L. (2025). Generative AI at work.</w:t>
      </w:r>
      <w:r>
        <w:t xml:space="preserve"> </w:t>
      </w:r>
      <w:r>
        <w:rPr>
          <w:iCs/>
          <w:i/>
        </w:rPr>
        <w:t xml:space="preserve">Quarterly Journal of Economics</w:t>
      </w:r>
      <w:r>
        <w:t xml:space="preserve">, 140(2), 889–942.</w:t>
      </w:r>
    </w:p>
    <w:p>
      <w:pPr>
        <w:pStyle w:val="BodyText"/>
      </w:pPr>
      <w:r>
        <w:t xml:space="preserve">Dell’Acqua, F., McFowland, E., Mollick, E., Lifshitz-Assaf, H., Kellogg, K., Rajendran, S., Krayer, L., Candelon, F., &amp; Lakhani, K. R. (2023). Navigating the jagged technological frontier: Field experimental evidence of the effects of AI on knowledge worker productivity and quality. Harvard Business School Working Paper 24-013.</w:t>
      </w:r>
    </w:p>
    <w:p>
      <w:pPr>
        <w:pStyle w:val="BodyText"/>
      </w:pPr>
      <w:r>
        <w:t xml:space="preserve">Eastman, C., Teicholz, P., Sacks, R., &amp; Liston, K. (2011).</w:t>
      </w:r>
      <w:r>
        <w:t xml:space="preserve"> </w:t>
      </w:r>
      <w:r>
        <w:rPr>
          <w:iCs/>
          <w:i/>
        </w:rPr>
        <w:t xml:space="preserve">BIM handbook: A guide to building information modeling</w:t>
      </w:r>
      <w:r>
        <w:t xml:space="preserve"> </w:t>
      </w:r>
      <w:r>
        <w:t xml:space="preserve">(2nd ed.). Wiley.</w:t>
      </w:r>
    </w:p>
    <w:p>
      <w:pPr>
        <w:pStyle w:val="BodyText"/>
      </w:pPr>
      <w:r>
        <w:t xml:space="preserve">Eloundou, T., Manning, S., Mishkin, P., &amp; Rock, D. (2023). GPTs are GPTs: An early look at the labor market impact potential of large language models. arXiv:2303.10130.</w:t>
      </w:r>
    </w:p>
    <w:p>
      <w:pPr>
        <w:pStyle w:val="BodyText"/>
      </w:pPr>
      <w:r>
        <w:t xml:space="preserve">Eloundou, T., Manning, S., Mishkin, P., &amp; Rock, D. (2024). GPTs are GPTs: Labor market impact potential of LLMs.</w:t>
      </w:r>
      <w:r>
        <w:t xml:space="preserve"> </w:t>
      </w:r>
      <w:r>
        <w:rPr>
          <w:iCs/>
          <w:i/>
        </w:rPr>
        <w:t xml:space="preserve">Science</w:t>
      </w:r>
      <w:r>
        <w:t xml:space="preserve">, 384(6702), 1306–1308.</w:t>
      </w:r>
    </w:p>
    <w:p>
      <w:pPr>
        <w:pStyle w:val="BodyText"/>
      </w:pPr>
      <w:r>
        <w:t xml:space="preserve">Eurostat. (2024–2026). ICT usage in enterprises: Artificial intelligence (</w:t>
      </w:r>
      <w:r>
        <w:rPr>
          <w:rStyle w:val="VerbatimChar"/>
        </w:rPr>
        <w:t xml:space="preserve">isoc_eb_ain2</w:t>
      </w:r>
      <w:r>
        <w:t xml:space="preserve">); national accounts (</w:t>
      </w:r>
      <w:r>
        <w:rPr>
          <w:rStyle w:val="VerbatimChar"/>
        </w:rPr>
        <w:t xml:space="preserve">nama_10_a64</w:t>
      </w:r>
      <w:r>
        <w:t xml:space="preserve">); structural business statistics (</w:t>
      </w:r>
      <w:r>
        <w:rPr>
          <w:rStyle w:val="VerbatimChar"/>
        </w:rPr>
        <w:t xml:space="preserve">sbs_ovw_act</w:t>
      </w:r>
      <w:r>
        <w:t xml:space="preserve">,</w:t>
      </w:r>
      <w:r>
        <w:t xml:space="preserve"> </w:t>
      </w:r>
      <w:r>
        <w:rPr>
          <w:rStyle w:val="VerbatimChar"/>
        </w:rPr>
        <w:t xml:space="preserve">sbs_sc_ovw</w:t>
      </w:r>
      <w:r>
        <w:t xml:space="preserve">). Luxembourg: European Commission.</w:t>
      </w:r>
    </w:p>
    <w:p>
      <w:pPr>
        <w:pStyle w:val="BodyText"/>
      </w:pPr>
      <w:r>
        <w:t xml:space="preserve">Felten, E., Raj, M., &amp; Seamans, R. (2018). A method to link advances in artificial intelligence to occupational abilities.</w:t>
      </w:r>
      <w:r>
        <w:t xml:space="preserve"> </w:t>
      </w:r>
      <w:r>
        <w:rPr>
          <w:iCs/>
          <w:i/>
        </w:rPr>
        <w:t xml:space="preserve">AEA Papers and Proceedings</w:t>
      </w:r>
      <w:r>
        <w:t xml:space="preserve">, 108, 54–57.</w:t>
      </w:r>
    </w:p>
    <w:p>
      <w:pPr>
        <w:pStyle w:val="BodyText"/>
      </w:pPr>
      <w:r>
        <w:t xml:space="preserve">Felten, E., Raj, M., &amp; Seamans, R. (2021). Occupational, industry, and geographic exposure to artificial intelligence: A novel dataset and its potential uses.</w:t>
      </w:r>
      <w:r>
        <w:t xml:space="preserve"> </w:t>
      </w:r>
      <w:r>
        <w:rPr>
          <w:iCs/>
          <w:i/>
        </w:rPr>
        <w:t xml:space="preserve">Strategic Management Journal</w:t>
      </w:r>
      <w:r>
        <w:t xml:space="preserve">, 42(12), 2195–2217.</w:t>
      </w:r>
    </w:p>
    <w:p>
      <w:pPr>
        <w:pStyle w:val="BodyText"/>
      </w:pPr>
      <w:r>
        <w:t xml:space="preserve">Fortanier, F., Liberatore, A., Maurer, A., &amp; Pilgrim, G. (2017). The OECD–WTO Balanced Trade in Services database. OECD/WTO.</w:t>
      </w:r>
    </w:p>
    <w:p>
      <w:pPr>
        <w:pStyle w:val="BodyText"/>
      </w:pPr>
      <w:r>
        <w:t xml:space="preserve">Francois, J., &amp; Hoekman, B. (2010). Services trade and policy.</w:t>
      </w:r>
      <w:r>
        <w:t xml:space="preserve"> </w:t>
      </w:r>
      <w:r>
        <w:rPr>
          <w:iCs/>
          <w:i/>
        </w:rPr>
        <w:t xml:space="preserve">Journal of Economic Literature</w:t>
      </w:r>
      <w:r>
        <w:t xml:space="preserve">, 48(3), 642–692.</w:t>
      </w:r>
    </w:p>
    <w:p>
      <w:pPr>
        <w:pStyle w:val="BodyText"/>
      </w:pPr>
      <w:r>
        <w:t xml:space="preserve">Gann, D. M., &amp; Salter, A. J. (2000). Innovation in project-based, service-enhanced firms: The construction of complex products and systems.</w:t>
      </w:r>
      <w:r>
        <w:t xml:space="preserve"> </w:t>
      </w:r>
      <w:r>
        <w:rPr>
          <w:iCs/>
          <w:i/>
        </w:rPr>
        <w:t xml:space="preserve">Research Policy</w:t>
      </w:r>
      <w:r>
        <w:t xml:space="preserve">, 29(7–8), 955–972.</w:t>
      </w:r>
    </w:p>
    <w:p>
      <w:pPr>
        <w:pStyle w:val="BodyText"/>
      </w:pPr>
      <w:r>
        <w:t xml:space="preserve">Goldfarb, A., Taska, B., &amp; Teodoridis, F. (2023). Could machine learning be a general purpose technology? A comparison of emerging methods and technology categories.</w:t>
      </w:r>
      <w:r>
        <w:t xml:space="preserve"> </w:t>
      </w:r>
      <w:r>
        <w:rPr>
          <w:iCs/>
          <w:i/>
        </w:rPr>
        <w:t xml:space="preserve">Research Policy</w:t>
      </w:r>
      <w:r>
        <w:t xml:space="preserve"> </w:t>
      </w:r>
      <w:r>
        <w:t xml:space="preserve">(related vacancy/AI-skill work).</w:t>
      </w:r>
    </w:p>
    <w:p>
      <w:pPr>
        <w:pStyle w:val="BodyText"/>
      </w:pPr>
      <w:r>
        <w:t xml:space="preserve">Grossman, G. M., &amp; Rossi-Hansberg, E. (2008). Trading tasks: A simple theory of offshoring.</w:t>
      </w:r>
      <w:r>
        <w:t xml:space="preserve"> </w:t>
      </w:r>
      <w:r>
        <w:rPr>
          <w:iCs/>
          <w:i/>
        </w:rPr>
        <w:t xml:space="preserve">American Economic Review</w:t>
      </w:r>
      <w:r>
        <w:t xml:space="preserve">, 98(5), 1978–1997.</w:t>
      </w:r>
    </w:p>
    <w:p>
      <w:pPr>
        <w:pStyle w:val="BodyTex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w:t>
      </w:r>
    </w:p>
    <w:p>
      <w:pPr>
        <w:pStyle w:val="BodyText"/>
      </w:pPr>
      <w:r>
        <w:t xml:space="preserve">ILO &amp; NASK. (2023).</w:t>
      </w:r>
      <w:r>
        <w:t xml:space="preserve"> </w:t>
      </w:r>
      <w:r>
        <w:rPr>
          <w:iCs/>
          <w:i/>
        </w:rPr>
        <w:t xml:space="preserve">Generative AI and jobs: A global analysis of potential effects on job quantity and quality</w:t>
      </w:r>
      <w:r>
        <w:t xml:space="preserve"> </w:t>
      </w:r>
      <w:r>
        <w:t xml:space="preserve">(ILO Working Paper 140). Geneva: International Labour Organization.</w:t>
      </w:r>
    </w:p>
    <w:p>
      <w:pPr>
        <w:pStyle w:val="BodyText"/>
      </w:pPr>
      <w:r>
        <w:t xml:space="preserve">Korinek, A., &amp; Stiglitz, J. E. (2021). Artificial intelligence, globalization, and strategies for economic development. NBER Working Paper 28453.</w:t>
      </w:r>
    </w:p>
    <w:p>
      <w:pPr>
        <w:pStyle w:val="BodyText"/>
      </w:pPr>
      <w:r>
        <w:t xml:space="preserve">Loungani, P., Mishra, S., Papageorgiou, C., &amp; Wang, K. (2017). World trade in services: Evidence from a new dataset. IMF Working Paper 17/77.</w:t>
      </w:r>
    </w:p>
    <w:p>
      <w:pPr>
        <w:pStyle w:val="BodyText"/>
      </w:pPr>
      <w:r>
        <w:t xml:space="preserve">Microsoft. (2026).</w:t>
      </w:r>
      <w:r>
        <w:t xml:space="preserve"> </w:t>
      </w:r>
      <w:r>
        <w:rPr>
          <w:iCs/>
          <w:i/>
        </w:rPr>
        <w:t xml:space="preserve">AI Diffusion Report</w:t>
      </w:r>
      <w:r>
        <w:t xml:space="preserve">, Q1 2026 update (user-share snapshot; not used as 2015–24 shock).</w:t>
      </w:r>
    </w:p>
    <w:p>
      <w:pPr>
        <w:pStyle w:val="BodyTex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pStyle w:val="BodyText"/>
      </w:pPr>
      <w:r>
        <w:t xml:space="preserve">OECD &amp; WTO. BaTIS: Balanced Trade in Services dataset, BPM6, adjustment B.</w:t>
      </w:r>
    </w:p>
    <w:p>
      <w:pPr>
        <w:pStyle w:val="BodyText"/>
      </w:pPr>
      <w:r>
        <w:t xml:space="preserve">Office for National Statistics. (2019). Which occupations are at highest risk of being automated? (Table 9, SOC 2010). APS SOC 2020 employment extracts as used in this repository.</w:t>
      </w:r>
    </w:p>
    <w:p>
      <w:pPr>
        <w:pStyle w:val="BodyText"/>
      </w:pPr>
      <w:r>
        <w:t xml:space="preserve">Peng, S., Kalliamvakou, E., Cihon, P., &amp; Demirer, M. (2023). The impact of AI on developer productivity: Evidence from GitHub Copilot. arXiv:2302.06590.</w:t>
      </w:r>
    </w:p>
    <w:p>
      <w:pPr>
        <w:pStyle w:val="BodyText"/>
      </w:pPr>
      <w:r>
        <w:t xml:space="preserve">Sacks, R., Eastman, C., Lee, G., &amp; Teicholz, P. (2018).</w:t>
      </w:r>
      <w:r>
        <w:t xml:space="preserve"> </w:t>
      </w:r>
      <w:r>
        <w:rPr>
          <w:iCs/>
          <w:i/>
        </w:rPr>
        <w:t xml:space="preserve">BIM handbook</w:t>
      </w:r>
      <w:r>
        <w:t xml:space="preserve"> </w:t>
      </w:r>
      <w:r>
        <w:t xml:space="preserve">(3rd ed.). Wiley.</w:t>
      </w:r>
    </w:p>
    <w:p>
      <w:pPr>
        <w:pStyle w:val="BodyText"/>
      </w:pPr>
      <w:r>
        <w:t xml:space="preserve">Webb, M. (2020). The impact of artificial intelligence on the labor market. Stanford mimeo.</w:t>
      </w:r>
    </w:p>
    <w:p>
      <w:pPr>
        <w:pStyle w:val="BodyText"/>
      </w:pPr>
      <w:r>
        <w:t xml:space="preserve">Winch, G. M. (2010).</w:t>
      </w:r>
      <w:r>
        <w:t xml:space="preserve"> </w:t>
      </w:r>
      <w:r>
        <w:rPr>
          <w:iCs/>
          <w:i/>
        </w:rPr>
        <w:t xml:space="preserve">Managing construction projects</w:t>
      </w:r>
      <w:r>
        <w:t xml:space="preserve"> </w:t>
      </w:r>
      <w:r>
        <w:t xml:space="preserve">(2nd ed.). Wiley-Blackwell.</w:t>
      </w:r>
    </w:p>
    <w:p>
      <w:pPr>
        <w:pStyle w:val="BodyText"/>
      </w:pPr>
      <w:r>
        <w:t xml:space="preserve">WTO. (1994).</w:t>
      </w:r>
      <w:r>
        <w:t xml:space="preserve"> </w:t>
      </w:r>
      <w:r>
        <w:rPr>
          <w:iCs/>
          <w:i/>
        </w:rPr>
        <w:t xml:space="preserve">General Agreement on Trade in Services</w:t>
      </w:r>
      <w:r>
        <w:t xml:space="preserve">. Geneva: World Trade Organization.</w:t>
      </w:r>
    </w:p>
    <w:p>
      <w:r>
        <w:pict>
          <v:rect style="width:0;height:1.5pt" o:hralign="center" o:hrstd="t" o:hr="t"/>
        </w:pict>
      </w:r>
    </w:p>
    <w:bookmarkEnd w:id="48"/>
    <w:bookmarkStart w:id="112" w:name="figure-captions"/>
    <w:p>
      <w:pPr>
        <w:pStyle w:val="Heading2"/>
      </w:pPr>
      <w:r>
        <w:t xml:space="preserve">Figure captions</w:t>
      </w:r>
    </w:p>
    <w:p>
      <w:pPr>
        <w:pStyle w:val="FirstParagraph"/>
      </w:pPr>
      <w:r>
        <w:t xml:space="preserve">PNG files live in</w:t>
      </w:r>
      <w:r>
        <w:t xml:space="preserve"> </w:t>
      </w:r>
      <w:r>
        <w:rPr>
          <w:rStyle w:val="VerbatimChar"/>
        </w:rPr>
        <w:t xml:space="preserve">figures/</w:t>
      </w:r>
      <w:r>
        <w:t xml:space="preserve"> </w:t>
      </w:r>
      <w:r>
        <w:t xml:space="preserve">and are generated from</w:t>
      </w:r>
      <w:r>
        <w:t xml:space="preserve"> </w:t>
      </w:r>
      <w:r>
        <w:rPr>
          <w:rStyle w:val="VerbatimChar"/>
        </w:rPr>
        <w:t xml:space="preserve">../data/</w:t>
      </w:r>
      <w:r>
        <w:t xml:space="preserve">.</w:t>
      </w:r>
    </w:p>
    <w:p>
      <w:pPr>
        <w:pStyle w:val="BodyText"/>
      </w:pPr>
      <w:r>
        <w:rPr>
          <w:bCs/>
          <w:b/>
        </w:rPr>
        <w:t xml:space="preserve">Figure 1.</w:t>
      </w:r>
      <w:r>
        <w:t xml:space="preserve"> </w:t>
      </w:r>
      <w:r>
        <w:t xml:space="preserve">Eurostat enterprise AI use, EU-27, NACE M vs NACE F, 2021–2025.</w:t>
      </w:r>
    </w:p>
    <w:p>
      <w:pPr>
        <w:pStyle w:val="BodyText"/>
      </w:pPr>
      <w:r>
        <w:drawing>
          <wp:inline>
            <wp:extent cx="5334000" cy="2992243"/>
            <wp:effectExtent b="0" l="0" r="0" t="0"/>
            <wp:docPr descr="Figure 1" title="" id="50" name="Picture"/>
            <a:graphic>
              <a:graphicData uri="http://schemas.openxmlformats.org/drawingml/2006/picture">
                <pic:pic>
                  <pic:nvPicPr>
                    <pic:cNvPr descr="figures/figure1_eurostat_M_vs_F.png" id="51" name="Picture"/>
                    <pic:cNvPicPr>
                      <a:picLocks noChangeArrowheads="1" noChangeAspect="1"/>
                    </pic:cNvPicPr>
                  </pic:nvPicPr>
                  <pic:blipFill>
                    <a:blip r:embed="rId49"/>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UK APS employment change, 16 civil-adjacent SOC 2020 unit groups, Dec 2021–Sep 2025.</w:t>
      </w:r>
    </w:p>
    <w:p>
      <w:pPr>
        <w:pStyle w:val="BodyText"/>
      </w:pPr>
      <w:r>
        <w:drawing>
          <wp:inline>
            <wp:extent cx="5334000" cy="3473302"/>
            <wp:effectExtent b="0" l="0" r="0" t="0"/>
            <wp:docPr descr="Figure 2" title="" id="53" name="Picture"/>
            <a:graphic>
              <a:graphicData uri="http://schemas.openxmlformats.org/drawingml/2006/picture">
                <pic:pic>
                  <pic:nvPicPr>
                    <pic:cNvPr descr="figures/figure2_uk_aps_bundle.png" id="54" name="Picture"/>
                    <pic:cNvPicPr>
                      <a:picLocks noChangeArrowheads="1" noChangeAspect="1"/>
                    </pic:cNvPicPr>
                  </pic:nvPicPr>
                  <pic:blipFill>
                    <a:blip r:embed="rId52"/>
                    <a:stretch>
                      <a:fillRect/>
                    </a:stretch>
                  </pic:blipFill>
                  <pic:spPr bwMode="auto">
                    <a:xfrm>
                      <a:off x="0" y="0"/>
                      <a:ext cx="5334000" cy="3473302"/>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UK BaTIS balanced imports: India SJ3, China SE, India SI.</w:t>
      </w:r>
    </w:p>
    <w:p>
      <w:pPr>
        <w:pStyle w:val="BodyText"/>
      </w:pPr>
      <w:r>
        <w:drawing>
          <wp:inline>
            <wp:extent cx="5334000" cy="2992243"/>
            <wp:effectExtent b="0" l="0" r="0" t="0"/>
            <wp:docPr descr="Figure 3" title="" id="56" name="Picture"/>
            <a:graphic>
              <a:graphicData uri="http://schemas.openxmlformats.org/drawingml/2006/picture">
                <pic:pic>
                  <pic:nvPicPr>
                    <pic:cNvPr descr="figures/figure3_uk_trade.png" id="57" name="Picture"/>
                    <pic:cNvPicPr>
                      <a:picLocks noChangeArrowheads="1" noChangeAspect="1"/>
                    </pic:cNvPicPr>
                  </pic:nvPicPr>
                  <pic:blipFill>
                    <a:blip r:embed="rId55"/>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Event study, year × importer ΔM TANY, omit 2022.</w:t>
      </w:r>
    </w:p>
    <w:p>
      <w:pPr>
        <w:pStyle w:val="BodyText"/>
      </w:pPr>
      <w:r>
        <w:drawing>
          <wp:inline>
            <wp:extent cx="5334000" cy="2992243"/>
            <wp:effectExtent b="0" l="0" r="0" t="0"/>
            <wp:docPr descr="Figure 4" title="" id="59" name="Picture"/>
            <a:graphic>
              <a:graphicData uri="http://schemas.openxmlformats.org/drawingml/2006/picture">
                <pic:pic>
                  <pic:nvPicPr>
                    <pic:cNvPr descr="figures/figure4_event_study.png" id="60" name="Picture"/>
                    <pic:cNvPicPr>
                      <a:picLocks noChangeArrowheads="1" noChangeAspect="1"/>
                    </pic:cNvPicPr>
                  </pic:nvPicPr>
                  <pic:blipFill>
                    <a:blip r:embed="rId58"/>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ILO ISIC M vs F employment growth, 2019–2024.</w:t>
      </w:r>
    </w:p>
    <w:p>
      <w:pPr>
        <w:pStyle w:val="BodyText"/>
      </w:pPr>
      <w:r>
        <w:drawing>
          <wp:inline>
            <wp:extent cx="5334000" cy="3382536"/>
            <wp:effectExtent b="0" l="0" r="0" t="0"/>
            <wp:docPr descr="Figure 5" title="" id="62" name="Picture"/>
            <a:graphic>
              <a:graphicData uri="http://schemas.openxmlformats.org/drawingml/2006/picture">
                <pic:pic>
                  <pic:nvPicPr>
                    <pic:cNvPr descr="figures/figure5_ilo_M_vs_F.png" id="63" name="Picture"/>
                    <pic:cNvPicPr>
                      <a:picLocks noChangeArrowheads="1" noChangeAspect="1"/>
                    </pic:cNvPicPr>
                  </pic:nvPicPr>
                  <pic:blipFill>
                    <a:blip r:embed="rId61"/>
                    <a:stretch>
                      <a:fillRect/>
                    </a:stretch>
                  </pic:blipFill>
                  <pic:spPr bwMode="auto">
                    <a:xfrm>
                      <a:off x="0" y="0"/>
                      <a:ext cx="5334000" cy="3382536"/>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EU-importer sums: Mode-1 SJ3 vs China SE.</w:t>
      </w:r>
    </w:p>
    <w:p>
      <w:pPr>
        <w:pStyle w:val="BodyText"/>
      </w:pPr>
      <w:r>
        <w:drawing>
          <wp:inline>
            <wp:extent cx="5334000" cy="2992243"/>
            <wp:effectExtent b="0" l="0" r="0" t="0"/>
            <wp:docPr descr="Figure 6" title="" id="65" name="Picture"/>
            <a:graphic>
              <a:graphicData uri="http://schemas.openxmlformats.org/drawingml/2006/picture">
                <pic:pic>
                  <pic:nvPicPr>
                    <pic:cNvPr descr="figures/figure6_eu_mode1_vs_china.png" id="66" name="Picture"/>
                    <pic:cNvPicPr>
                      <a:picLocks noChangeArrowheads="1" noChangeAspect="1"/>
                    </pic:cNvPicPr>
                  </pic:nvPicPr>
                  <pic:blipFill>
                    <a:blip r:embed="rId64"/>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Cross-section: ΔM TANY vs Δ log India SJ3, 2022–24.</w:t>
      </w:r>
    </w:p>
    <w:p>
      <w:pPr>
        <w:pStyle w:val="BodyText"/>
      </w:pPr>
      <w:r>
        <w:drawing>
          <wp:inline>
            <wp:extent cx="5334000" cy="3879272"/>
            <wp:effectExtent b="0" l="0" r="0" t="0"/>
            <wp:docPr descr="Figure 7" title="" id="68" name="Picture"/>
            <a:graphic>
              <a:graphicData uri="http://schemas.openxmlformats.org/drawingml/2006/picture">
                <pic:pic>
                  <pic:nvPicPr>
                    <pic:cNvPr descr="figures/figure7_cross_section.png" id="69" name="Picture"/>
                    <pic:cNvPicPr>
                      <a:picLocks noChangeArrowheads="1" noChangeAspect="1"/>
                    </pic:cNvPicPr>
                  </pic:nvPicPr>
                  <pic:blipFill>
                    <a:blip r:embed="rId67"/>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Cs/>
          <w:b/>
        </w:rPr>
        <w:t xml:space="preserve">Figure 8.</w:t>
      </w:r>
      <w:r>
        <w:t xml:space="preserve"> </w:t>
      </w:r>
      <w:r>
        <w:t xml:space="preserve">Leave-one-importer-out, TANY.</w:t>
      </w:r>
    </w:p>
    <w:p>
      <w:pPr>
        <w:pStyle w:val="BodyText"/>
      </w:pPr>
      <w:r>
        <w:drawing>
          <wp:inline>
            <wp:extent cx="5334000" cy="3252439"/>
            <wp:effectExtent b="0" l="0" r="0" t="0"/>
            <wp:docPr descr="Figure 8" title="" id="71" name="Picture"/>
            <a:graphic>
              <a:graphicData uri="http://schemas.openxmlformats.org/drawingml/2006/picture">
                <pic:pic>
                  <pic:nvPicPr>
                    <pic:cNvPr descr="figures/figure8_loo.png" id="72" name="Picture"/>
                    <pic:cNvPicPr>
                      <a:picLocks noChangeArrowheads="1" noChangeAspect="1"/>
                    </pic:cNvPicPr>
                  </pic:nvPicPr>
                  <pic:blipFill>
                    <a:blip r:embed="rId70"/>
                    <a:stretch>
                      <a:fillRect/>
                    </a:stretch>
                  </pic:blipFill>
                  <pic:spPr bwMode="auto">
                    <a:xfrm>
                      <a:off x="0" y="0"/>
                      <a:ext cx="5334000" cy="3252439"/>
                    </a:xfrm>
                    <a:prstGeom prst="rect">
                      <a:avLst/>
                    </a:prstGeom>
                    <a:noFill/>
                    <a:ln w="9525">
                      <a:noFill/>
                      <a:headEnd/>
                      <a:tailEnd/>
                    </a:ln>
                  </pic:spPr>
                </pic:pic>
              </a:graphicData>
            </a:graphic>
          </wp:inline>
        </w:drawing>
      </w:r>
    </w:p>
    <w:p>
      <w:pPr>
        <w:pStyle w:val="BodyText"/>
      </w:pPr>
      <w:r>
        <w:rPr>
          <w:bCs/>
          <w:b/>
        </w:rPr>
        <w:t xml:space="preserve">Figure 9.</w:t>
      </w:r>
      <w:r>
        <w:t xml:space="preserve"> </w:t>
      </w:r>
      <w:r>
        <w:t xml:space="preserve">NACE M71 vs F GVA, 2019–2023, current EUR.</w:t>
      </w:r>
    </w:p>
    <w:p>
      <w:pPr>
        <w:pStyle w:val="BodyText"/>
      </w:pPr>
      <w:r>
        <w:drawing>
          <wp:inline>
            <wp:extent cx="5334000" cy="3429000"/>
            <wp:effectExtent b="0" l="0" r="0" t="0"/>
            <wp:docPr descr="Figure 9" title="" id="74" name="Picture"/>
            <a:graphic>
              <a:graphicData uri="http://schemas.openxmlformats.org/drawingml/2006/picture">
                <pic:pic>
                  <pic:nvPicPr>
                    <pic:cNvPr descr="figures/figure9_m71_vs_F_gva.png" id="75" name="Picture"/>
                    <pic:cNvPicPr>
                      <a:picLocks noChangeArrowheads="1" noChangeAspect="1"/>
                    </pic:cNvPicPr>
                  </pic:nvPicPr>
                  <pic:blipFill>
                    <a:blip r:embed="rId7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10.</w:t>
      </w:r>
      <w:r>
        <w:t xml:space="preserve"> </w:t>
      </w:r>
      <w:r>
        <w:t xml:space="preserve">UK APS change versus Eloundou β_human and versus Felten AIOE.</w:t>
      </w:r>
    </w:p>
    <w:p>
      <w:pPr>
        <w:pStyle w:val="BodyText"/>
      </w:pPr>
      <w:r>
        <w:drawing>
          <wp:inline>
            <wp:extent cx="5334000" cy="2435086"/>
            <wp:effectExtent b="0" l="0" r="0" t="0"/>
            <wp:docPr descr="Figure 10" title="" id="77" name="Picture"/>
            <a:graphic>
              <a:graphicData uri="http://schemas.openxmlformats.org/drawingml/2006/picture">
                <pic:pic>
                  <pic:nvPicPr>
                    <pic:cNvPr descr="figures/figure10_instruments_vs_aps.png" id="78" name="Picture"/>
                    <pic:cNvPicPr>
                      <a:picLocks noChangeArrowheads="1" noChangeAspect="1"/>
                    </pic:cNvPicPr>
                  </pic:nvPicPr>
                  <pic:blipFill>
                    <a:blip r:embed="rId76"/>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rPr>
        <w:t xml:space="preserve">Figure 11.</w:t>
      </w:r>
      <w:r>
        <w:t xml:space="preserve"> </w:t>
      </w:r>
      <w:r>
        <w:t xml:space="preserve">Felten AIIE, US construction NAICS 23.</w:t>
      </w:r>
    </w:p>
    <w:p>
      <w:pPr>
        <w:pStyle w:val="BodyText"/>
      </w:pPr>
      <w:r>
        <w:drawing>
          <wp:inline>
            <wp:extent cx="5334000" cy="3122341"/>
            <wp:effectExtent b="0" l="0" r="0" t="0"/>
            <wp:docPr descr="Figure 11" title="" id="80" name="Picture"/>
            <a:graphic>
              <a:graphicData uri="http://schemas.openxmlformats.org/drawingml/2006/picture">
                <pic:pic>
                  <pic:nvPicPr>
                    <pic:cNvPr descr="figures/figure11_aiie_construction.png" id="81" name="Picture"/>
                    <pic:cNvPicPr>
                      <a:picLocks noChangeArrowheads="1" noChangeAspect="1"/>
                    </pic:cNvPicPr>
                  </pic:nvPicPr>
                  <pic:blipFill>
                    <a:blip r:embed="rId79"/>
                    <a:stretch>
                      <a:fillRect/>
                    </a:stretch>
                  </pic:blipFill>
                  <pic:spPr bwMode="auto">
                    <a:xfrm>
                      <a:off x="0" y="0"/>
                      <a:ext cx="5334000" cy="3122341"/>
                    </a:xfrm>
                    <a:prstGeom prst="rect">
                      <a:avLst/>
                    </a:prstGeom>
                    <a:noFill/>
                    <a:ln w="9525">
                      <a:noFill/>
                      <a:headEnd/>
                      <a:tailEnd/>
                    </a:ln>
                  </pic:spPr>
                </pic:pic>
              </a:graphicData>
            </a:graphic>
          </wp:inline>
        </w:drawing>
      </w:r>
    </w:p>
    <w:p>
      <w:pPr>
        <w:pStyle w:val="BodyText"/>
      </w:pPr>
      <w:r>
        <w:rPr>
          <w:bCs/>
          <w:b/>
        </w:rPr>
        <w:t xml:space="preserve">Figure 12.</w:t>
      </w:r>
      <w:r>
        <w:t xml:space="preserve"> </w:t>
      </w:r>
      <w:r>
        <w:t xml:space="preserve">EU-27 AI types: M NLG vs ML vs text mining vs construction NLG.</w:t>
      </w:r>
    </w:p>
    <w:p>
      <w:pPr>
        <w:pStyle w:val="BodyText"/>
      </w:pPr>
      <w:r>
        <w:drawing>
          <wp:inline>
            <wp:extent cx="5334000" cy="3048000"/>
            <wp:effectExtent b="0" l="0" r="0" t="0"/>
            <wp:docPr descr="Figure 12" title="" id="83" name="Picture"/>
            <a:graphic>
              <a:graphicData uri="http://schemas.openxmlformats.org/drawingml/2006/picture">
                <pic:pic>
                  <pic:nvPicPr>
                    <pic:cNvPr descr="figures/figure12_tnlg_vs_tml.png" id="84" name="Picture"/>
                    <pic:cNvPicPr>
                      <a:picLocks noChangeArrowheads="1" noChangeAspect="1"/>
                    </pic:cNvPicPr>
                  </pic:nvPicPr>
                  <pic:blipFill>
                    <a:blip r:embed="rId82"/>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Cs/>
          <w:b/>
        </w:rPr>
        <w:t xml:space="preserve">Figure 13.</w:t>
      </w:r>
      <w:r>
        <w:t xml:space="preserve"> </w:t>
      </w:r>
      <w:r>
        <w:t xml:space="preserve">2024 NLG use, NACE M versus F, by country.</w:t>
      </w:r>
    </w:p>
    <w:p>
      <w:pPr>
        <w:pStyle w:val="BodyText"/>
      </w:pPr>
      <w:r>
        <w:drawing>
          <wp:inline>
            <wp:extent cx="5334000" cy="3429000"/>
            <wp:effectExtent b="0" l="0" r="0" t="0"/>
            <wp:docPr descr="Figure 13" title="" id="86" name="Picture"/>
            <a:graphic>
              <a:graphicData uri="http://schemas.openxmlformats.org/drawingml/2006/picture">
                <pic:pic>
                  <pic:nvPicPr>
                    <pic:cNvPr descr="figures/figure13_tnlg_2024_MF.png" id="87" name="Picture"/>
                    <pic:cNvPicPr>
                      <a:picLocks noChangeArrowheads="1" noChangeAspect="1"/>
                    </pic:cNvPicPr>
                  </pic:nvPicPr>
                  <pic:blipFill>
                    <a:blip r:embed="rId8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14.</w:t>
      </w:r>
      <w:r>
        <w:t xml:space="preserve"> </w:t>
      </w:r>
      <w:r>
        <w:t xml:space="preserve">Event study, year × ΔM TNLG 2023–24, omit 2022.</w:t>
      </w:r>
    </w:p>
    <w:p>
      <w:pPr>
        <w:pStyle w:val="BodyText"/>
      </w:pPr>
      <w:r>
        <w:drawing>
          <wp:inline>
            <wp:extent cx="5334000" cy="2992243"/>
            <wp:effectExtent b="0" l="0" r="0" t="0"/>
            <wp:docPr descr="Figure 14" title="" id="89" name="Picture"/>
            <a:graphic>
              <a:graphicData uri="http://schemas.openxmlformats.org/drawingml/2006/picture">
                <pic:pic>
                  <pic:nvPicPr>
                    <pic:cNvPr descr="figures/figure14_event_study_tnlg.png" id="90" name="Picture"/>
                    <pic:cNvPicPr>
                      <a:picLocks noChangeArrowheads="1" noChangeAspect="1"/>
                    </pic:cNvPicPr>
                  </pic:nvPicPr>
                  <pic:blipFill>
                    <a:blip r:embed="rId88"/>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15.</w:t>
      </w:r>
      <w:r>
        <w:t xml:space="preserve"> </w:t>
      </w:r>
      <w:r>
        <w:t xml:space="preserve">ΔM TNLG 2023–24 vs Δ log India SJ3, 2022–24.</w:t>
      </w:r>
    </w:p>
    <w:p>
      <w:pPr>
        <w:pStyle w:val="BodyText"/>
      </w:pPr>
      <w:r>
        <w:drawing>
          <wp:inline>
            <wp:extent cx="5334000" cy="3765176"/>
            <wp:effectExtent b="0" l="0" r="0" t="0"/>
            <wp:docPr descr="Figure 15" title="" id="92" name="Picture"/>
            <a:graphic>
              <a:graphicData uri="http://schemas.openxmlformats.org/drawingml/2006/picture">
                <pic:pic>
                  <pic:nvPicPr>
                    <pic:cNvPr descr="figures/figure15_cross_section_tnlg.png" id="93" name="Picture"/>
                    <pic:cNvPicPr>
                      <a:picLocks noChangeArrowheads="1" noChangeAspect="1"/>
                    </pic:cNvPicPr>
                  </pic:nvPicPr>
                  <pic:blipFill>
                    <a:blip r:embed="rId91"/>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rPr>
          <w:bCs/>
          <w:b/>
        </w:rPr>
        <w:t xml:space="preserve">Figure 16.</w:t>
      </w:r>
      <w:r>
        <w:t xml:space="preserve"> </w:t>
      </w:r>
      <w:r>
        <w:t xml:space="preserve">EU-27 NLG by NACE M, J, C, N, F.</w:t>
      </w:r>
    </w:p>
    <w:p>
      <w:pPr>
        <w:pStyle w:val="BodyText"/>
      </w:pPr>
      <w:r>
        <w:drawing>
          <wp:inline>
            <wp:extent cx="5334000" cy="3048000"/>
            <wp:effectExtent b="0" l="0" r="0" t="0"/>
            <wp:docPr descr="Figure 16" title="" id="95" name="Picture"/>
            <a:graphic>
              <a:graphicData uri="http://schemas.openxmlformats.org/drawingml/2006/picture">
                <pic:pic>
                  <pic:nvPicPr>
                    <pic:cNvPr descr="figures/figure16_tnlg_by_nace.png" id="96" name="Picture"/>
                    <pic:cNvPicPr>
                      <a:picLocks noChangeArrowheads="1" noChangeAspect="1"/>
                    </pic:cNvPicPr>
                  </pic:nvPicPr>
                  <pic:blipFill>
                    <a:blip r:embed="rId94"/>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Cs/>
          <w:b/>
        </w:rPr>
        <w:t xml:space="preserve">Figure 17.</w:t>
      </w:r>
      <w:r>
        <w:t xml:space="preserve"> </w:t>
      </w:r>
      <w:r>
        <w:t xml:space="preserve">SBS net turnover growth 2021–24, M71 vs F.</w:t>
      </w:r>
    </w:p>
    <w:p>
      <w:pPr>
        <w:pStyle w:val="BodyText"/>
      </w:pPr>
      <w:r>
        <w:drawing>
          <wp:inline>
            <wp:extent cx="5334000" cy="3429000"/>
            <wp:effectExtent b="0" l="0" r="0" t="0"/>
            <wp:docPr descr="Figure 17" title="" id="98" name="Picture"/>
            <a:graphic>
              <a:graphicData uri="http://schemas.openxmlformats.org/drawingml/2006/picture">
                <pic:pic>
                  <pic:nvPicPr>
                    <pic:cNvPr descr="figures/figure17_sbs_turnover_m71_vs_F.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18.</w:t>
      </w:r>
      <w:r>
        <w:t xml:space="preserve"> </w:t>
      </w:r>
      <w:r>
        <w:t xml:space="preserve">SBS employment growth 2021–24, M71 vs F.</w:t>
      </w:r>
    </w:p>
    <w:p>
      <w:pPr>
        <w:pStyle w:val="BodyText"/>
      </w:pPr>
      <w:r>
        <w:drawing>
          <wp:inline>
            <wp:extent cx="5334000" cy="3429000"/>
            <wp:effectExtent b="0" l="0" r="0" t="0"/>
            <wp:docPr descr="Figure 18" title="" id="101" name="Picture"/>
            <a:graphic>
              <a:graphicData uri="http://schemas.openxmlformats.org/drawingml/2006/picture">
                <pic:pic>
                  <pic:nvPicPr>
                    <pic:cNvPr descr="figures/figure18_sbs_emp_m71_vs_F.png" id="102" name="Picture"/>
                    <pic:cNvPicPr>
                      <a:picLocks noChangeArrowheads="1" noChangeAspect="1"/>
                    </pic:cNvPicPr>
                  </pic:nvPicPr>
                  <pic:blipFill>
                    <a:blip r:embed="rId10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19.</w:t>
      </w:r>
      <w:r>
        <w:t xml:space="preserve"> </w:t>
      </w:r>
      <w:r>
        <w:t xml:space="preserve">ΔTNLG 2023–24 vs M71 turnover change 2023–24.</w:t>
      </w:r>
    </w:p>
    <w:p>
      <w:pPr>
        <w:pStyle w:val="BodyText"/>
      </w:pPr>
      <w:r>
        <w:drawing>
          <wp:inline>
            <wp:extent cx="5334000" cy="3765176"/>
            <wp:effectExtent b="0" l="0" r="0" t="0"/>
            <wp:docPr descr="Figure 19" title="" id="104" name="Picture"/>
            <a:graphic>
              <a:graphicData uri="http://schemas.openxmlformats.org/drawingml/2006/picture">
                <pic:pic>
                  <pic:nvPicPr>
                    <pic:cNvPr descr="figures/figure19_tnlg_vs_m71_turnover.png" id="105" name="Picture"/>
                    <pic:cNvPicPr>
                      <a:picLocks noChangeArrowheads="1" noChangeAspect="1"/>
                    </pic:cNvPicPr>
                  </pic:nvPicPr>
                  <pic:blipFill>
                    <a:blip r:embed="rId103"/>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rPr>
          <w:bCs/>
          <w:b/>
        </w:rPr>
        <w:t xml:space="preserve">Figure 20.</w:t>
      </w:r>
      <w:r>
        <w:t xml:space="preserve"> </w:t>
      </w:r>
      <w:r>
        <w:t xml:space="preserve">M71 net turnover levels, selected members.</w:t>
      </w:r>
    </w:p>
    <w:p>
      <w:pPr>
        <w:pStyle w:val="BodyText"/>
      </w:pPr>
      <w:r>
        <w:drawing>
          <wp:inline>
            <wp:extent cx="5334000" cy="3122341"/>
            <wp:effectExtent b="0" l="0" r="0" t="0"/>
            <wp:docPr descr="Figure 20" title="" id="107" name="Picture"/>
            <a:graphic>
              <a:graphicData uri="http://schemas.openxmlformats.org/drawingml/2006/picture">
                <pic:pic>
                  <pic:nvPicPr>
                    <pic:cNvPr descr="figures/figure20_m71_turnover_levels.png" id="108" name="Picture"/>
                    <pic:cNvPicPr>
                      <a:picLocks noChangeArrowheads="1" noChangeAspect="1"/>
                    </pic:cNvPicPr>
                  </pic:nvPicPr>
                  <pic:blipFill>
                    <a:blip r:embed="rId106"/>
                    <a:stretch>
                      <a:fillRect/>
                    </a:stretch>
                  </pic:blipFill>
                  <pic:spPr bwMode="auto">
                    <a:xfrm>
                      <a:off x="0" y="0"/>
                      <a:ext cx="5334000" cy="3122341"/>
                    </a:xfrm>
                    <a:prstGeom prst="rect">
                      <a:avLst/>
                    </a:prstGeom>
                    <a:noFill/>
                    <a:ln w="9525">
                      <a:noFill/>
                      <a:headEnd/>
                      <a:tailEnd/>
                    </a:ln>
                  </pic:spPr>
                </pic:pic>
              </a:graphicData>
            </a:graphic>
          </wp:inline>
        </w:drawing>
      </w:r>
    </w:p>
    <w:p>
      <w:pPr>
        <w:pStyle w:val="BodyText"/>
      </w:pPr>
      <w:r>
        <w:rPr>
          <w:bCs/>
          <w:b/>
        </w:rPr>
        <w:t xml:space="preserve">Figure 21.</w:t>
      </w:r>
      <w:r>
        <w:t xml:space="preserve"> </w:t>
      </w:r>
      <w:r>
        <w:t xml:space="preserve">US CES NAICS 54 only (not engineering 54133).</w:t>
      </w:r>
    </w:p>
    <w:p>
      <w:pPr>
        <w:pStyle w:val="BodyText"/>
      </w:pPr>
      <w:r>
        <w:drawing>
          <wp:inline>
            <wp:extent cx="5334000" cy="2933700"/>
            <wp:effectExtent b="0" l="0" r="0" t="0"/>
            <wp:docPr descr="Figure 21" title="" id="110" name="Picture"/>
            <a:graphic>
              <a:graphicData uri="http://schemas.openxmlformats.org/drawingml/2006/picture">
                <pic:pic>
                  <pic:nvPicPr>
                    <pic:cNvPr descr="figures/figure21_bls_naics54.png" id="111" name="Picture"/>
                    <pic:cNvPicPr>
                      <a:picLocks noChangeArrowheads="1" noChangeAspect="1"/>
                    </pic:cNvPicPr>
                  </pic:nvPicPr>
                  <pic:blipFill>
                    <a:blip r:embed="rId109"/>
                    <a:stretch>
                      <a:fillRect/>
                    </a:stretch>
                  </pic:blipFill>
                  <pic:spPr bwMode="auto">
                    <a:xfrm>
                      <a:off x="0" y="0"/>
                      <a:ext cx="5334000" cy="2933700"/>
                    </a:xfrm>
                    <a:prstGeom prst="rect">
                      <a:avLst/>
                    </a:prstGeom>
                    <a:noFill/>
                    <a:ln w="9525">
                      <a:noFill/>
                      <a:headEnd/>
                      <a:tailEnd/>
                    </a:ln>
                  </pic:spPr>
                </pic:pic>
              </a:graphicData>
            </a:graphic>
          </wp:inline>
        </w:drawing>
      </w:r>
    </w:p>
    <w:p>
      <w:r>
        <w:pict>
          <v:rect style="width:0;height:1.5pt" o:hralign="center" o:hrstd="t" o:hr="t"/>
        </w:pict>
      </w:r>
    </w:p>
    <w:bookmarkEnd w:id="112"/>
    <w:bookmarkStart w:id="129" w:name="X02f5955ed8a0a83aa7b3e4305372d4388f6d40e"/>
    <w:p>
      <w:pPr>
        <w:pStyle w:val="Heading2"/>
      </w:pPr>
      <w:r>
        <w:t xml:space="preserve">Article tables (generated from official series)</w:t>
      </w:r>
    </w:p>
    <w:p>
      <w:pPr>
        <w:pStyle w:val="FirstParagraph"/>
      </w:pPr>
      <w:r>
        <w:t xml:space="preserve">LLM occupation scores from the IJCM paper are</w:t>
      </w:r>
      <w:r>
        <w:t xml:space="preserve"> </w:t>
      </w:r>
      <w:r>
        <w:rPr>
          <w:bCs/>
          <w:b/>
        </w:rPr>
        <w:t xml:space="preserve">not</w:t>
      </w:r>
      <w:r>
        <w:t xml:space="preserve"> </w:t>
      </w:r>
      <w:r>
        <w:t xml:space="preserve">used. Exposure is Eloundou et al. matched to SOC 2020; employment is ONS APS.</w:t>
      </w:r>
    </w:p>
    <w:bookmarkStart w:id="113" w:name="X11bdf1e3f136eca1ec8e27c214c102a2956b949"/>
    <w:p>
      <w:pPr>
        <w:pStyle w:val="Heading3"/>
      </w:pPr>
      <w:r>
        <w:t xml:space="preserve">Table 1. Civil occupation exposure (Eloundou occ_level.csv)</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SOC2020</w:t>
            </w:r>
          </w:p>
        </w:tc>
        <w:tc>
          <w:tcPr/>
          <w:p>
            <w:pPr>
              <w:pStyle w:val="Compact"/>
              <w:jc w:val="left"/>
            </w:pPr>
            <w:r>
              <w:t xml:space="preserve">UK occupation</w:t>
            </w:r>
          </w:p>
        </w:tc>
        <w:tc>
          <w:tcPr/>
          <w:p>
            <w:pPr>
              <w:pStyle w:val="Compact"/>
              <w:jc w:val="left"/>
            </w:pPr>
            <w:r>
              <w:t xml:space="preserve">O*NET</w:t>
            </w:r>
          </w:p>
        </w:tc>
        <w:tc>
          <w:tcPr/>
          <w:p>
            <w:pPr>
              <w:pStyle w:val="Compact"/>
              <w:jc w:val="left"/>
            </w:pPr>
            <w:r>
              <w:t xml:space="preserve">O*NET title</w:t>
            </w:r>
          </w:p>
        </w:tc>
        <w:tc>
          <w:tcPr/>
          <w:p>
            <w:pPr>
              <w:pStyle w:val="Compact"/>
              <w:jc w:val="left"/>
            </w:pPr>
            <w:r>
              <w:t xml:space="preserve">Eloundou β_human</w:t>
            </w:r>
          </w:p>
        </w:tc>
        <w:tc>
          <w:tcPr/>
          <w:p>
            <w:pPr>
              <w:pStyle w:val="Compact"/>
              <w:jc w:val="left"/>
            </w:pPr>
            <w:r>
              <w:t xml:space="preserve">Eloundou β_model</w:t>
            </w:r>
          </w:p>
        </w:tc>
      </w:tr>
      <w:tr>
        <w:tc>
          <w:tcPr/>
          <w:p>
            <w:pPr>
              <w:pStyle w:val="Compact"/>
              <w:jc w:val="left"/>
            </w:pPr>
            <w:r>
              <w:t xml:space="preserve">2121</w:t>
            </w:r>
          </w:p>
        </w:tc>
        <w:tc>
          <w:tcPr/>
          <w:p>
            <w:pPr>
              <w:pStyle w:val="Compact"/>
              <w:jc w:val="left"/>
            </w:pPr>
            <w:r>
              <w:t xml:space="preserve">Civil engineers</w:t>
            </w:r>
          </w:p>
        </w:tc>
        <w:tc>
          <w:tcPr/>
          <w:p>
            <w:pPr>
              <w:pStyle w:val="Compact"/>
              <w:jc w:val="left"/>
            </w:pPr>
            <w:r>
              <w:t xml:space="preserve">17-2051.00</w:t>
            </w:r>
          </w:p>
        </w:tc>
        <w:tc>
          <w:tcPr/>
          <w:p>
            <w:pPr>
              <w:pStyle w:val="Compact"/>
              <w:jc w:val="left"/>
            </w:pPr>
            <w:r>
              <w:t xml:space="preserve">Civil Engineers</w:t>
            </w:r>
          </w:p>
        </w:tc>
        <w:tc>
          <w:tcPr/>
          <w:p>
            <w:pPr>
              <w:pStyle w:val="Compact"/>
              <w:jc w:val="left"/>
            </w:pPr>
            <w:r>
              <w:t xml:space="preserve">0.375</w:t>
            </w:r>
          </w:p>
        </w:tc>
        <w:tc>
          <w:tcPr/>
          <w:p>
            <w:pPr>
              <w:pStyle w:val="Compact"/>
              <w:jc w:val="left"/>
            </w:pPr>
            <w:r>
              <w:t xml:space="preserve">0.446</w:t>
            </w:r>
          </w:p>
        </w:tc>
      </w:tr>
      <w:tr>
        <w:tc>
          <w:tcPr/>
          <w:p>
            <w:pPr>
              <w:pStyle w:val="Compact"/>
              <w:jc w:val="left"/>
            </w:pPr>
            <w:r>
              <w:t xml:space="preserve">3114</w:t>
            </w:r>
          </w:p>
        </w:tc>
        <w:tc>
          <w:tcPr/>
          <w:p>
            <w:pPr>
              <w:pStyle w:val="Compact"/>
              <w:jc w:val="left"/>
            </w:pPr>
            <w:r>
              <w:t xml:space="preserve">Building and civil engineering technicians</w:t>
            </w:r>
          </w:p>
        </w:tc>
        <w:tc>
          <w:tcPr/>
          <w:p>
            <w:pPr>
              <w:pStyle w:val="Compact"/>
              <w:jc w:val="left"/>
            </w:pPr>
            <w:r>
              <w:t xml:space="preserve">17-3022.00</w:t>
            </w:r>
          </w:p>
        </w:tc>
        <w:tc>
          <w:tcPr/>
          <w:p>
            <w:pPr>
              <w:pStyle w:val="Compact"/>
              <w:jc w:val="left"/>
            </w:pPr>
            <w:r>
              <w:t xml:space="preserve">Civil Engineering Technologists and Technicians</w:t>
            </w:r>
          </w:p>
        </w:tc>
        <w:tc>
          <w:tcPr/>
          <w:p>
            <w:pPr>
              <w:pStyle w:val="Compact"/>
              <w:jc w:val="left"/>
            </w:pPr>
            <w:r>
              <w:t xml:space="preserve">0.477</w:t>
            </w:r>
          </w:p>
        </w:tc>
        <w:tc>
          <w:tcPr/>
          <w:p>
            <w:pPr>
              <w:pStyle w:val="Compact"/>
              <w:jc w:val="left"/>
            </w:pPr>
            <w:r>
              <w:t xml:space="preserve">0.591</w:t>
            </w:r>
          </w:p>
        </w:tc>
      </w:tr>
      <w:tr>
        <w:tc>
          <w:tcPr/>
          <w:p>
            <w:pPr>
              <w:pStyle w:val="Compact"/>
              <w:jc w:val="left"/>
            </w:pPr>
            <w:r>
              <w:t xml:space="preserve">3120</w:t>
            </w:r>
          </w:p>
        </w:tc>
        <w:tc>
          <w:tcPr/>
          <w:p>
            <w:pPr>
              <w:pStyle w:val="Compact"/>
              <w:jc w:val="left"/>
            </w:pPr>
            <w:r>
              <w:t xml:space="preserve">CAD, drawing and architectural technicians</w:t>
            </w:r>
          </w:p>
        </w:tc>
        <w:tc>
          <w:tcPr/>
          <w:p>
            <w:pPr>
              <w:pStyle w:val="Compact"/>
              <w:jc w:val="left"/>
            </w:pPr>
            <w:r>
              <w:t xml:space="preserve">17-3011.00</w:t>
            </w:r>
          </w:p>
        </w:tc>
        <w:tc>
          <w:tcPr/>
          <w:p>
            <w:pPr>
              <w:pStyle w:val="Compact"/>
              <w:jc w:val="left"/>
            </w:pPr>
            <w:r>
              <w:t xml:space="preserve">Architectural and Civil Drafters</w:t>
            </w:r>
          </w:p>
        </w:tc>
        <w:tc>
          <w:tcPr/>
          <w:p>
            <w:pPr>
              <w:pStyle w:val="Compact"/>
              <w:jc w:val="left"/>
            </w:pPr>
            <w:r>
              <w:t xml:space="preserve">0.520</w:t>
            </w:r>
          </w:p>
        </w:tc>
        <w:tc>
          <w:tcPr/>
          <w:p>
            <w:pPr>
              <w:pStyle w:val="Compact"/>
              <w:jc w:val="left"/>
            </w:pPr>
            <w:r>
              <w:t xml:space="preserve">0.540</w:t>
            </w:r>
          </w:p>
        </w:tc>
      </w:tr>
    </w:tbl>
    <w:bookmarkEnd w:id="113"/>
    <w:bookmarkStart w:id="114" w:name="X71de891f26f41cfecd832b1d80c6df123421e6a"/>
    <w:p>
      <w:pPr>
        <w:pStyle w:val="Heading3"/>
      </w:pPr>
      <w:r>
        <w:t xml:space="preserve">Table 2. UK APS employment, civil-adjacent SOC 2020 (Dec 2021–Sep 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SOC2020</w:t>
            </w:r>
          </w:p>
        </w:tc>
        <w:tc>
          <w:tcPr/>
          <w:p>
            <w:pPr>
              <w:pStyle w:val="Compact"/>
              <w:jc w:val="left"/>
            </w:pPr>
            <w:r>
              <w:t xml:space="preserve">occupation</w:t>
            </w:r>
          </w:p>
        </w:tc>
        <w:tc>
          <w:tcPr/>
          <w:p>
            <w:pPr>
              <w:pStyle w:val="Compact"/>
              <w:jc w:val="left"/>
            </w:pPr>
            <w:r>
              <w:t xml:space="preserve">emp_2021_12</w:t>
            </w:r>
          </w:p>
        </w:tc>
        <w:tc>
          <w:tcPr/>
          <w:p>
            <w:pPr>
              <w:pStyle w:val="Compact"/>
              <w:jc w:val="left"/>
            </w:pPr>
            <w:r>
              <w:t xml:space="preserve">emp_2025_09</w:t>
            </w:r>
          </w:p>
        </w:tc>
        <w:tc>
          <w:tcPr/>
          <w:p>
            <w:pPr>
              <w:pStyle w:val="Compact"/>
              <w:jc w:val="left"/>
            </w:pPr>
            <w:r>
              <w:t xml:space="preserve">change_pct</w:t>
            </w:r>
          </w:p>
        </w:tc>
        <w:tc>
          <w:tcPr/>
          <w:p>
            <w:pPr>
              <w:pStyle w:val="Compact"/>
              <w:jc w:val="left"/>
            </w:pPr>
            <w:r>
              <w:t xml:space="preserve">Eloundou β_human</w:t>
            </w:r>
          </w:p>
        </w:tc>
      </w:tr>
      <w:tr>
        <w:tc>
          <w:tcPr/>
          <w:p>
            <w:pPr>
              <w:pStyle w:val="Compact"/>
              <w:jc w:val="left"/>
            </w:pPr>
            <w:r>
              <w:t xml:space="preserve">2481</w:t>
            </w:r>
          </w:p>
        </w:tc>
        <w:tc>
          <w:tcPr/>
          <w:p>
            <w:pPr>
              <w:pStyle w:val="Compact"/>
              <w:jc w:val="left"/>
            </w:pPr>
            <w:r>
              <w:t xml:space="preserve">Quality control and planning engineers</w:t>
            </w:r>
          </w:p>
        </w:tc>
        <w:tc>
          <w:tcPr/>
          <w:p>
            <w:pPr>
              <w:pStyle w:val="Compact"/>
              <w:jc w:val="left"/>
            </w:pPr>
            <w:r>
              <w:t xml:space="preserve">47,000</w:t>
            </w:r>
          </w:p>
        </w:tc>
        <w:tc>
          <w:tcPr/>
          <w:p>
            <w:pPr>
              <w:pStyle w:val="Compact"/>
              <w:jc w:val="left"/>
            </w:pPr>
            <w:r>
              <w:t xml:space="preserve">35,100</w:t>
            </w:r>
          </w:p>
        </w:tc>
        <w:tc>
          <w:tcPr/>
          <w:p>
            <w:pPr>
              <w:pStyle w:val="Compact"/>
              <w:jc w:val="left"/>
            </w:pPr>
            <w:r>
              <w:t xml:space="preserve">-25.3</w:t>
            </w:r>
          </w:p>
        </w:tc>
        <w:tc>
          <w:tcPr/>
          <w:p>
            <w:pPr>
              <w:pStyle w:val="Compact"/>
            </w:pPr>
          </w:p>
        </w:tc>
      </w:tr>
      <w:tr>
        <w:tc>
          <w:tcPr/>
          <w:p>
            <w:pPr>
              <w:pStyle w:val="Compact"/>
              <w:jc w:val="left"/>
            </w:pPr>
            <w:r>
              <w:t xml:space="preserve">3120</w:t>
            </w:r>
          </w:p>
        </w:tc>
        <w:tc>
          <w:tcPr/>
          <w:p>
            <w:pPr>
              <w:pStyle w:val="Compact"/>
              <w:jc w:val="left"/>
            </w:pPr>
            <w:r>
              <w:t xml:space="preserve">CAD, drawing and architectural technicians</w:t>
            </w:r>
          </w:p>
        </w:tc>
        <w:tc>
          <w:tcPr/>
          <w:p>
            <w:pPr>
              <w:pStyle w:val="Compact"/>
              <w:jc w:val="left"/>
            </w:pPr>
            <w:r>
              <w:t xml:space="preserve">72,900</w:t>
            </w:r>
          </w:p>
        </w:tc>
        <w:tc>
          <w:tcPr/>
          <w:p>
            <w:pPr>
              <w:pStyle w:val="Compact"/>
              <w:jc w:val="left"/>
            </w:pPr>
            <w:r>
              <w:t xml:space="preserve">55,500</w:t>
            </w:r>
          </w:p>
        </w:tc>
        <w:tc>
          <w:tcPr/>
          <w:p>
            <w:pPr>
              <w:pStyle w:val="Compact"/>
              <w:jc w:val="left"/>
            </w:pPr>
            <w:r>
              <w:t xml:space="preserve">-23.9</w:t>
            </w:r>
          </w:p>
        </w:tc>
        <w:tc>
          <w:tcPr/>
          <w:p>
            <w:pPr>
              <w:pStyle w:val="Compact"/>
              <w:jc w:val="left"/>
            </w:pPr>
            <w:r>
              <w:t xml:space="preserve">0.520</w:t>
            </w:r>
          </w:p>
        </w:tc>
      </w:tr>
      <w:tr>
        <w:tc>
          <w:tcPr/>
          <w:p>
            <w:pPr>
              <w:pStyle w:val="Compact"/>
              <w:jc w:val="left"/>
            </w:pPr>
            <w:r>
              <w:t xml:space="preserve">2454</w:t>
            </w:r>
          </w:p>
        </w:tc>
        <w:tc>
          <w:tcPr/>
          <w:p>
            <w:pPr>
              <w:pStyle w:val="Compact"/>
              <w:jc w:val="left"/>
            </w:pPr>
            <w:r>
              <w:t xml:space="preserve">Chartered surveyors</w:t>
            </w:r>
          </w:p>
        </w:tc>
        <w:tc>
          <w:tcPr/>
          <w:p>
            <w:pPr>
              <w:pStyle w:val="Compact"/>
              <w:jc w:val="left"/>
            </w:pPr>
            <w:r>
              <w:t xml:space="preserve">76,500</w:t>
            </w:r>
          </w:p>
        </w:tc>
        <w:tc>
          <w:tcPr/>
          <w:p>
            <w:pPr>
              <w:pStyle w:val="Compact"/>
              <w:jc w:val="left"/>
            </w:pPr>
            <w:r>
              <w:t xml:space="preserve">59,900</w:t>
            </w:r>
          </w:p>
        </w:tc>
        <w:tc>
          <w:tcPr/>
          <w:p>
            <w:pPr>
              <w:pStyle w:val="Compact"/>
              <w:jc w:val="left"/>
            </w:pPr>
            <w:r>
              <w:t xml:space="preserve">-21.7</w:t>
            </w:r>
          </w:p>
        </w:tc>
        <w:tc>
          <w:tcPr/>
          <w:p>
            <w:pPr>
              <w:pStyle w:val="Compact"/>
            </w:pPr>
          </w:p>
        </w:tc>
      </w:tr>
      <w:tr>
        <w:tc>
          <w:tcPr/>
          <w:p>
            <w:pPr>
              <w:pStyle w:val="Compact"/>
              <w:jc w:val="left"/>
            </w:pPr>
            <w:r>
              <w:t xml:space="preserve">2121</w:t>
            </w:r>
          </w:p>
        </w:tc>
        <w:tc>
          <w:tcPr/>
          <w:p>
            <w:pPr>
              <w:pStyle w:val="Compact"/>
              <w:jc w:val="left"/>
            </w:pPr>
            <w:r>
              <w:t xml:space="preserve">Civil engineers</w:t>
            </w:r>
          </w:p>
        </w:tc>
        <w:tc>
          <w:tcPr/>
          <w:p>
            <w:pPr>
              <w:pStyle w:val="Compact"/>
              <w:jc w:val="left"/>
            </w:pPr>
            <w:r>
              <w:t xml:space="preserve">115,800</w:t>
            </w:r>
          </w:p>
        </w:tc>
        <w:tc>
          <w:tcPr/>
          <w:p>
            <w:pPr>
              <w:pStyle w:val="Compact"/>
              <w:jc w:val="left"/>
            </w:pPr>
            <w:r>
              <w:t xml:space="preserve">99,200</w:t>
            </w:r>
          </w:p>
        </w:tc>
        <w:tc>
          <w:tcPr/>
          <w:p>
            <w:pPr>
              <w:pStyle w:val="Compact"/>
              <w:jc w:val="left"/>
            </w:pPr>
            <w:r>
              <w:t xml:space="preserve">-14.3</w:t>
            </w:r>
          </w:p>
        </w:tc>
        <w:tc>
          <w:tcPr/>
          <w:p>
            <w:pPr>
              <w:pStyle w:val="Compact"/>
              <w:jc w:val="left"/>
            </w:pPr>
            <w:r>
              <w:t xml:space="preserve">0.375</w:t>
            </w:r>
          </w:p>
        </w:tc>
      </w:tr>
      <w:tr>
        <w:tc>
          <w:tcPr/>
          <w:p>
            <w:pPr>
              <w:pStyle w:val="Compact"/>
              <w:jc w:val="left"/>
            </w:pPr>
            <w:r>
              <w:t xml:space="preserve">2453</w:t>
            </w:r>
          </w:p>
        </w:tc>
        <w:tc>
          <w:tcPr/>
          <w:p>
            <w:pPr>
              <w:pStyle w:val="Compact"/>
              <w:jc w:val="left"/>
            </w:pPr>
            <w:r>
              <w:t xml:space="preserve">Quantity surveyors</w:t>
            </w:r>
          </w:p>
        </w:tc>
        <w:tc>
          <w:tcPr/>
          <w:p>
            <w:pPr>
              <w:pStyle w:val="Compact"/>
              <w:jc w:val="left"/>
            </w:pPr>
            <w:r>
              <w:t xml:space="preserve">63,000</w:t>
            </w:r>
          </w:p>
        </w:tc>
        <w:tc>
          <w:tcPr/>
          <w:p>
            <w:pPr>
              <w:pStyle w:val="Compact"/>
              <w:jc w:val="left"/>
            </w:pPr>
            <w:r>
              <w:t xml:space="preserve">54,200</w:t>
            </w:r>
          </w:p>
        </w:tc>
        <w:tc>
          <w:tcPr/>
          <w:p>
            <w:pPr>
              <w:pStyle w:val="Compact"/>
              <w:jc w:val="left"/>
            </w:pPr>
            <w:r>
              <w:t xml:space="preserve">-14.0</w:t>
            </w:r>
          </w:p>
        </w:tc>
        <w:tc>
          <w:tcPr/>
          <w:p>
            <w:pPr>
              <w:pStyle w:val="Compact"/>
            </w:pPr>
          </w:p>
        </w:tc>
      </w:tr>
      <w:tr>
        <w:tc>
          <w:tcPr/>
          <w:p>
            <w:pPr>
              <w:pStyle w:val="Compact"/>
              <w:jc w:val="left"/>
            </w:pPr>
            <w:r>
              <w:t xml:space="preserve">3581</w:t>
            </w:r>
          </w:p>
        </w:tc>
        <w:tc>
          <w:tcPr/>
          <w:p>
            <w:pPr>
              <w:pStyle w:val="Compact"/>
              <w:jc w:val="left"/>
            </w:pPr>
            <w:r>
              <w:t xml:space="preserve">Inspectors of standards and regulations</w:t>
            </w:r>
          </w:p>
        </w:tc>
        <w:tc>
          <w:tcPr/>
          <w:p>
            <w:pPr>
              <w:pStyle w:val="Compact"/>
              <w:jc w:val="left"/>
            </w:pPr>
            <w:r>
              <w:t xml:space="preserve">48,000</w:t>
            </w:r>
          </w:p>
        </w:tc>
        <w:tc>
          <w:tcPr/>
          <w:p>
            <w:pPr>
              <w:pStyle w:val="Compact"/>
              <w:jc w:val="left"/>
            </w:pPr>
            <w:r>
              <w:t xml:space="preserve">46,700</w:t>
            </w:r>
          </w:p>
        </w:tc>
        <w:tc>
          <w:tcPr/>
          <w:p>
            <w:pPr>
              <w:pStyle w:val="Compact"/>
              <w:jc w:val="left"/>
            </w:pPr>
            <w:r>
              <w:t xml:space="preserve">-2.7</w:t>
            </w:r>
          </w:p>
        </w:tc>
        <w:tc>
          <w:tcPr/>
          <w:p>
            <w:pPr>
              <w:pStyle w:val="Compact"/>
            </w:pPr>
          </w:p>
        </w:tc>
      </w:tr>
      <w:tr>
        <w:tc>
          <w:tcPr/>
          <w:p>
            <w:pPr>
              <w:pStyle w:val="Compact"/>
              <w:jc w:val="left"/>
            </w:pPr>
            <w:r>
              <w:t xml:space="preserve">2455</w:t>
            </w:r>
          </w:p>
        </w:tc>
        <w:tc>
          <w:tcPr/>
          <w:p>
            <w:pPr>
              <w:pStyle w:val="Compact"/>
              <w:jc w:val="left"/>
            </w:pPr>
            <w:r>
              <w:t xml:space="preserve">Construction project managers and related professionals</w:t>
            </w:r>
          </w:p>
        </w:tc>
        <w:tc>
          <w:tcPr/>
          <w:p>
            <w:pPr>
              <w:pStyle w:val="Compact"/>
              <w:jc w:val="left"/>
            </w:pPr>
            <w:r>
              <w:t xml:space="preserve">107,500</w:t>
            </w:r>
          </w:p>
        </w:tc>
        <w:tc>
          <w:tcPr/>
          <w:p>
            <w:pPr>
              <w:pStyle w:val="Compact"/>
              <w:jc w:val="left"/>
            </w:pPr>
            <w:r>
              <w:t xml:space="preserve">112,300</w:t>
            </w:r>
          </w:p>
        </w:tc>
        <w:tc>
          <w:tcPr/>
          <w:p>
            <w:pPr>
              <w:pStyle w:val="Compact"/>
              <w:jc w:val="left"/>
            </w:pPr>
            <w:r>
              <w:t xml:space="preserve">4.5</w:t>
            </w:r>
          </w:p>
        </w:tc>
        <w:tc>
          <w:tcPr/>
          <w:p>
            <w:pPr>
              <w:pStyle w:val="Compact"/>
            </w:pPr>
          </w:p>
        </w:tc>
      </w:tr>
      <w:tr>
        <w:tc>
          <w:tcPr/>
          <w:p>
            <w:pPr>
              <w:pStyle w:val="Compact"/>
              <w:jc w:val="left"/>
            </w:pPr>
            <w:r>
              <w:t xml:space="preserve">2452</w:t>
            </w:r>
          </w:p>
        </w:tc>
        <w:tc>
          <w:tcPr/>
          <w:p>
            <w:pPr>
              <w:pStyle w:val="Compact"/>
              <w:jc w:val="left"/>
            </w:pPr>
            <w:r>
              <w:t xml:space="preserve">Chartered architectural technologists, planning officers and consultants</w:t>
            </w:r>
          </w:p>
        </w:tc>
        <w:tc>
          <w:tcPr/>
          <w:p>
            <w:pPr>
              <w:pStyle w:val="Compact"/>
              <w:jc w:val="left"/>
            </w:pPr>
            <w:r>
              <w:t xml:space="preserve">52,000</w:t>
            </w:r>
          </w:p>
        </w:tc>
        <w:tc>
          <w:tcPr/>
          <w:p>
            <w:pPr>
              <w:pStyle w:val="Compact"/>
              <w:jc w:val="left"/>
            </w:pPr>
            <w:r>
              <w:t xml:space="preserve">57,100</w:t>
            </w:r>
          </w:p>
        </w:tc>
        <w:tc>
          <w:tcPr/>
          <w:p>
            <w:pPr>
              <w:pStyle w:val="Compact"/>
              <w:jc w:val="left"/>
            </w:pPr>
            <w:r>
              <w:t xml:space="preserve">9.8</w:t>
            </w:r>
          </w:p>
        </w:tc>
        <w:tc>
          <w:tcPr/>
          <w:p>
            <w:pPr>
              <w:pStyle w:val="Compact"/>
            </w:pPr>
          </w:p>
        </w:tc>
      </w:tr>
      <w:tr>
        <w:tc>
          <w:tcPr/>
          <w:p>
            <w:pPr>
              <w:pStyle w:val="Compact"/>
              <w:jc w:val="left"/>
            </w:pPr>
            <w:r>
              <w:t xml:space="preserve">3541</w:t>
            </w:r>
          </w:p>
        </w:tc>
        <w:tc>
          <w:tcPr/>
          <w:p>
            <w:pPr>
              <w:pStyle w:val="Compact"/>
              <w:jc w:val="left"/>
            </w:pPr>
            <w:r>
              <w:t xml:space="preserve">Estimators, valuers and assessors</w:t>
            </w:r>
          </w:p>
        </w:tc>
        <w:tc>
          <w:tcPr/>
          <w:p>
            <w:pPr>
              <w:pStyle w:val="Compact"/>
              <w:jc w:val="left"/>
            </w:pPr>
            <w:r>
              <w:t xml:space="preserve">55,400</w:t>
            </w:r>
          </w:p>
        </w:tc>
        <w:tc>
          <w:tcPr/>
          <w:p>
            <w:pPr>
              <w:pStyle w:val="Compact"/>
              <w:jc w:val="left"/>
            </w:pPr>
            <w:r>
              <w:t xml:space="preserve">61,300</w:t>
            </w:r>
          </w:p>
        </w:tc>
        <w:tc>
          <w:tcPr/>
          <w:p>
            <w:pPr>
              <w:pStyle w:val="Compact"/>
              <w:jc w:val="left"/>
            </w:pPr>
            <w:r>
              <w:t xml:space="preserve">10.6</w:t>
            </w:r>
          </w:p>
        </w:tc>
        <w:tc>
          <w:tcPr/>
          <w:p>
            <w:pPr>
              <w:pStyle w:val="Compact"/>
            </w:pPr>
          </w:p>
        </w:tc>
      </w:tr>
      <w:tr>
        <w:tc>
          <w:tcPr/>
          <w:p>
            <w:pPr>
              <w:pStyle w:val="Compact"/>
              <w:jc w:val="left"/>
            </w:pPr>
            <w:r>
              <w:t xml:space="preserve">3582</w:t>
            </w:r>
          </w:p>
        </w:tc>
        <w:tc>
          <w:tcPr/>
          <w:p>
            <w:pPr>
              <w:pStyle w:val="Compact"/>
              <w:jc w:val="left"/>
            </w:pPr>
            <w:r>
              <w:t xml:space="preserve">Health and safety managers and officers</w:t>
            </w:r>
          </w:p>
        </w:tc>
        <w:tc>
          <w:tcPr/>
          <w:p>
            <w:pPr>
              <w:pStyle w:val="Compact"/>
              <w:jc w:val="left"/>
            </w:pPr>
            <w:r>
              <w:t xml:space="preserve">75,400</w:t>
            </w:r>
          </w:p>
        </w:tc>
        <w:tc>
          <w:tcPr/>
          <w:p>
            <w:pPr>
              <w:pStyle w:val="Compact"/>
              <w:jc w:val="left"/>
            </w:pPr>
            <w:r>
              <w:t xml:space="preserve">89,300</w:t>
            </w:r>
          </w:p>
        </w:tc>
        <w:tc>
          <w:tcPr/>
          <w:p>
            <w:pPr>
              <w:pStyle w:val="Compact"/>
              <w:jc w:val="left"/>
            </w:pPr>
            <w:r>
              <w:t xml:space="preserve">18.4</w:t>
            </w:r>
          </w:p>
        </w:tc>
        <w:tc>
          <w:tcPr/>
          <w:p>
            <w:pPr>
              <w:pStyle w:val="Compact"/>
            </w:pPr>
          </w:p>
        </w:tc>
      </w:tr>
      <w:tr>
        <w:tc>
          <w:tcPr/>
          <w:p>
            <w:pPr>
              <w:pStyle w:val="Compact"/>
              <w:jc w:val="left"/>
            </w:pPr>
            <w:r>
              <w:t xml:space="preserve">2127</w:t>
            </w:r>
          </w:p>
        </w:tc>
        <w:tc>
          <w:tcPr/>
          <w:p>
            <w:pPr>
              <w:pStyle w:val="Compact"/>
              <w:jc w:val="left"/>
            </w:pPr>
            <w:r>
              <w:t xml:space="preserve">Engineering project managers and project engineers</w:t>
            </w:r>
          </w:p>
        </w:tc>
        <w:tc>
          <w:tcPr/>
          <w:p>
            <w:pPr>
              <w:pStyle w:val="Compact"/>
              <w:jc w:val="left"/>
            </w:pPr>
            <w:r>
              <w:t xml:space="preserve">62,100</w:t>
            </w:r>
          </w:p>
        </w:tc>
        <w:tc>
          <w:tcPr/>
          <w:p>
            <w:pPr>
              <w:pStyle w:val="Compact"/>
              <w:jc w:val="left"/>
            </w:pPr>
            <w:r>
              <w:t xml:space="preserve">78,600</w:t>
            </w:r>
          </w:p>
        </w:tc>
        <w:tc>
          <w:tcPr/>
          <w:p>
            <w:pPr>
              <w:pStyle w:val="Compact"/>
              <w:jc w:val="left"/>
            </w:pPr>
            <w:r>
              <w:t xml:space="preserve">26.6</w:t>
            </w:r>
          </w:p>
        </w:tc>
        <w:tc>
          <w:tcPr/>
          <w:p>
            <w:pPr>
              <w:pStyle w:val="Compact"/>
            </w:pPr>
          </w:p>
        </w:tc>
      </w:tr>
      <w:tr>
        <w:tc>
          <w:tcPr/>
          <w:p>
            <w:pPr>
              <w:pStyle w:val="Compact"/>
              <w:jc w:val="left"/>
            </w:pPr>
            <w:r>
              <w:t xml:space="preserve">2483</w:t>
            </w:r>
          </w:p>
        </w:tc>
        <w:tc>
          <w:tcPr/>
          <w:p>
            <w:pPr>
              <w:pStyle w:val="Compact"/>
              <w:jc w:val="left"/>
            </w:pPr>
            <w:r>
              <w:t xml:space="preserve">Environmental health professionals</w:t>
            </w:r>
          </w:p>
        </w:tc>
        <w:tc>
          <w:tcPr/>
          <w:p>
            <w:pPr>
              <w:pStyle w:val="Compact"/>
              <w:jc w:val="left"/>
            </w:pPr>
            <w:r>
              <w:t xml:space="preserve">9,000</w:t>
            </w:r>
          </w:p>
        </w:tc>
        <w:tc>
          <w:tcPr/>
          <w:p>
            <w:pPr>
              <w:pStyle w:val="Compact"/>
              <w:jc w:val="left"/>
            </w:pPr>
            <w:r>
              <w:t xml:space="preserve">11,400</w:t>
            </w:r>
          </w:p>
        </w:tc>
        <w:tc>
          <w:tcPr/>
          <w:p>
            <w:pPr>
              <w:pStyle w:val="Compact"/>
              <w:jc w:val="left"/>
            </w:pPr>
            <w:r>
              <w:t xml:space="preserve">26.7</w:t>
            </w:r>
          </w:p>
        </w:tc>
        <w:tc>
          <w:tcPr/>
          <w:p>
            <w:pPr>
              <w:pStyle w:val="Compact"/>
            </w:pPr>
          </w:p>
        </w:tc>
      </w:tr>
      <w:tr>
        <w:tc>
          <w:tcPr/>
          <w:p>
            <w:pPr>
              <w:pStyle w:val="Compact"/>
              <w:jc w:val="left"/>
            </w:pPr>
            <w:r>
              <w:t xml:space="preserve">2114</w:t>
            </w:r>
          </w:p>
        </w:tc>
        <w:tc>
          <w:tcPr/>
          <w:p>
            <w:pPr>
              <w:pStyle w:val="Compact"/>
              <w:jc w:val="left"/>
            </w:pPr>
            <w:r>
              <w:t xml:space="preserve">Physical scientists</w:t>
            </w:r>
          </w:p>
        </w:tc>
        <w:tc>
          <w:tcPr/>
          <w:p>
            <w:pPr>
              <w:pStyle w:val="Compact"/>
              <w:jc w:val="left"/>
            </w:pPr>
            <w:r>
              <w:t xml:space="preserve">26,200</w:t>
            </w:r>
          </w:p>
        </w:tc>
        <w:tc>
          <w:tcPr/>
          <w:p>
            <w:pPr>
              <w:pStyle w:val="Compact"/>
              <w:jc w:val="left"/>
            </w:pPr>
            <w:r>
              <w:t xml:space="preserve">34,900</w:t>
            </w:r>
          </w:p>
        </w:tc>
        <w:tc>
          <w:tcPr/>
          <w:p>
            <w:pPr>
              <w:pStyle w:val="Compact"/>
              <w:jc w:val="left"/>
            </w:pPr>
            <w:r>
              <w:t xml:space="preserve">33.2</w:t>
            </w:r>
          </w:p>
        </w:tc>
        <w:tc>
          <w:tcPr/>
          <w:p>
            <w:pPr>
              <w:pStyle w:val="Compact"/>
            </w:pPr>
          </w:p>
        </w:tc>
      </w:tr>
      <w:tr>
        <w:tc>
          <w:tcPr/>
          <w:p>
            <w:pPr>
              <w:pStyle w:val="Compact"/>
              <w:jc w:val="left"/>
            </w:pPr>
            <w:r>
              <w:t xml:space="preserve">2129</w:t>
            </w:r>
          </w:p>
        </w:tc>
        <w:tc>
          <w:tcPr/>
          <w:p>
            <w:pPr>
              <w:pStyle w:val="Compact"/>
              <w:jc w:val="left"/>
            </w:pPr>
            <w:r>
              <w:t xml:space="preserve">Engineering professionals n.e.c.</w:t>
            </w:r>
          </w:p>
        </w:tc>
        <w:tc>
          <w:tcPr/>
          <w:p>
            <w:pPr>
              <w:pStyle w:val="Compact"/>
              <w:jc w:val="left"/>
            </w:pPr>
            <w:r>
              <w:t xml:space="preserve">70,500</w:t>
            </w:r>
          </w:p>
        </w:tc>
        <w:tc>
          <w:tcPr/>
          <w:p>
            <w:pPr>
              <w:pStyle w:val="Compact"/>
              <w:jc w:val="left"/>
            </w:pPr>
            <w:r>
              <w:t xml:space="preserve">110,700</w:t>
            </w:r>
          </w:p>
        </w:tc>
        <w:tc>
          <w:tcPr/>
          <w:p>
            <w:pPr>
              <w:pStyle w:val="Compact"/>
              <w:jc w:val="left"/>
            </w:pPr>
            <w:r>
              <w:t xml:space="preserve">57.0</w:t>
            </w:r>
          </w:p>
        </w:tc>
        <w:tc>
          <w:tcPr/>
          <w:p>
            <w:pPr>
              <w:pStyle w:val="Compact"/>
            </w:pPr>
          </w:p>
        </w:tc>
      </w:tr>
      <w:tr>
        <w:tc>
          <w:tcPr/>
          <w:p>
            <w:pPr>
              <w:pStyle w:val="Compact"/>
              <w:jc w:val="left"/>
            </w:pPr>
            <w:r>
              <w:t xml:space="preserve">2152</w:t>
            </w:r>
          </w:p>
        </w:tc>
        <w:tc>
          <w:tcPr/>
          <w:p>
            <w:pPr>
              <w:pStyle w:val="Compact"/>
              <w:jc w:val="left"/>
            </w:pPr>
            <w:r>
              <w:t xml:space="preserve">Environment professionals</w:t>
            </w:r>
          </w:p>
        </w:tc>
        <w:tc>
          <w:tcPr/>
          <w:p>
            <w:pPr>
              <w:pStyle w:val="Compact"/>
              <w:jc w:val="left"/>
            </w:pPr>
            <w:r>
              <w:t xml:space="preserve">45,300</w:t>
            </w:r>
          </w:p>
        </w:tc>
        <w:tc>
          <w:tcPr/>
          <w:p>
            <w:pPr>
              <w:pStyle w:val="Compact"/>
              <w:jc w:val="left"/>
            </w:pPr>
            <w:r>
              <w:t xml:space="preserve">80,700</w:t>
            </w:r>
          </w:p>
        </w:tc>
        <w:tc>
          <w:tcPr/>
          <w:p>
            <w:pPr>
              <w:pStyle w:val="Compact"/>
              <w:jc w:val="left"/>
            </w:pPr>
            <w:r>
              <w:t xml:space="preserve">78.1</w:t>
            </w:r>
          </w:p>
        </w:tc>
        <w:tc>
          <w:tcPr/>
          <w:p>
            <w:pPr>
              <w:pStyle w:val="Compact"/>
            </w:pPr>
          </w:p>
        </w:tc>
      </w:tr>
      <w:tr>
        <w:tc>
          <w:tcPr/>
          <w:p>
            <w:pPr>
              <w:pStyle w:val="Compact"/>
              <w:jc w:val="left"/>
            </w:pPr>
            <w:r>
              <w:t xml:space="preserve">3114</w:t>
            </w:r>
          </w:p>
        </w:tc>
        <w:tc>
          <w:tcPr/>
          <w:p>
            <w:pPr>
              <w:pStyle w:val="Compact"/>
              <w:jc w:val="left"/>
            </w:pPr>
            <w:r>
              <w:t xml:space="preserve">Building and civil engineering technicians</w:t>
            </w:r>
          </w:p>
        </w:tc>
        <w:tc>
          <w:tcPr/>
          <w:p>
            <w:pPr>
              <w:pStyle w:val="Compact"/>
              <w:jc w:val="left"/>
            </w:pPr>
            <w:r>
              <w:t xml:space="preserve">5,500</w:t>
            </w:r>
          </w:p>
        </w:tc>
        <w:tc>
          <w:tcPr/>
          <w:p>
            <w:pPr>
              <w:pStyle w:val="Compact"/>
              <w:jc w:val="left"/>
            </w:pPr>
            <w:r>
              <w:t xml:space="preserve">17,300</w:t>
            </w:r>
          </w:p>
        </w:tc>
        <w:tc>
          <w:tcPr/>
          <w:p>
            <w:pPr>
              <w:pStyle w:val="Compact"/>
              <w:jc w:val="left"/>
            </w:pPr>
            <w:r>
              <w:t xml:space="preserve">214.5</w:t>
            </w:r>
          </w:p>
        </w:tc>
        <w:tc>
          <w:tcPr/>
          <w:p>
            <w:pPr>
              <w:pStyle w:val="Compact"/>
              <w:jc w:val="left"/>
            </w:pPr>
            <w:r>
              <w:t xml:space="preserve">0.477</w:t>
            </w:r>
          </w:p>
        </w:tc>
      </w:tr>
    </w:tbl>
    <w:bookmarkEnd w:id="114"/>
    <w:bookmarkStart w:id="115" w:name="X651e7ee996e9e5ca45695b9b88ae073f9c2b582"/>
    <w:p>
      <w:pPr>
        <w:pStyle w:val="Heading3"/>
      </w:pPr>
      <w:r>
        <w:t xml:space="preserve">Table 3. Eurostat enterprise AI use, NACE M vs F (%)</w:t>
      </w:r>
    </w:p>
    <w:p>
      <w:pPr>
        <w:pStyle w:val="FirstParagraph"/>
      </w:pPr>
      <w:r>
        <w:t xml:space="preserve">The country-by-country adoption table is retained in</w:t>
      </w:r>
      <w:r>
        <w:t xml:space="preserve"> </w:t>
      </w:r>
      <w:r>
        <w:rPr>
          <w:rStyle w:val="VerbatimChar"/>
        </w:rPr>
        <w:t xml:space="preserve">tables_for_article.md</w:t>
      </w:r>
      <w:r>
        <w:t xml:space="preserve"> </w:t>
      </w:r>
      <w:r>
        <w:t xml:space="preserve">and</w:t>
      </w:r>
      <w:r>
        <w:t xml:space="preserve"> </w:t>
      </w:r>
      <w:r>
        <w:rPr>
          <w:rStyle w:val="VerbatimChar"/>
        </w:rPr>
        <w:t xml:space="preserve">tables/table_eurostat_M_F.csv</w:t>
      </w:r>
      <w:r>
        <w:t xml:space="preserve">. The main text reports the EU aggregate and uses member observations for estimation rather than treating each member as a separate case.</w:t>
      </w:r>
    </w:p>
    <w:bookmarkEnd w:id="115"/>
    <w:bookmarkStart w:id="116" w:name="X3d91c402e2bd694f7774707ce86d9b48c3c2e98"/>
    <w:p>
      <w:pPr>
        <w:pStyle w:val="Heading3"/>
      </w:pPr>
      <w:r>
        <w:t xml:space="preserve">Table 4. BaTIS balanced corridors (USD million)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series</w:t>
            </w:r>
          </w:p>
        </w:tc>
        <w:tc>
          <w:tcPr/>
          <w:p>
            <w:pPr>
              <w:pStyle w:val="Compact"/>
              <w:jc w:val="left"/>
            </w:pPr>
            <w:r>
              <w:t xml:space="preserve">usd_mn_2019</w:t>
            </w:r>
          </w:p>
        </w:tc>
        <w:tc>
          <w:tcPr/>
          <w:p>
            <w:pPr>
              <w:pStyle w:val="Compact"/>
              <w:jc w:val="left"/>
            </w:pPr>
            <w:r>
              <w:t xml:space="preserve">usd_mn_2024</w:t>
            </w:r>
          </w:p>
        </w:tc>
        <w:tc>
          <w:tcPr/>
          <w:p>
            <w:pPr>
              <w:pStyle w:val="Compact"/>
              <w:jc w:val="left"/>
            </w:pPr>
            <w:r>
              <w:t xml:space="preserve">pct</w:t>
            </w:r>
          </w:p>
        </w:tc>
      </w:tr>
      <w:tr>
        <w:tc>
          <w:tcPr/>
          <w:p>
            <w:pPr>
              <w:pStyle w:val="Compact"/>
              <w:jc w:val="left"/>
            </w:pPr>
            <w:r>
              <w:t xml:space="preserve">UK ← India SJ3 (Mode 1)</w:t>
            </w:r>
          </w:p>
        </w:tc>
        <w:tc>
          <w:tcPr/>
          <w:p>
            <w:pPr>
              <w:pStyle w:val="Compact"/>
              <w:jc w:val="left"/>
            </w:pPr>
            <w:r>
              <w:t xml:space="preserve">2186.6</w:t>
            </w:r>
          </w:p>
        </w:tc>
        <w:tc>
          <w:tcPr/>
          <w:p>
            <w:pPr>
              <w:pStyle w:val="Compact"/>
              <w:jc w:val="left"/>
            </w:pPr>
            <w:r>
              <w:t xml:space="preserve">4979.3</w:t>
            </w:r>
          </w:p>
        </w:tc>
        <w:tc>
          <w:tcPr/>
          <w:p>
            <w:pPr>
              <w:pStyle w:val="Compact"/>
              <w:jc w:val="left"/>
            </w:pPr>
            <w:r>
              <w:t xml:space="preserve">127.7</w:t>
            </w:r>
          </w:p>
        </w:tc>
      </w:tr>
      <w:tr>
        <w:tc>
          <w:tcPr/>
          <w:p>
            <w:pPr>
              <w:pStyle w:val="Compact"/>
              <w:jc w:val="left"/>
            </w:pPr>
            <w:r>
              <w:t xml:space="preserve">UK ← China SE (Mode 3)</w:t>
            </w:r>
          </w:p>
        </w:tc>
        <w:tc>
          <w:tcPr/>
          <w:p>
            <w:pPr>
              <w:pStyle w:val="Compact"/>
              <w:jc w:val="left"/>
            </w:pPr>
            <w:r>
              <w:t xml:space="preserve">118.5</w:t>
            </w:r>
          </w:p>
        </w:tc>
        <w:tc>
          <w:tcPr/>
          <w:p>
            <w:pPr>
              <w:pStyle w:val="Compact"/>
              <w:jc w:val="left"/>
            </w:pPr>
            <w:r>
              <w:t xml:space="preserve">179.8</w:t>
            </w:r>
          </w:p>
        </w:tc>
        <w:tc>
          <w:tcPr/>
          <w:p>
            <w:pPr>
              <w:pStyle w:val="Compact"/>
              <w:jc w:val="left"/>
            </w:pPr>
            <w:r>
              <w:t xml:space="preserve">51.7</w:t>
            </w:r>
          </w:p>
        </w:tc>
      </w:tr>
      <w:tr>
        <w:tc>
          <w:tcPr/>
          <w:p>
            <w:pPr>
              <w:pStyle w:val="Compact"/>
              <w:jc w:val="left"/>
            </w:pPr>
            <w:r>
              <w:t xml:space="preserve">UK ← India SI (computer)</w:t>
            </w:r>
          </w:p>
        </w:tc>
        <w:tc>
          <w:tcPr/>
          <w:p>
            <w:pPr>
              <w:pStyle w:val="Compact"/>
              <w:jc w:val="left"/>
            </w:pPr>
            <w:r>
              <w:t xml:space="preserve">2215.3</w:t>
            </w:r>
          </w:p>
        </w:tc>
        <w:tc>
          <w:tcPr/>
          <w:p>
            <w:pPr>
              <w:pStyle w:val="Compact"/>
              <w:jc w:val="left"/>
            </w:pPr>
            <w:r>
              <w:t xml:space="preserve">4723.0</w:t>
            </w:r>
          </w:p>
        </w:tc>
        <w:tc>
          <w:tcPr/>
          <w:p>
            <w:pPr>
              <w:pStyle w:val="Compact"/>
              <w:jc w:val="left"/>
            </w:pPr>
            <w:r>
              <w:t xml:space="preserve">113.2</w:t>
            </w:r>
          </w:p>
        </w:tc>
      </w:tr>
      <w:tr>
        <w:tc>
          <w:tcPr/>
          <w:p>
            <w:pPr>
              <w:pStyle w:val="Compact"/>
              <w:jc w:val="left"/>
            </w:pPr>
            <w:r>
              <w:t xml:space="preserve">US ← India SJ3</w:t>
            </w:r>
          </w:p>
        </w:tc>
        <w:tc>
          <w:tcPr/>
          <w:p>
            <w:pPr>
              <w:pStyle w:val="Compact"/>
              <w:jc w:val="left"/>
            </w:pPr>
            <w:r>
              <w:t xml:space="preserve">2398.0</w:t>
            </w:r>
          </w:p>
        </w:tc>
        <w:tc>
          <w:tcPr/>
          <w:p>
            <w:pPr>
              <w:pStyle w:val="Compact"/>
              <w:jc w:val="left"/>
            </w:pPr>
            <w:r>
              <w:t xml:space="preserve">2584.5</w:t>
            </w:r>
          </w:p>
        </w:tc>
        <w:tc>
          <w:tcPr/>
          <w:p>
            <w:pPr>
              <w:pStyle w:val="Compact"/>
              <w:jc w:val="left"/>
            </w:pPr>
            <w:r>
              <w:t xml:space="preserve">7.8</w:t>
            </w:r>
          </w:p>
        </w:tc>
      </w:tr>
      <w:tr>
        <w:tc>
          <w:tcPr/>
          <w:p>
            <w:pPr>
              <w:pStyle w:val="Compact"/>
              <w:jc w:val="left"/>
            </w:pPr>
            <w:r>
              <w:t xml:space="preserve">Germany ← India SJ3</w:t>
            </w:r>
          </w:p>
        </w:tc>
        <w:tc>
          <w:tcPr/>
          <w:p>
            <w:pPr>
              <w:pStyle w:val="Compact"/>
              <w:jc w:val="left"/>
            </w:pPr>
            <w:r>
              <w:t xml:space="preserve">659.6</w:t>
            </w:r>
          </w:p>
        </w:tc>
        <w:tc>
          <w:tcPr/>
          <w:p>
            <w:pPr>
              <w:pStyle w:val="Compact"/>
              <w:jc w:val="left"/>
            </w:pPr>
            <w:r>
              <w:t xml:space="preserve">925.9</w:t>
            </w:r>
          </w:p>
        </w:tc>
        <w:tc>
          <w:tcPr/>
          <w:p>
            <w:pPr>
              <w:pStyle w:val="Compact"/>
              <w:jc w:val="left"/>
            </w:pPr>
            <w:r>
              <w:t xml:space="preserve">40.4</w:t>
            </w:r>
          </w:p>
        </w:tc>
      </w:tr>
      <w:tr>
        <w:tc>
          <w:tcPr/>
          <w:p>
            <w:pPr>
              <w:pStyle w:val="Compact"/>
              <w:jc w:val="left"/>
            </w:pPr>
            <w:r>
              <w:t xml:space="preserve">Germany ← Poland SJ3 (nearshore)</w:t>
            </w:r>
          </w:p>
        </w:tc>
        <w:tc>
          <w:tcPr/>
          <w:p>
            <w:pPr>
              <w:pStyle w:val="Compact"/>
              <w:jc w:val="left"/>
            </w:pPr>
            <w:r>
              <w:t xml:space="preserve">1516.0</w:t>
            </w:r>
          </w:p>
        </w:tc>
        <w:tc>
          <w:tcPr/>
          <w:p>
            <w:pPr>
              <w:pStyle w:val="Compact"/>
              <w:jc w:val="left"/>
            </w:pPr>
            <w:r>
              <w:t xml:space="preserve">2327.7</w:t>
            </w:r>
          </w:p>
        </w:tc>
        <w:tc>
          <w:tcPr/>
          <w:p>
            <w:pPr>
              <w:pStyle w:val="Compact"/>
              <w:jc w:val="left"/>
            </w:pPr>
            <w:r>
              <w:t xml:space="preserve">53.5</w:t>
            </w:r>
          </w:p>
        </w:tc>
      </w:tr>
      <w:tr>
        <w:tc>
          <w:tcPr/>
          <w:p>
            <w:pPr>
              <w:pStyle w:val="Compact"/>
              <w:jc w:val="left"/>
            </w:pPr>
            <w:r>
              <w:t xml:space="preserve">Australia ← India SJ3</w:t>
            </w:r>
          </w:p>
        </w:tc>
        <w:tc>
          <w:tcPr/>
          <w:p>
            <w:pPr>
              <w:pStyle w:val="Compact"/>
              <w:jc w:val="left"/>
            </w:pPr>
            <w:r>
              <w:t xml:space="preserve">167.3</w:t>
            </w:r>
          </w:p>
        </w:tc>
        <w:tc>
          <w:tcPr/>
          <w:p>
            <w:pPr>
              <w:pStyle w:val="Compact"/>
              <w:jc w:val="left"/>
            </w:pPr>
            <w:r>
              <w:t xml:space="preserve">250.4</w:t>
            </w:r>
          </w:p>
        </w:tc>
        <w:tc>
          <w:tcPr/>
          <w:p>
            <w:pPr>
              <w:pStyle w:val="Compact"/>
              <w:jc w:val="left"/>
            </w:pPr>
            <w:r>
              <w:t xml:space="preserve">49.6</w:t>
            </w:r>
          </w:p>
        </w:tc>
      </w:tr>
      <w:tr>
        <w:tc>
          <w:tcPr/>
          <w:p>
            <w:pPr>
              <w:pStyle w:val="Compact"/>
              <w:jc w:val="left"/>
            </w:pPr>
            <w:r>
              <w:t xml:space="preserve">Netherlands ← India SJ3</w:t>
            </w:r>
          </w:p>
        </w:tc>
        <w:tc>
          <w:tcPr/>
          <w:p>
            <w:pPr>
              <w:pStyle w:val="Compact"/>
              <w:jc w:val="left"/>
            </w:pPr>
            <w:r>
              <w:t xml:space="preserve">830.9</w:t>
            </w:r>
          </w:p>
        </w:tc>
        <w:tc>
          <w:tcPr/>
          <w:p>
            <w:pPr>
              <w:pStyle w:val="Compact"/>
              <w:jc w:val="left"/>
            </w:pPr>
            <w:r>
              <w:t xml:space="preserve">967.2</w:t>
            </w:r>
          </w:p>
        </w:tc>
        <w:tc>
          <w:tcPr/>
          <w:p>
            <w:pPr>
              <w:pStyle w:val="Compact"/>
              <w:jc w:val="left"/>
            </w:pPr>
            <w:r>
              <w:t xml:space="preserve">16.4</w:t>
            </w:r>
          </w:p>
        </w:tc>
      </w:tr>
      <w:tr>
        <w:tc>
          <w:tcPr/>
          <w:p>
            <w:pPr>
              <w:pStyle w:val="Compact"/>
              <w:jc w:val="left"/>
            </w:pPr>
            <w:r>
              <w:t xml:space="preserve">France ← India SJ3</w:t>
            </w:r>
          </w:p>
        </w:tc>
        <w:tc>
          <w:tcPr/>
          <w:p>
            <w:pPr>
              <w:pStyle w:val="Compact"/>
              <w:jc w:val="left"/>
            </w:pPr>
            <w:r>
              <w:t xml:space="preserve">524.0</w:t>
            </w:r>
          </w:p>
        </w:tc>
        <w:tc>
          <w:tcPr/>
          <w:p>
            <w:pPr>
              <w:pStyle w:val="Compact"/>
              <w:jc w:val="left"/>
            </w:pPr>
            <w:r>
              <w:t xml:space="preserve">830.1</w:t>
            </w:r>
          </w:p>
        </w:tc>
        <w:tc>
          <w:tcPr/>
          <w:p>
            <w:pPr>
              <w:pStyle w:val="Compact"/>
              <w:jc w:val="left"/>
            </w:pPr>
            <w:r>
              <w:t xml:space="preserve">58.4</w:t>
            </w:r>
          </w:p>
        </w:tc>
      </w:tr>
    </w:tbl>
    <w:bookmarkEnd w:id="116"/>
    <w:bookmarkStart w:id="117" w:name="X4d49e64c403febb726f29ef1bbc59c9a83ffc76"/>
    <w:p>
      <w:pPr>
        <w:pStyle w:val="Heading3"/>
      </w:pPr>
      <w:r>
        <w:t xml:space="preserve">Table 5. Identification (log SJ3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Coefficient (s.e.)</w:t>
            </w:r>
          </w:p>
        </w:tc>
        <w:tc>
          <w:tcPr/>
          <w:p>
            <w:pPr>
              <w:pStyle w:val="Compact"/>
              <w:jc w:val="left"/>
            </w:pPr>
            <w:r>
              <w:t xml:space="preserve">N</w:t>
            </w:r>
          </w:p>
        </w:tc>
        <w:tc>
          <w:tcPr/>
          <w:p>
            <w:pPr>
              <w:pStyle w:val="Compact"/>
              <w:jc w:val="left"/>
            </w:pPr>
            <w:r>
              <w:t xml:space="preserve">Note</w:t>
            </w:r>
          </w:p>
        </w:tc>
      </w:tr>
      <w:tr>
        <w:tc>
          <w:tcPr/>
          <w:p>
            <w:pPr>
              <w:pStyle w:val="Compact"/>
              <w:jc w:val="left"/>
            </w:pPr>
            <w:r>
              <w:t xml:space="preserve">(1) Post × M-AI 2024</w:t>
            </w:r>
          </w:p>
        </w:tc>
        <w:tc>
          <w:tcPr/>
          <w:p>
            <w:pPr>
              <w:pStyle w:val="Compact"/>
              <w:jc w:val="left"/>
            </w:pPr>
            <w:r>
              <w:t xml:space="preserve">0.002 (0.003)</w:t>
            </w:r>
          </w:p>
        </w:tc>
        <w:tc>
          <w:tcPr/>
          <w:p>
            <w:pPr>
              <w:pStyle w:val="Compact"/>
              <w:jc w:val="left"/>
            </w:pPr>
            <w:r>
              <w:t xml:space="preserve">336</w:t>
            </w:r>
          </w:p>
        </w:tc>
        <w:tc>
          <w:tcPr/>
          <w:p>
            <w:pPr>
              <w:pStyle w:val="Compact"/>
              <w:jc w:val="left"/>
            </w:pPr>
            <w:r>
              <w:t xml:space="preserve">EU importers × IND/PHL/VNM; TWFE</w:t>
            </w:r>
          </w:p>
        </w:tc>
      </w:tr>
      <w:tr>
        <w:tc>
          <w:tcPr/>
          <w:p>
            <w:pPr>
              <w:pStyle w:val="Compact"/>
              <w:jc w:val="left"/>
            </w:pPr>
            <w:r>
              <w:t xml:space="preserve">(2) Post × ΔM 2021–24 [headline]</w:t>
            </w:r>
          </w:p>
        </w:tc>
        <w:tc>
          <w:tcPr/>
          <w:p>
            <w:pPr>
              <w:pStyle w:val="Compact"/>
              <w:jc w:val="left"/>
            </w:pPr>
            <w:r>
              <w:t xml:space="preserve">0.000 (0.006)</w:t>
            </w:r>
          </w:p>
        </w:tc>
        <w:tc>
          <w:tcPr/>
          <w:p>
            <w:pPr>
              <w:pStyle w:val="Compact"/>
              <w:jc w:val="left"/>
            </w:pPr>
            <w:r>
              <w:t xml:space="preserve">336</w:t>
            </w:r>
          </w:p>
        </w:tc>
        <w:tc>
          <w:tcPr/>
          <w:p>
            <w:pPr>
              <w:pStyle w:val="Compact"/>
              <w:jc w:val="left"/>
            </w:pPr>
            <w:r>
              <w:t xml:space="preserve">Preferred: GenAI window is the 2023–24 jump</w:t>
            </w:r>
          </w:p>
        </w:tc>
      </w:tr>
      <w:tr>
        <w:tc>
          <w:tcPr/>
          <w:p>
            <w:pPr>
              <w:pStyle w:val="Compact"/>
              <w:jc w:val="left"/>
            </w:pPr>
            <w:r>
              <w:t xml:space="preserve">(3) Horse race: Post × ΔM</w:t>
            </w:r>
          </w:p>
        </w:tc>
        <w:tc>
          <w:tcPr/>
          <w:p>
            <w:pPr>
              <w:pStyle w:val="Compact"/>
              <w:jc w:val="left"/>
            </w:pPr>
            <w:r>
              <w:t xml:space="preserve">0.001 (0.008)</w:t>
            </w:r>
          </w:p>
        </w:tc>
        <w:tc>
          <w:tcPr/>
          <w:p>
            <w:pPr>
              <w:pStyle w:val="Compact"/>
              <w:jc w:val="left"/>
            </w:pPr>
            <w:r>
              <w:t xml:space="preserve">336</w:t>
            </w:r>
          </w:p>
        </w:tc>
        <w:tc>
          <w:tcPr/>
          <w:p>
            <w:pPr>
              <w:pStyle w:val="Compact"/>
              <w:jc w:val="left"/>
            </w:pPr>
            <w:r>
              <w:t xml:space="preserve">Same regression as (4)</w:t>
            </w:r>
          </w:p>
        </w:tc>
      </w:tr>
      <w:tr>
        <w:tc>
          <w:tcPr/>
          <w:p>
            <w:pPr>
              <w:pStyle w:val="Compact"/>
              <w:jc w:val="left"/>
            </w:pPr>
            <w:r>
              <w:t xml:space="preserve">(4) Horse race: Post × ΔF</w:t>
            </w:r>
          </w:p>
        </w:tc>
        <w:tc>
          <w:tcPr/>
          <w:p>
            <w:pPr>
              <w:pStyle w:val="Compact"/>
              <w:jc w:val="left"/>
            </w:pPr>
            <w:r>
              <w:t xml:space="preserve">-0.004 (0.029)</w:t>
            </w:r>
          </w:p>
        </w:tc>
        <w:tc>
          <w:tcPr/>
          <w:p>
            <w:pPr>
              <w:pStyle w:val="Compact"/>
              <w:jc w:val="left"/>
            </w:pPr>
            <w:r>
              <w:t xml:space="preserve">336</w:t>
            </w:r>
          </w:p>
        </w:tc>
        <w:tc>
          <w:tcPr/>
          <w:p>
            <w:pPr>
              <w:pStyle w:val="Compact"/>
              <w:jc w:val="left"/>
            </w:pPr>
            <w:r>
              <w:t xml:space="preserve">Construction AI change, controlling for M</w:t>
            </w:r>
          </w:p>
        </w:tc>
      </w:tr>
      <w:tr>
        <w:tc>
          <w:tcPr/>
          <w:p>
            <w:pPr>
              <w:pStyle w:val="Compact"/>
              <w:jc w:val="left"/>
            </w:pPr>
            <w:r>
              <w:t xml:space="preserve">(5) Placebo SI Mode-1</w:t>
            </w:r>
          </w:p>
        </w:tc>
        <w:tc>
          <w:tcPr/>
          <w:p>
            <w:pPr>
              <w:pStyle w:val="Compact"/>
              <w:jc w:val="left"/>
            </w:pPr>
            <w:r>
              <w:t xml:space="preserve">-0.002 (0.007)</w:t>
            </w:r>
          </w:p>
        </w:tc>
        <w:tc>
          <w:tcPr/>
          <w:p>
            <w:pPr>
              <w:pStyle w:val="Compact"/>
              <w:jc w:val="left"/>
            </w:pPr>
            <w:r>
              <w:t xml:space="preserve">336</w:t>
            </w:r>
          </w:p>
        </w:tc>
        <w:tc>
          <w:tcPr/>
          <w:p>
            <w:pPr>
              <w:pStyle w:val="Compact"/>
              <w:jc w:val="left"/>
            </w:pPr>
            <w:r>
              <w:t xml:space="preserve">Computer services from same partners</w:t>
            </w:r>
          </w:p>
        </w:tc>
      </w:tr>
      <w:tr>
        <w:tc>
          <w:tcPr/>
          <w:p>
            <w:pPr>
              <w:pStyle w:val="Compact"/>
              <w:jc w:val="left"/>
            </w:pPr>
            <w:r>
              <w:t xml:space="preserve">(6) Placebo SE from China</w:t>
            </w:r>
          </w:p>
        </w:tc>
        <w:tc>
          <w:tcPr/>
          <w:p>
            <w:pPr>
              <w:pStyle w:val="Compact"/>
              <w:jc w:val="left"/>
            </w:pPr>
            <w:r>
              <w:t xml:space="preserve">-0.002 (0.007)</w:t>
            </w:r>
          </w:p>
        </w:tc>
        <w:tc>
          <w:tcPr/>
          <w:p>
            <w:pPr>
              <w:pStyle w:val="Compact"/>
              <w:jc w:val="left"/>
            </w:pPr>
            <w:r>
              <w:t xml:space="preserve">112</w:t>
            </w:r>
          </w:p>
        </w:tc>
        <w:tc>
          <w:tcPr/>
          <w:p>
            <w:pPr>
              <w:pStyle w:val="Compact"/>
              <w:jc w:val="left"/>
            </w:pPr>
            <w:r>
              <w:t xml:space="preserve">Mode-3 construction services</w:t>
            </w:r>
          </w:p>
        </w:tc>
      </w:tr>
      <w:tr>
        <w:tc>
          <w:tcPr/>
          <w:p>
            <w:pPr>
              <w:pStyle w:val="Compact"/>
              <w:jc w:val="left"/>
            </w:pPr>
            <w:r>
              <w:t xml:space="preserve">(7) Placebo SJ3 from China</w:t>
            </w:r>
          </w:p>
        </w:tc>
        <w:tc>
          <w:tcPr/>
          <w:p>
            <w:pPr>
              <w:pStyle w:val="Compact"/>
              <w:jc w:val="left"/>
            </w:pPr>
            <w:r>
              <w:t xml:space="preserve">0.009 (0.010)</w:t>
            </w:r>
          </w:p>
        </w:tc>
        <w:tc>
          <w:tcPr/>
          <w:p>
            <w:pPr>
              <w:pStyle w:val="Compact"/>
              <w:jc w:val="left"/>
            </w:pPr>
            <w:r>
              <w:t xml:space="preserve">112</w:t>
            </w:r>
          </w:p>
        </w:tc>
        <w:tc>
          <w:tcPr/>
          <w:p>
            <w:pPr>
              <w:pStyle w:val="Compact"/>
              <w:jc w:val="left"/>
            </w:pPr>
            <w:r>
              <w:t xml:space="preserve">SJ3 from China</w:t>
            </w:r>
          </w:p>
        </w:tc>
      </w:tr>
      <w:tr>
        <w:tc>
          <w:tcPr/>
          <w:p>
            <w:pPr>
              <w:pStyle w:val="Compact"/>
              <w:jc w:val="left"/>
            </w:pPr>
            <w:r>
              <w:t xml:space="preserve">(8) Placebo SE from Mode-1</w:t>
            </w:r>
          </w:p>
        </w:tc>
        <w:tc>
          <w:tcPr/>
          <w:p>
            <w:pPr>
              <w:pStyle w:val="Compact"/>
              <w:jc w:val="left"/>
            </w:pPr>
            <w:r>
              <w:t xml:space="preserve">-0.009 (0.014)</w:t>
            </w:r>
          </w:p>
        </w:tc>
        <w:tc>
          <w:tcPr/>
          <w:p>
            <w:pPr>
              <w:pStyle w:val="Compact"/>
              <w:jc w:val="left"/>
            </w:pPr>
            <w:r>
              <w:t xml:space="preserve">336</w:t>
            </w:r>
          </w:p>
        </w:tc>
        <w:tc>
          <w:tcPr/>
          <w:p>
            <w:pPr>
              <w:pStyle w:val="Compact"/>
              <w:jc w:val="left"/>
            </w:pPr>
            <w:r>
              <w:t xml:space="preserve">Construction services from IND/PHL/VNM</w:t>
            </w:r>
          </w:p>
        </w:tc>
      </w:tr>
      <w:tr>
        <w:tc>
          <w:tcPr/>
          <w:p>
            <w:pPr>
              <w:pStyle w:val="Compact"/>
              <w:jc w:val="left"/>
            </w:pPr>
            <w:r>
              <w:t xml:space="preserve">(9) Post × (M−F) 2024 gap</w:t>
            </w:r>
          </w:p>
        </w:tc>
        <w:tc>
          <w:tcPr/>
          <w:p>
            <w:pPr>
              <w:pStyle w:val="Compact"/>
              <w:jc w:val="left"/>
            </w:pPr>
            <w:r>
              <w:t xml:space="preserve">0.003 (0.004)</w:t>
            </w:r>
          </w:p>
        </w:tc>
        <w:tc>
          <w:tcPr/>
          <w:p>
            <w:pPr>
              <w:pStyle w:val="Compact"/>
              <w:jc w:val="left"/>
            </w:pPr>
            <w:r>
              <w:t xml:space="preserve">336</w:t>
            </w:r>
          </w:p>
        </w:tc>
        <w:tc>
          <w:tcPr/>
          <w:p>
            <w:pPr>
              <w:pStyle w:val="Compact"/>
              <w:jc w:val="left"/>
            </w:pPr>
            <w:r>
              <w:t xml:space="preserve">Professional minus construction AI</w:t>
            </w:r>
          </w:p>
        </w:tc>
      </w:tr>
      <w:tr>
        <w:tc>
          <w:tcPr/>
          <w:p>
            <w:pPr>
              <w:pStyle w:val="Compact"/>
              <w:jc w:val="left"/>
            </w:pPr>
            <w:r>
              <w:t xml:space="preserve">(10) Time-varying M-AI 2021/23/24</w:t>
            </w:r>
          </w:p>
        </w:tc>
        <w:tc>
          <w:tcPr/>
          <w:p>
            <w:pPr>
              <w:pStyle w:val="Compact"/>
              <w:jc w:val="left"/>
            </w:pPr>
            <w:r>
              <w:t xml:space="preserve">0.003 (0.003)</w:t>
            </w:r>
          </w:p>
        </w:tc>
        <w:tc>
          <w:tcPr/>
          <w:p>
            <w:pPr>
              <w:pStyle w:val="Compact"/>
              <w:jc w:val="left"/>
            </w:pPr>
            <w:r>
              <w:t xml:space="preserve">150</w:t>
            </w:r>
          </w:p>
        </w:tc>
        <w:tc>
          <w:tcPr/>
          <w:p>
            <w:pPr>
              <w:pStyle w:val="Compact"/>
              <w:jc w:val="left"/>
            </w:pPr>
            <w:r>
              <w:t xml:space="preserve">Eurostat years overlapping BaTIS</w:t>
            </w:r>
          </w:p>
        </w:tc>
      </w:tr>
      <w:tr>
        <w:tc>
          <w:tcPr/>
          <w:p>
            <w:pPr>
              <w:pStyle w:val="Compact"/>
              <w:jc w:val="left"/>
            </w:pPr>
            <w:r>
              <w:t xml:space="preserve">(11) Placebo time-varying F-AI</w:t>
            </w:r>
          </w:p>
        </w:tc>
        <w:tc>
          <w:tcPr/>
          <w:p>
            <w:pPr>
              <w:pStyle w:val="Compact"/>
              <w:jc w:val="left"/>
            </w:pPr>
            <w:r>
              <w:t xml:space="preserve">-0.010 (0.010)</w:t>
            </w:r>
          </w:p>
        </w:tc>
        <w:tc>
          <w:tcPr/>
          <w:p>
            <w:pPr>
              <w:pStyle w:val="Compact"/>
              <w:jc w:val="left"/>
            </w:pPr>
            <w:r>
              <w:t xml:space="preserve">153</w:t>
            </w:r>
          </w:p>
        </w:tc>
        <w:tc>
          <w:tcPr/>
          <w:p>
            <w:pPr>
              <w:pStyle w:val="Compact"/>
              <w:jc w:val="left"/>
            </w:pPr>
            <w:r>
              <w:t xml:space="preserve">Construction AI</w:t>
            </w:r>
          </w:p>
        </w:tc>
      </w:tr>
      <w:tr>
        <w:tc>
          <w:tcPr/>
          <w:p>
            <w:pPr>
              <w:pStyle w:val="Compact"/>
              <w:jc w:val="left"/>
            </w:pPr>
            <w:r>
              <w:t xml:space="preserve">(12) Drop 2020–21</w:t>
            </w:r>
          </w:p>
        </w:tc>
        <w:tc>
          <w:tcPr/>
          <w:p>
            <w:pPr>
              <w:pStyle w:val="Compact"/>
              <w:jc w:val="left"/>
            </w:pPr>
            <w:r>
              <w:t xml:space="preserve">0.002 (0.004)</w:t>
            </w:r>
          </w:p>
        </w:tc>
        <w:tc>
          <w:tcPr/>
          <w:p>
            <w:pPr>
              <w:pStyle w:val="Compact"/>
              <w:jc w:val="left"/>
            </w:pPr>
            <w:r>
              <w:t xml:space="preserve">240</w:t>
            </w:r>
          </w:p>
        </w:tc>
        <w:tc>
          <w:tcPr/>
          <w:p>
            <w:pPr>
              <w:pStyle w:val="Compact"/>
              <w:jc w:val="left"/>
            </w:pPr>
            <w:r>
              <w:t xml:space="preserve">Omit COVID years</w:t>
            </w:r>
          </w:p>
        </w:tc>
      </w:tr>
      <w:tr>
        <w:tc>
          <w:tcPr/>
          <w:p>
            <w:pPr>
              <w:pStyle w:val="Compact"/>
              <w:jc w:val="left"/>
            </w:pPr>
            <w:r>
              <w:t xml:space="preserve">(13) Fake post=2020 × ΔM, sample 2018–21</w:t>
            </w:r>
          </w:p>
        </w:tc>
        <w:tc>
          <w:tcPr/>
          <w:p>
            <w:pPr>
              <w:pStyle w:val="Compact"/>
              <w:jc w:val="left"/>
            </w:pPr>
            <w:r>
              <w:t xml:space="preserve">-0.000 (0.005)</w:t>
            </w:r>
          </w:p>
        </w:tc>
        <w:tc>
          <w:tcPr/>
          <w:p>
            <w:pPr>
              <w:pStyle w:val="Compact"/>
              <w:jc w:val="left"/>
            </w:pPr>
            <w:r>
              <w:t xml:space="preserve">192</w:t>
            </w:r>
          </w:p>
        </w:tc>
        <w:tc>
          <w:tcPr/>
          <w:p>
            <w:pPr>
              <w:pStyle w:val="Compact"/>
              <w:jc w:val="left"/>
            </w:pPr>
            <w:r>
              <w:t xml:space="preserve">Pre-trend placebo</w:t>
            </w:r>
          </w:p>
        </w:tc>
      </w:tr>
      <w:tr>
        <w:tc>
          <w:tcPr/>
          <w:p>
            <w:pPr>
              <w:pStyle w:val="Compact"/>
              <w:jc w:val="left"/>
            </w:pPr>
            <w:r>
              <w:t xml:space="preserve">(14) IHS(value), Post × ΔM</w:t>
            </w:r>
          </w:p>
        </w:tc>
        <w:tc>
          <w:tcPr/>
          <w:p>
            <w:pPr>
              <w:pStyle w:val="Compact"/>
              <w:jc w:val="left"/>
            </w:pPr>
            <w:r>
              <w:t xml:space="preserve">0.001 (0.006)</w:t>
            </w:r>
          </w:p>
        </w:tc>
        <w:tc>
          <w:tcPr/>
          <w:p>
            <w:pPr>
              <w:pStyle w:val="Compact"/>
              <w:jc w:val="left"/>
            </w:pPr>
            <w:r>
              <w:t xml:space="preserve">336</w:t>
            </w:r>
          </w:p>
        </w:tc>
        <w:tc>
          <w:tcPr/>
          <w:p>
            <w:pPr>
              <w:pStyle w:val="Compact"/>
              <w:jc w:val="left"/>
            </w:pPr>
            <w:r>
              <w:t xml:space="preserve">arcsinh instead of log</w:t>
            </w:r>
          </w:p>
        </w:tc>
      </w:tr>
      <w:tr>
        <w:tc>
          <w:tcPr/>
          <w:p>
            <w:pPr>
              <w:pStyle w:val="Compact"/>
              <w:jc w:val="left"/>
            </w:pPr>
            <w:r>
              <w:t xml:space="preserve">(15) WLS by 2019 SJ3 value</w:t>
            </w:r>
          </w:p>
        </w:tc>
        <w:tc>
          <w:tcPr/>
          <w:p>
            <w:pPr>
              <w:pStyle w:val="Compact"/>
              <w:jc w:val="left"/>
            </w:pPr>
            <w:r>
              <w:t xml:space="preserve">-0.007 (0.009)</w:t>
            </w:r>
          </w:p>
        </w:tc>
        <w:tc>
          <w:tcPr/>
          <w:p>
            <w:pPr>
              <w:pStyle w:val="Compact"/>
              <w:jc w:val="left"/>
            </w:pPr>
            <w:r>
              <w:t xml:space="preserve">336</w:t>
            </w:r>
          </w:p>
        </w:tc>
        <w:tc>
          <w:tcPr/>
          <w:p>
            <w:pPr>
              <w:pStyle w:val="Compact"/>
              <w:jc w:val="left"/>
            </w:pPr>
            <w:r>
              <w:t xml:space="preserve">Larger corridors weighted more</w:t>
            </w:r>
          </w:p>
        </w:tc>
      </w:tr>
      <w:tr>
        <w:tc>
          <w:tcPr/>
          <w:p>
            <w:pPr>
              <w:pStyle w:val="Compact"/>
              <w:jc w:val="left"/>
            </w:pPr>
            <w:r>
              <w:t xml:space="preserve">(H) India only, Post × ΔM</w:t>
            </w:r>
          </w:p>
        </w:tc>
        <w:tc>
          <w:tcPr/>
          <w:p>
            <w:pPr>
              <w:pStyle w:val="Compact"/>
              <w:jc w:val="left"/>
            </w:pPr>
            <w:r>
              <w:t xml:space="preserve">0.005 (0.005)</w:t>
            </w:r>
          </w:p>
        </w:tc>
        <w:tc>
          <w:tcPr/>
          <w:p>
            <w:pPr>
              <w:pStyle w:val="Compact"/>
              <w:jc w:val="left"/>
            </w:pPr>
            <w:r>
              <w:t xml:space="preserve">112</w:t>
            </w:r>
          </w:p>
        </w:tc>
        <w:tc>
          <w:tcPr/>
          <w:p>
            <w:pPr>
              <w:pStyle w:val="Compact"/>
              <w:jc w:val="left"/>
            </w:pPr>
            <w:r>
              <w:t xml:space="preserve">Partner = IND</w:t>
            </w:r>
          </w:p>
        </w:tc>
      </w:tr>
      <w:tr>
        <w:tc>
          <w:tcPr/>
          <w:p>
            <w:pPr>
              <w:pStyle w:val="Compact"/>
              <w:jc w:val="left"/>
            </w:pPr>
            <w:r>
              <w:t xml:space="preserve">(H) Philippines only, Post × ΔM</w:t>
            </w:r>
          </w:p>
        </w:tc>
        <w:tc>
          <w:tcPr/>
          <w:p>
            <w:pPr>
              <w:pStyle w:val="Compact"/>
              <w:jc w:val="left"/>
            </w:pPr>
            <w:r>
              <w:t xml:space="preserve">-0.014 (0.014)</w:t>
            </w:r>
          </w:p>
        </w:tc>
        <w:tc>
          <w:tcPr/>
          <w:p>
            <w:pPr>
              <w:pStyle w:val="Compact"/>
              <w:jc w:val="left"/>
            </w:pPr>
            <w:r>
              <w:t xml:space="preserve">112</w:t>
            </w:r>
          </w:p>
        </w:tc>
        <w:tc>
          <w:tcPr/>
          <w:p>
            <w:pPr>
              <w:pStyle w:val="Compact"/>
              <w:jc w:val="left"/>
            </w:pPr>
            <w:r>
              <w:t xml:space="preserve">Partner = PHL</w:t>
            </w:r>
          </w:p>
        </w:tc>
      </w:tr>
      <w:tr>
        <w:tc>
          <w:tcPr/>
          <w:p>
            <w:pPr>
              <w:pStyle w:val="Compact"/>
              <w:jc w:val="left"/>
            </w:pPr>
            <w:r>
              <w:t xml:space="preserve">(H) Viet Nam only, Post × ΔM</w:t>
            </w:r>
          </w:p>
        </w:tc>
        <w:tc>
          <w:tcPr/>
          <w:p>
            <w:pPr>
              <w:pStyle w:val="Compact"/>
              <w:jc w:val="left"/>
            </w:pPr>
            <w:r>
              <w:t xml:space="preserve">0.010 (0.006)</w:t>
            </w:r>
          </w:p>
        </w:tc>
        <w:tc>
          <w:tcPr/>
          <w:p>
            <w:pPr>
              <w:pStyle w:val="Compact"/>
              <w:jc w:val="left"/>
            </w:pPr>
            <w:r>
              <w:t xml:space="preserve">112</w:t>
            </w:r>
          </w:p>
        </w:tc>
        <w:tc>
          <w:tcPr/>
          <w:p>
            <w:pPr>
              <w:pStyle w:val="Compact"/>
              <w:jc w:val="left"/>
            </w:pPr>
            <w:r>
              <w:t xml:space="preserve">Partner = VNM</w:t>
            </w:r>
          </w:p>
        </w:tc>
      </w:tr>
      <w:tr>
        <w:tc>
          <w:tcPr/>
          <w:p>
            <w:pPr>
              <w:pStyle w:val="Compact"/>
              <w:jc w:val="left"/>
            </w:pPr>
            <w:r>
              <w:t xml:space="preserve">(16) Cross-section Δlog IN SJ3 22–24 on ΔM</w:t>
            </w:r>
          </w:p>
        </w:tc>
        <w:tc>
          <w:tcPr/>
          <w:p>
            <w:pPr>
              <w:pStyle w:val="Compact"/>
              <w:jc w:val="left"/>
            </w:pPr>
            <w:r>
              <w:t xml:space="preserve">0.007 (0.004)</w:t>
            </w:r>
          </w:p>
        </w:tc>
        <w:tc>
          <w:tcPr/>
          <w:p>
            <w:pPr>
              <w:pStyle w:val="Compact"/>
              <w:jc w:val="left"/>
            </w:pPr>
            <w:r>
              <w:t xml:space="preserve">16</w:t>
            </w:r>
          </w:p>
        </w:tc>
        <w:tc>
          <w:tcPr/>
          <w:p>
            <w:pPr>
              <w:pStyle w:val="Compact"/>
              <w:jc w:val="left"/>
            </w:pPr>
            <w:r>
              <w:t xml:space="preserve">No FE; one obs per importer</w:t>
            </w:r>
          </w:p>
        </w:tc>
      </w:tr>
      <w:tr>
        <w:tc>
          <w:tcPr/>
          <w:p>
            <w:pPr>
              <w:pStyle w:val="Compact"/>
              <w:jc w:val="left"/>
            </w:pPr>
            <w:r>
              <w:t xml:space="preserve">(17) EU-8 only: Post × ΔM 2021–24</w:t>
            </w:r>
          </w:p>
        </w:tc>
        <w:tc>
          <w:tcPr/>
          <w:p>
            <w:pPr>
              <w:pStyle w:val="Compact"/>
              <w:jc w:val="left"/>
            </w:pPr>
            <w:r>
              <w:t xml:space="preserve">0.019*** (0.006)</w:t>
            </w:r>
          </w:p>
        </w:tc>
        <w:tc>
          <w:tcPr/>
          <w:p>
            <w:pPr>
              <w:pStyle w:val="Compact"/>
              <w:jc w:val="left"/>
            </w:pPr>
            <w:r>
              <w:t xml:space="preserve">168</w:t>
            </w:r>
          </w:p>
        </w:tc>
        <w:tc>
          <w:tcPr/>
          <w:p>
            <w:pPr>
              <w:pStyle w:val="Compact"/>
              <w:jc w:val="left"/>
            </w:pPr>
            <w:r>
              <w:t xml:space="preserve">DEU FRA NLD POL ITA ESP IRL ROU; fragility check</w:t>
            </w:r>
          </w:p>
        </w:tc>
      </w:tr>
      <w:tr>
        <w:tc>
          <w:tcPr/>
          <w:p>
            <w:pPr>
              <w:pStyle w:val="Compact"/>
              <w:jc w:val="left"/>
            </w:pPr>
            <w:r>
              <w:t xml:space="preserve">(18) EU-8 only: time-varying M-AI</w:t>
            </w:r>
          </w:p>
        </w:tc>
        <w:tc>
          <w:tcPr/>
          <w:p>
            <w:pPr>
              <w:pStyle w:val="Compact"/>
              <w:jc w:val="left"/>
            </w:pPr>
            <w:r>
              <w:t xml:space="preserve">0.023** (0.010)</w:t>
            </w:r>
          </w:p>
        </w:tc>
        <w:tc>
          <w:tcPr/>
          <w:p>
            <w:pPr>
              <w:pStyle w:val="Compact"/>
              <w:jc w:val="left"/>
            </w:pPr>
            <w:r>
              <w:t xml:space="preserve">72</w:t>
            </w:r>
          </w:p>
        </w:tc>
        <w:tc>
          <w:tcPr/>
          <w:p>
            <w:pPr>
              <w:pStyle w:val="Compact"/>
              <w:jc w:val="left"/>
            </w:pPr>
            <w:r>
              <w:t xml:space="preserve">Same 8 importers, 2021/23/24</w:t>
            </w:r>
          </w:p>
        </w:tc>
      </w:tr>
    </w:tbl>
    <w:bookmarkEnd w:id="117"/>
    <w:bookmarkStart w:id="118" w:name="table-6.-event-study-year-δm-omit-2022"/>
    <w:p>
      <w:pPr>
        <w:pStyle w:val="Heading3"/>
      </w:pPr>
      <w:r>
        <w:t xml:space="preserve">Table 6. Event study: year × ΔM (omit 2022)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coef</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2018.0</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0.049</w:t>
            </w:r>
          </w:p>
        </w:tc>
      </w:tr>
      <w:tr>
        <w:tc>
          <w:tcPr/>
          <w:p>
            <w:pPr>
              <w:pStyle w:val="Compact"/>
              <w:jc w:val="left"/>
            </w:pPr>
            <w:r>
              <w:t xml:space="preserve">2019.0</w:t>
            </w:r>
          </w:p>
        </w:tc>
        <w:tc>
          <w:tcPr/>
          <w:p>
            <w:pPr>
              <w:pStyle w:val="Compact"/>
              <w:jc w:val="left"/>
            </w:pPr>
            <w:r>
              <w:t xml:space="preserve">0.011</w:t>
            </w:r>
          </w:p>
        </w:tc>
        <w:tc>
          <w:tcPr/>
          <w:p>
            <w:pPr>
              <w:pStyle w:val="Compact"/>
              <w:jc w:val="left"/>
            </w:pPr>
            <w:r>
              <w:t xml:space="preserve">0.01</w:t>
            </w:r>
          </w:p>
        </w:tc>
        <w:tc>
          <w:tcPr/>
          <w:p>
            <w:pPr>
              <w:pStyle w:val="Compact"/>
              <w:jc w:val="left"/>
            </w:pPr>
            <w:r>
              <w:t xml:space="preserve">0.275</w:t>
            </w:r>
          </w:p>
        </w:tc>
      </w:tr>
      <w:tr>
        <w:tc>
          <w:tcPr/>
          <w:p>
            <w:pPr>
              <w:pStyle w:val="Compact"/>
              <w:jc w:val="left"/>
            </w:pPr>
            <w:r>
              <w:t xml:space="preserve">2020.0</w:t>
            </w:r>
          </w:p>
        </w:tc>
        <w:tc>
          <w:tcPr/>
          <w:p>
            <w:pPr>
              <w:pStyle w:val="Compact"/>
              <w:jc w:val="left"/>
            </w:pPr>
            <w:r>
              <w:t xml:space="preserve">0.017</w:t>
            </w:r>
          </w:p>
        </w:tc>
        <w:tc>
          <w:tcPr/>
          <w:p>
            <w:pPr>
              <w:pStyle w:val="Compact"/>
              <w:jc w:val="left"/>
            </w:pPr>
            <w:r>
              <w:t xml:space="preserve">0.011</w:t>
            </w:r>
          </w:p>
        </w:tc>
        <w:tc>
          <w:tcPr/>
          <w:p>
            <w:pPr>
              <w:pStyle w:val="Compact"/>
              <w:jc w:val="left"/>
            </w:pPr>
            <w:r>
              <w:t xml:space="preserve">0.106</w:t>
            </w:r>
          </w:p>
        </w:tc>
      </w:tr>
      <w:tr>
        <w:tc>
          <w:tcPr/>
          <w:p>
            <w:pPr>
              <w:pStyle w:val="Compact"/>
              <w:jc w:val="left"/>
            </w:pPr>
            <w:r>
              <w:t xml:space="preserve">2021.0</w:t>
            </w:r>
          </w:p>
        </w:tc>
        <w:tc>
          <w:tcPr/>
          <w:p>
            <w:pPr>
              <w:pStyle w:val="Compact"/>
              <w:jc w:val="left"/>
            </w:pPr>
            <w:r>
              <w:t xml:space="preserve">0.011</w:t>
            </w:r>
          </w:p>
        </w:tc>
        <w:tc>
          <w:tcPr/>
          <w:p>
            <w:pPr>
              <w:pStyle w:val="Compact"/>
              <w:jc w:val="left"/>
            </w:pPr>
            <w:r>
              <w:t xml:space="preserve">0.012</w:t>
            </w:r>
          </w:p>
        </w:tc>
        <w:tc>
          <w:tcPr/>
          <w:p>
            <w:pPr>
              <w:pStyle w:val="Compact"/>
              <w:jc w:val="left"/>
            </w:pPr>
            <w:r>
              <w:t xml:space="preserve">0.333</w:t>
            </w:r>
          </w:p>
        </w:tc>
      </w:tr>
      <w:tr>
        <w:tc>
          <w:tcPr/>
          <w:p>
            <w:pPr>
              <w:pStyle w:val="Compact"/>
              <w:jc w:val="left"/>
            </w:pPr>
            <w:r>
              <w:t xml:space="preserve">2022.0</w:t>
            </w:r>
          </w:p>
        </w:tc>
        <w:tc>
          <w:tcPr/>
          <w:p>
            <w:pPr>
              <w:pStyle w:val="Compact"/>
              <w:jc w:val="left"/>
            </w:pPr>
            <w:r>
              <w:t xml:space="preserve">0.0</w:t>
            </w:r>
          </w:p>
        </w:tc>
        <w:tc>
          <w:tcPr/>
          <w:p>
            <w:pPr>
              <w:pStyle w:val="Compact"/>
              <w:jc w:val="left"/>
            </w:pPr>
            <w:r>
              <w:t xml:space="preserve">0.0</w:t>
            </w:r>
          </w:p>
        </w:tc>
        <w:tc>
          <w:tcPr/>
          <w:p>
            <w:pPr>
              <w:pStyle w:val="Compact"/>
              <w:jc w:val="left"/>
            </w:pPr>
            <w:r>
              <w:t xml:space="preserve">1.0</w:t>
            </w:r>
          </w:p>
        </w:tc>
      </w:tr>
      <w:tr>
        <w:tc>
          <w:tcPr/>
          <w:p>
            <w:pPr>
              <w:pStyle w:val="Compact"/>
              <w:jc w:val="left"/>
            </w:pPr>
            <w:r>
              <w:t xml:space="preserve">2023.0</w:t>
            </w:r>
          </w:p>
        </w:tc>
        <w:tc>
          <w:tcPr/>
          <w:p>
            <w:pPr>
              <w:pStyle w:val="Compact"/>
              <w:jc w:val="left"/>
            </w:pPr>
            <w:r>
              <w:t xml:space="preserve">0.011</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2024.0</w:t>
            </w:r>
          </w:p>
        </w:tc>
        <w:tc>
          <w:tcPr/>
          <w:p>
            <w:pPr>
              <w:pStyle w:val="Compact"/>
              <w:jc w:val="left"/>
            </w:pPr>
            <w:r>
              <w:t xml:space="preserve">0.013</w:t>
            </w:r>
          </w:p>
        </w:tc>
        <w:tc>
          <w:tcPr/>
          <w:p>
            <w:pPr>
              <w:pStyle w:val="Compact"/>
              <w:jc w:val="left"/>
            </w:pPr>
            <w:r>
              <w:t xml:space="preserve">0.005</w:t>
            </w:r>
          </w:p>
        </w:tc>
        <w:tc>
          <w:tcPr/>
          <w:p>
            <w:pPr>
              <w:pStyle w:val="Compact"/>
              <w:jc w:val="left"/>
            </w:pPr>
            <w:r>
              <w:t xml:space="preserve">0.016</w:t>
            </w:r>
          </w:p>
        </w:tc>
      </w:tr>
    </w:tbl>
    <w:bookmarkEnd w:id="118"/>
    <w:bookmarkStart w:id="119" w:name="X2bfaebe5b6dd80d6a5a703458202c4d92991d9a"/>
    <w:p>
      <w:pPr>
        <w:pStyle w:val="Heading3"/>
      </w:pPr>
      <w:r>
        <w:t xml:space="preserve">Table 7. ILO ISIC M vs F employment, 2019–2024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pct_M</w:t>
            </w:r>
          </w:p>
        </w:tc>
        <w:tc>
          <w:tcPr/>
          <w:p>
            <w:pPr>
              <w:pStyle w:val="Compact"/>
              <w:jc w:val="left"/>
            </w:pPr>
            <w:r>
              <w:t xml:space="preserve">pct_F</w:t>
            </w:r>
          </w:p>
        </w:tc>
      </w:tr>
      <w:tr>
        <w:tc>
          <w:tcPr/>
          <w:p>
            <w:pPr>
              <w:pStyle w:val="Compact"/>
              <w:jc w:val="left"/>
            </w:pPr>
            <w:r>
              <w:t xml:space="preserve">United Arab Emirates</w:t>
            </w:r>
          </w:p>
        </w:tc>
        <w:tc>
          <w:tcPr/>
          <w:p>
            <w:pPr>
              <w:pStyle w:val="Compact"/>
              <w:jc w:val="left"/>
            </w:pPr>
            <w:r>
              <w:t xml:space="preserve">17.0</w:t>
            </w:r>
          </w:p>
        </w:tc>
        <w:tc>
          <w:tcPr/>
          <w:p>
            <w:pPr>
              <w:pStyle w:val="Compact"/>
              <w:jc w:val="left"/>
            </w:pPr>
            <w:r>
              <w:t xml:space="preserve">53.3</w:t>
            </w:r>
          </w:p>
        </w:tc>
      </w:tr>
      <w:tr>
        <w:tc>
          <w:tcPr/>
          <w:p>
            <w:pPr>
              <w:pStyle w:val="Compact"/>
              <w:jc w:val="left"/>
            </w:pPr>
            <w:r>
              <w:t xml:space="preserve">Australia</w:t>
            </w:r>
          </w:p>
        </w:tc>
        <w:tc>
          <w:tcPr/>
          <w:p>
            <w:pPr>
              <w:pStyle w:val="Compact"/>
              <w:jc w:val="left"/>
            </w:pPr>
            <w:r>
              <w:t xml:space="preserve">9.2</w:t>
            </w:r>
          </w:p>
        </w:tc>
        <w:tc>
          <w:tcPr/>
          <w:p>
            <w:pPr>
              <w:pStyle w:val="Compact"/>
              <w:jc w:val="left"/>
            </w:pPr>
            <w:r>
              <w:t xml:space="preserve">13.6</w:t>
            </w:r>
          </w:p>
        </w:tc>
      </w:tr>
      <w:tr>
        <w:tc>
          <w:tcPr/>
          <w:p>
            <w:pPr>
              <w:pStyle w:val="Compact"/>
              <w:jc w:val="left"/>
            </w:pPr>
            <w:r>
              <w:t xml:space="preserve">Germany</w:t>
            </w:r>
          </w:p>
        </w:tc>
        <w:tc>
          <w:tcPr/>
          <w:p>
            <w:pPr>
              <w:pStyle w:val="Compact"/>
              <w:jc w:val="left"/>
            </w:pPr>
            <w:r>
              <w:t xml:space="preserve">-4.1</w:t>
            </w:r>
          </w:p>
        </w:tc>
        <w:tc>
          <w:tcPr/>
          <w:p>
            <w:pPr>
              <w:pStyle w:val="Compact"/>
              <w:jc w:val="left"/>
            </w:pPr>
            <w:r>
              <w:t xml:space="preserve">-5.5</w:t>
            </w:r>
          </w:p>
        </w:tc>
      </w:tr>
      <w:tr>
        <w:tc>
          <w:tcPr/>
          <w:p>
            <w:pPr>
              <w:pStyle w:val="Compact"/>
              <w:jc w:val="left"/>
            </w:pPr>
            <w:r>
              <w:t xml:space="preserve">Spain</w:t>
            </w:r>
          </w:p>
        </w:tc>
        <w:tc>
          <w:tcPr/>
          <w:p>
            <w:pPr>
              <w:pStyle w:val="Compact"/>
              <w:jc w:val="left"/>
            </w:pPr>
            <w:r>
              <w:t xml:space="preserve">28.4</w:t>
            </w:r>
          </w:p>
        </w:tc>
        <w:tc>
          <w:tcPr/>
          <w:p>
            <w:pPr>
              <w:pStyle w:val="Compact"/>
              <w:jc w:val="left"/>
            </w:pPr>
            <w:r>
              <w:t xml:space="preserve">10.6</w:t>
            </w:r>
          </w:p>
        </w:tc>
      </w:tr>
      <w:tr>
        <w:tc>
          <w:tcPr/>
          <w:p>
            <w:pPr>
              <w:pStyle w:val="Compact"/>
              <w:jc w:val="left"/>
            </w:pPr>
            <w:r>
              <w:t xml:space="preserve">France</w:t>
            </w:r>
          </w:p>
        </w:tc>
        <w:tc>
          <w:tcPr/>
          <w:p>
            <w:pPr>
              <w:pStyle w:val="Compact"/>
              <w:jc w:val="left"/>
            </w:pPr>
            <w:r>
              <w:t xml:space="preserve">22.6</w:t>
            </w:r>
          </w:p>
        </w:tc>
        <w:tc>
          <w:tcPr/>
          <w:p>
            <w:pPr>
              <w:pStyle w:val="Compact"/>
              <w:jc w:val="left"/>
            </w:pPr>
            <w:r>
              <w:t xml:space="preserve">5.7</w:t>
            </w:r>
          </w:p>
        </w:tc>
      </w:tr>
      <w:tr>
        <w:tc>
          <w:tcPr/>
          <w:p>
            <w:pPr>
              <w:pStyle w:val="Compact"/>
              <w:jc w:val="left"/>
            </w:pPr>
            <w:r>
              <w:t xml:space="preserve">United Kingdom</w:t>
            </w:r>
          </w:p>
        </w:tc>
        <w:tc>
          <w:tcPr/>
          <w:p>
            <w:pPr>
              <w:pStyle w:val="Compact"/>
              <w:jc w:val="left"/>
            </w:pPr>
            <w:r>
              <w:t xml:space="preserve">21.8</w:t>
            </w:r>
          </w:p>
        </w:tc>
        <w:tc>
          <w:tcPr/>
          <w:p>
            <w:pPr>
              <w:pStyle w:val="Compact"/>
              <w:jc w:val="left"/>
            </w:pPr>
            <w:r>
              <w:t xml:space="preserve">-7.6</w:t>
            </w:r>
          </w:p>
        </w:tc>
      </w:tr>
      <w:tr>
        <w:tc>
          <w:tcPr/>
          <w:p>
            <w:pPr>
              <w:pStyle w:val="Compact"/>
              <w:jc w:val="left"/>
            </w:pPr>
            <w:r>
              <w:t xml:space="preserve">India</w:t>
            </w:r>
          </w:p>
        </w:tc>
        <w:tc>
          <w:tcPr/>
          <w:p>
            <w:pPr>
              <w:pStyle w:val="Compact"/>
              <w:jc w:val="left"/>
            </w:pPr>
            <w:r>
              <w:t xml:space="preserve">13.0</w:t>
            </w:r>
          </w:p>
        </w:tc>
        <w:tc>
          <w:tcPr/>
          <w:p>
            <w:pPr>
              <w:pStyle w:val="Compact"/>
              <w:jc w:val="left"/>
            </w:pPr>
            <w:r>
              <w:t xml:space="preserve">33.0</w:t>
            </w:r>
          </w:p>
        </w:tc>
      </w:tr>
      <w:tr>
        <w:tc>
          <w:tcPr/>
          <w:p>
            <w:pPr>
              <w:pStyle w:val="Compact"/>
              <w:jc w:val="left"/>
            </w:pPr>
            <w:r>
              <w:t xml:space="preserve">Ireland</w:t>
            </w:r>
          </w:p>
        </w:tc>
        <w:tc>
          <w:tcPr/>
          <w:p>
            <w:pPr>
              <w:pStyle w:val="Compact"/>
              <w:jc w:val="left"/>
            </w:pPr>
            <w:r>
              <w:t xml:space="preserve">51.5</w:t>
            </w:r>
          </w:p>
        </w:tc>
        <w:tc>
          <w:tcPr/>
          <w:p>
            <w:pPr>
              <w:pStyle w:val="Compact"/>
              <w:jc w:val="left"/>
            </w:pPr>
            <w:r>
              <w:t xml:space="preserve">17.1</w:t>
            </w:r>
          </w:p>
        </w:tc>
      </w:tr>
      <w:tr>
        <w:tc>
          <w:tcPr/>
          <w:p>
            <w:pPr>
              <w:pStyle w:val="Compact"/>
              <w:jc w:val="left"/>
            </w:pPr>
            <w:r>
              <w:t xml:space="preserve">Italy</w:t>
            </w:r>
          </w:p>
        </w:tc>
        <w:tc>
          <w:tcPr/>
          <w:p>
            <w:pPr>
              <w:pStyle w:val="Compact"/>
              <w:jc w:val="left"/>
            </w:pPr>
            <w:r>
              <w:t xml:space="preserve">5.5</w:t>
            </w:r>
          </w:p>
        </w:tc>
        <w:tc>
          <w:tcPr/>
          <w:p>
            <w:pPr>
              <w:pStyle w:val="Compact"/>
              <w:jc w:val="left"/>
            </w:pPr>
            <w:r>
              <w:t xml:space="preserve">21.5</w:t>
            </w:r>
          </w:p>
        </w:tc>
      </w:tr>
      <w:tr>
        <w:tc>
          <w:tcPr/>
          <w:p>
            <w:pPr>
              <w:pStyle w:val="Compact"/>
              <w:jc w:val="left"/>
            </w:pPr>
            <w:r>
              <w:t xml:space="preserve">Netherlands</w:t>
            </w:r>
          </w:p>
        </w:tc>
        <w:tc>
          <w:tcPr/>
          <w:p>
            <w:pPr>
              <w:pStyle w:val="Compact"/>
              <w:jc w:val="left"/>
            </w:pPr>
            <w:r>
              <w:t xml:space="preserve">37.8</w:t>
            </w:r>
          </w:p>
        </w:tc>
        <w:tc>
          <w:tcPr/>
          <w:p>
            <w:pPr>
              <w:pStyle w:val="Compact"/>
              <w:jc w:val="left"/>
            </w:pPr>
            <w:r>
              <w:t xml:space="preserve">16.8</w:t>
            </w:r>
          </w:p>
        </w:tc>
      </w:tr>
      <w:tr>
        <w:tc>
          <w:tcPr/>
          <w:p>
            <w:pPr>
              <w:pStyle w:val="Compact"/>
              <w:jc w:val="left"/>
            </w:pPr>
            <w:r>
              <w:t xml:space="preserve">Philippines</w:t>
            </w:r>
          </w:p>
        </w:tc>
        <w:tc>
          <w:tcPr/>
          <w:p>
            <w:pPr>
              <w:pStyle w:val="Compact"/>
              <w:jc w:val="left"/>
            </w:pPr>
            <w:r>
              <w:t xml:space="preserve">39.9</w:t>
            </w:r>
          </w:p>
        </w:tc>
        <w:tc>
          <w:tcPr/>
          <w:p>
            <w:pPr>
              <w:pStyle w:val="Compact"/>
              <w:jc w:val="left"/>
            </w:pPr>
            <w:r>
              <w:t xml:space="preserve">12.8</w:t>
            </w:r>
          </w:p>
        </w:tc>
      </w:tr>
      <w:tr>
        <w:tc>
          <w:tcPr/>
          <w:p>
            <w:pPr>
              <w:pStyle w:val="Compact"/>
              <w:jc w:val="left"/>
            </w:pPr>
            <w:r>
              <w:t xml:space="preserve">Poland</w:t>
            </w:r>
          </w:p>
        </w:tc>
        <w:tc>
          <w:tcPr/>
          <w:p>
            <w:pPr>
              <w:pStyle w:val="Compact"/>
              <w:jc w:val="left"/>
            </w:pPr>
            <w:r>
              <w:t xml:space="preserve">30.4</w:t>
            </w:r>
          </w:p>
        </w:tc>
        <w:tc>
          <w:tcPr/>
          <w:p>
            <w:pPr>
              <w:pStyle w:val="Compact"/>
              <w:jc w:val="left"/>
            </w:pPr>
            <w:r>
              <w:t xml:space="preserve">0.3</w:t>
            </w:r>
          </w:p>
        </w:tc>
      </w:tr>
      <w:tr>
        <w:tc>
          <w:tcPr/>
          <w:p>
            <w:pPr>
              <w:pStyle w:val="Compact"/>
              <w:jc w:val="left"/>
            </w:pPr>
            <w:r>
              <w:t xml:space="preserve">Romania</w:t>
            </w:r>
          </w:p>
        </w:tc>
        <w:tc>
          <w:tcPr/>
          <w:p>
            <w:pPr>
              <w:pStyle w:val="Compact"/>
              <w:jc w:val="left"/>
            </w:pPr>
            <w:r>
              <w:t xml:space="preserve">13.0</w:t>
            </w:r>
          </w:p>
        </w:tc>
        <w:tc>
          <w:tcPr/>
          <w:p>
            <w:pPr>
              <w:pStyle w:val="Compact"/>
              <w:jc w:val="left"/>
            </w:pPr>
            <w:r>
              <w:t xml:space="preserve">17.6</w:t>
            </w:r>
          </w:p>
        </w:tc>
      </w:tr>
      <w:tr>
        <w:tc>
          <w:tcPr/>
          <w:p>
            <w:pPr>
              <w:pStyle w:val="Compact"/>
              <w:jc w:val="left"/>
            </w:pPr>
            <w:r>
              <w:t xml:space="preserve">Singapore</w:t>
            </w:r>
          </w:p>
        </w:tc>
        <w:tc>
          <w:tcPr/>
          <w:p>
            <w:pPr>
              <w:pStyle w:val="Compact"/>
              <w:jc w:val="left"/>
            </w:pPr>
            <w:r>
              <w:t xml:space="preserve">8.6</w:t>
            </w:r>
          </w:p>
        </w:tc>
        <w:tc>
          <w:tcPr/>
          <w:p>
            <w:pPr>
              <w:pStyle w:val="Compact"/>
              <w:jc w:val="left"/>
            </w:pPr>
            <w:r>
              <w:t xml:space="preserve">5.0</w:t>
            </w:r>
          </w:p>
        </w:tc>
      </w:tr>
      <w:tr>
        <w:tc>
          <w:tcPr/>
          <w:p>
            <w:pPr>
              <w:pStyle w:val="Compact"/>
              <w:jc w:val="left"/>
            </w:pPr>
            <w:r>
              <w:t xml:space="preserve">United States</w:t>
            </w:r>
          </w:p>
        </w:tc>
        <w:tc>
          <w:tcPr/>
          <w:p>
            <w:pPr>
              <w:pStyle w:val="Compact"/>
              <w:jc w:val="left"/>
            </w:pPr>
            <w:r>
              <w:t xml:space="preserve">7.1</w:t>
            </w:r>
          </w:p>
        </w:tc>
        <w:tc>
          <w:tcPr/>
          <w:p>
            <w:pPr>
              <w:pStyle w:val="Compact"/>
              <w:jc w:val="left"/>
            </w:pPr>
            <w:r>
              <w:t xml:space="preserve">5.0</w:t>
            </w:r>
          </w:p>
        </w:tc>
      </w:tr>
      <w:tr>
        <w:tc>
          <w:tcPr/>
          <w:p>
            <w:pPr>
              <w:pStyle w:val="Compact"/>
              <w:jc w:val="left"/>
            </w:pPr>
            <w:r>
              <w:t xml:space="preserve">Viet Nam</w:t>
            </w:r>
          </w:p>
        </w:tc>
        <w:tc>
          <w:tcPr/>
          <w:p>
            <w:pPr>
              <w:pStyle w:val="Compact"/>
              <w:jc w:val="left"/>
            </w:pPr>
            <w:r>
              <w:t xml:space="preserve">28.5</w:t>
            </w:r>
          </w:p>
        </w:tc>
        <w:tc>
          <w:tcPr/>
          <w:p>
            <w:pPr>
              <w:pStyle w:val="Compact"/>
              <w:jc w:val="left"/>
            </w:pPr>
            <w:r>
              <w:t xml:space="preserve">-1.4</w:t>
            </w:r>
          </w:p>
        </w:tc>
      </w:tr>
    </w:tbl>
    <w:bookmarkEnd w:id="119"/>
    <w:bookmarkStart w:id="120" w:name="X274c97d10a6bcc46f7fce9dfea9643548753a19"/>
    <w:p>
      <w:pPr>
        <w:pStyle w:val="Heading3"/>
      </w:pPr>
      <w:r>
        <w:t xml:space="preserve">Table 8. NACE M71 vs F GVA, 2019–2023 current EUR (%)</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country</w:t>
            </w:r>
          </w:p>
        </w:tc>
        <w:tc>
          <w:tcPr/>
          <w:p>
            <w:pPr>
              <w:pStyle w:val="Compact"/>
              <w:jc w:val="left"/>
            </w:pPr>
            <w:r>
              <w:t xml:space="preserve">iso3</w:t>
            </w:r>
          </w:p>
        </w:tc>
        <w:tc>
          <w:tcPr/>
          <w:p>
            <w:pPr>
              <w:pStyle w:val="Compact"/>
              <w:jc w:val="left"/>
            </w:pPr>
            <w:r>
              <w:t xml:space="preserve">F</w:t>
            </w:r>
          </w:p>
        </w:tc>
        <w:tc>
          <w:tcPr/>
          <w:p>
            <w:pPr>
              <w:pStyle w:val="Compact"/>
              <w:jc w:val="left"/>
            </w:pPr>
            <w:r>
              <w:t xml:space="preserve">M</w:t>
            </w:r>
          </w:p>
        </w:tc>
        <w:tc>
          <w:tcPr/>
          <w:p>
            <w:pPr>
              <w:pStyle w:val="Compact"/>
              <w:jc w:val="left"/>
            </w:pPr>
            <w:r>
              <w:t xml:space="preserve">M71</w:t>
            </w:r>
          </w:p>
        </w:tc>
      </w:tr>
      <w:tr>
        <w:tc>
          <w:tcPr/>
          <w:p>
            <w:pPr>
              <w:pStyle w:val="Compact"/>
              <w:jc w:val="left"/>
            </w:pPr>
            <w:r>
              <w:t xml:space="preserve">Austria</w:t>
            </w:r>
          </w:p>
        </w:tc>
        <w:tc>
          <w:tcPr/>
          <w:p>
            <w:pPr>
              <w:pStyle w:val="Compact"/>
              <w:jc w:val="left"/>
            </w:pPr>
            <w:r>
              <w:t xml:space="preserve">AUT</w:t>
            </w:r>
          </w:p>
        </w:tc>
        <w:tc>
          <w:tcPr/>
          <w:p>
            <w:pPr>
              <w:pStyle w:val="Compact"/>
              <w:jc w:val="left"/>
            </w:pPr>
            <w:r>
              <w:t xml:space="preserve">23.7</w:t>
            </w:r>
          </w:p>
        </w:tc>
        <w:tc>
          <w:tcPr/>
          <w:p>
            <w:pPr>
              <w:pStyle w:val="Compact"/>
              <w:jc w:val="left"/>
            </w:pPr>
            <w:r>
              <w:t xml:space="preserve">21.5</w:t>
            </w:r>
          </w:p>
        </w:tc>
        <w:tc>
          <w:tcPr/>
          <w:p>
            <w:pPr>
              <w:pStyle w:val="Compact"/>
              <w:jc w:val="left"/>
            </w:pPr>
            <w:r>
              <w:t xml:space="preserve">16.1</w:t>
            </w:r>
          </w:p>
        </w:tc>
      </w:tr>
      <w:tr>
        <w:tc>
          <w:tcPr/>
          <w:p>
            <w:pPr>
              <w:pStyle w:val="Compact"/>
              <w:jc w:val="left"/>
            </w:pPr>
            <w:r>
              <w:t xml:space="preserve">Belgium</w:t>
            </w:r>
          </w:p>
        </w:tc>
        <w:tc>
          <w:tcPr/>
          <w:p>
            <w:pPr>
              <w:pStyle w:val="Compact"/>
              <w:jc w:val="left"/>
            </w:pPr>
            <w:r>
              <w:t xml:space="preserve">BEL</w:t>
            </w:r>
          </w:p>
        </w:tc>
        <w:tc>
          <w:tcPr/>
          <w:p>
            <w:pPr>
              <w:pStyle w:val="Compact"/>
              <w:jc w:val="left"/>
            </w:pPr>
            <w:r>
              <w:t xml:space="preserve">33.8</w:t>
            </w:r>
          </w:p>
        </w:tc>
        <w:tc>
          <w:tcPr/>
          <w:p>
            <w:pPr>
              <w:pStyle w:val="Compact"/>
              <w:jc w:val="left"/>
            </w:pPr>
            <w:r>
              <w:t xml:space="preserve">32.0</w:t>
            </w:r>
          </w:p>
        </w:tc>
        <w:tc>
          <w:tcPr/>
          <w:p>
            <w:pPr>
              <w:pStyle w:val="Compact"/>
              <w:jc w:val="left"/>
            </w:pPr>
            <w:r>
              <w:t xml:space="preserve">40.8</w:t>
            </w:r>
          </w:p>
        </w:tc>
      </w:tr>
      <w:tr>
        <w:tc>
          <w:tcPr/>
          <w:p>
            <w:pPr>
              <w:pStyle w:val="Compact"/>
              <w:jc w:val="left"/>
            </w:pPr>
            <w:r>
              <w:t xml:space="preserve">Czechia</w:t>
            </w:r>
          </w:p>
        </w:tc>
        <w:tc>
          <w:tcPr/>
          <w:p>
            <w:pPr>
              <w:pStyle w:val="Compact"/>
              <w:jc w:val="left"/>
            </w:pPr>
            <w:r>
              <w:t xml:space="preserve">CZE</w:t>
            </w:r>
          </w:p>
        </w:tc>
        <w:tc>
          <w:tcPr/>
          <w:p>
            <w:pPr>
              <w:pStyle w:val="Compact"/>
              <w:jc w:val="left"/>
            </w:pPr>
            <w:r>
              <w:t xml:space="preserve">45.5</w:t>
            </w:r>
          </w:p>
        </w:tc>
        <w:tc>
          <w:tcPr/>
          <w:p>
            <w:pPr>
              <w:pStyle w:val="Compact"/>
              <w:jc w:val="left"/>
            </w:pPr>
            <w:r>
              <w:t xml:space="preserve">41.0</w:t>
            </w:r>
          </w:p>
        </w:tc>
        <w:tc>
          <w:tcPr/>
          <w:p>
            <w:pPr>
              <w:pStyle w:val="Compact"/>
              <w:jc w:val="left"/>
            </w:pPr>
            <w:r>
              <w:t xml:space="preserve">47.1</w:t>
            </w:r>
          </w:p>
        </w:tc>
      </w:tr>
      <w:tr>
        <w:tc>
          <w:tcPr/>
          <w:p>
            <w:pPr>
              <w:pStyle w:val="Compact"/>
              <w:jc w:val="left"/>
            </w:pPr>
            <w:r>
              <w:t xml:space="preserve">Denmark</w:t>
            </w:r>
          </w:p>
        </w:tc>
        <w:tc>
          <w:tcPr/>
          <w:p>
            <w:pPr>
              <w:pStyle w:val="Compact"/>
              <w:jc w:val="left"/>
            </w:pPr>
            <w:r>
              <w:t xml:space="preserve">DNK</w:t>
            </w:r>
          </w:p>
        </w:tc>
        <w:tc>
          <w:tcPr/>
          <w:p>
            <w:pPr>
              <w:pStyle w:val="Compact"/>
              <w:jc w:val="left"/>
            </w:pPr>
            <w:r>
              <w:t xml:space="preserve">15.6</w:t>
            </w:r>
          </w:p>
        </w:tc>
        <w:tc>
          <w:tcPr/>
          <w:p>
            <w:pPr>
              <w:pStyle w:val="Compact"/>
              <w:jc w:val="left"/>
            </w:pPr>
            <w:r>
              <w:t xml:space="preserve">21.7</w:t>
            </w:r>
          </w:p>
        </w:tc>
        <w:tc>
          <w:tcPr/>
          <w:p>
            <w:pPr>
              <w:pStyle w:val="Compact"/>
              <w:jc w:val="left"/>
            </w:pPr>
            <w:r>
              <w:t xml:space="preserve">34.2</w:t>
            </w:r>
          </w:p>
        </w:tc>
      </w:tr>
      <w:tr>
        <w:tc>
          <w:tcPr/>
          <w:p>
            <w:pPr>
              <w:pStyle w:val="Compact"/>
              <w:jc w:val="left"/>
            </w:pPr>
            <w:r>
              <w:t xml:space="preserve">Finland</w:t>
            </w:r>
          </w:p>
        </w:tc>
        <w:tc>
          <w:tcPr/>
          <w:p>
            <w:pPr>
              <w:pStyle w:val="Compact"/>
              <w:jc w:val="left"/>
            </w:pPr>
            <w:r>
              <w:t xml:space="preserve">FIN</w:t>
            </w:r>
          </w:p>
        </w:tc>
        <w:tc>
          <w:tcPr/>
          <w:p>
            <w:pPr>
              <w:pStyle w:val="Compact"/>
              <w:jc w:val="left"/>
            </w:pPr>
            <w:r>
              <w:t xml:space="preserve">-0.3</w:t>
            </w:r>
          </w:p>
        </w:tc>
        <w:tc>
          <w:tcPr/>
          <w:p>
            <w:pPr>
              <w:pStyle w:val="Compact"/>
              <w:jc w:val="left"/>
            </w:pPr>
            <w:r>
              <w:t xml:space="preserve">16.7</w:t>
            </w:r>
          </w:p>
        </w:tc>
        <w:tc>
          <w:tcPr/>
          <w:p>
            <w:pPr>
              <w:pStyle w:val="Compact"/>
              <w:jc w:val="left"/>
            </w:pPr>
            <w:r>
              <w:t xml:space="preserve">13.0</w:t>
            </w:r>
          </w:p>
        </w:tc>
      </w:tr>
      <w:tr>
        <w:tc>
          <w:tcPr/>
          <w:p>
            <w:pPr>
              <w:pStyle w:val="Compact"/>
              <w:jc w:val="left"/>
            </w:pPr>
            <w:r>
              <w:t xml:space="preserve">France</w:t>
            </w:r>
          </w:p>
        </w:tc>
        <w:tc>
          <w:tcPr/>
          <w:p>
            <w:pPr>
              <w:pStyle w:val="Compact"/>
              <w:jc w:val="left"/>
            </w:pPr>
            <w:r>
              <w:t xml:space="preserve">FRA</w:t>
            </w:r>
          </w:p>
        </w:tc>
        <w:tc>
          <w:tcPr/>
          <w:p>
            <w:pPr>
              <w:pStyle w:val="Compact"/>
              <w:jc w:val="left"/>
            </w:pPr>
            <w:r>
              <w:t xml:space="preserve">15.9</w:t>
            </w:r>
          </w:p>
        </w:tc>
        <w:tc>
          <w:tcPr/>
          <w:p>
            <w:pPr>
              <w:pStyle w:val="Compact"/>
              <w:jc w:val="left"/>
            </w:pPr>
            <w:r>
              <w:t xml:space="preserve">13.5</w:t>
            </w:r>
          </w:p>
        </w:tc>
        <w:tc>
          <w:tcPr/>
          <w:p>
            <w:pPr>
              <w:pStyle w:val="Compact"/>
              <w:jc w:val="left"/>
            </w:pPr>
            <w:r>
              <w:t xml:space="preserve">14.0</w:t>
            </w:r>
          </w:p>
        </w:tc>
      </w:tr>
      <w:tr>
        <w:tc>
          <w:tcPr/>
          <w:p>
            <w:pPr>
              <w:pStyle w:val="Compact"/>
              <w:jc w:val="left"/>
            </w:pPr>
            <w:r>
              <w:t xml:space="preserve">Germany</w:t>
            </w:r>
          </w:p>
        </w:tc>
        <w:tc>
          <w:tcPr/>
          <w:p>
            <w:pPr>
              <w:pStyle w:val="Compact"/>
              <w:jc w:val="left"/>
            </w:pPr>
            <w:r>
              <w:t xml:space="preserve">DEU</w:t>
            </w:r>
          </w:p>
        </w:tc>
        <w:tc>
          <w:tcPr/>
          <w:p>
            <w:pPr>
              <w:pStyle w:val="Compact"/>
              <w:jc w:val="left"/>
            </w:pPr>
            <w:r>
              <w:t xml:space="preserve">30.5</w:t>
            </w:r>
          </w:p>
        </w:tc>
        <w:tc>
          <w:tcPr/>
          <w:p>
            <w:pPr>
              <w:pStyle w:val="Compact"/>
              <w:jc w:val="left"/>
            </w:pPr>
            <w:r>
              <w:t xml:space="preserve">26.1</w:t>
            </w:r>
          </w:p>
        </w:tc>
        <w:tc>
          <w:tcPr/>
          <w:p>
            <w:pPr>
              <w:pStyle w:val="Compact"/>
              <w:jc w:val="left"/>
            </w:pPr>
            <w:r>
              <w:t xml:space="preserve">14.7</w:t>
            </w:r>
          </w:p>
        </w:tc>
      </w:tr>
      <w:tr>
        <w:tc>
          <w:tcPr/>
          <w:p>
            <w:pPr>
              <w:pStyle w:val="Compact"/>
              <w:jc w:val="left"/>
            </w:pPr>
            <w:r>
              <w:t xml:space="preserve">Greece</w:t>
            </w:r>
          </w:p>
        </w:tc>
        <w:tc>
          <w:tcPr/>
          <w:p>
            <w:pPr>
              <w:pStyle w:val="Compact"/>
              <w:jc w:val="left"/>
            </w:pPr>
            <w:r>
              <w:t xml:space="preserve">GRC</w:t>
            </w:r>
          </w:p>
        </w:tc>
        <w:tc>
          <w:tcPr/>
          <w:p>
            <w:pPr>
              <w:pStyle w:val="Compact"/>
              <w:jc w:val="left"/>
            </w:pPr>
            <w:r>
              <w:t xml:space="preserve">80.6</w:t>
            </w:r>
          </w:p>
        </w:tc>
        <w:tc>
          <w:tcPr/>
          <w:p>
            <w:pPr>
              <w:pStyle w:val="Compact"/>
              <w:jc w:val="left"/>
            </w:pPr>
            <w:r>
              <w:t xml:space="preserve">41.4</w:t>
            </w:r>
          </w:p>
        </w:tc>
        <w:tc>
          <w:tcPr/>
          <w:p>
            <w:pPr>
              <w:pStyle w:val="Compact"/>
              <w:jc w:val="left"/>
            </w:pPr>
            <w:r>
              <w:t xml:space="preserve">39.3</w:t>
            </w:r>
          </w:p>
        </w:tc>
      </w:tr>
      <w:tr>
        <w:tc>
          <w:tcPr/>
          <w:p>
            <w:pPr>
              <w:pStyle w:val="Compact"/>
              <w:jc w:val="left"/>
            </w:pPr>
            <w:r>
              <w:t xml:space="preserve">Hungary</w:t>
            </w:r>
          </w:p>
        </w:tc>
        <w:tc>
          <w:tcPr/>
          <w:p>
            <w:pPr>
              <w:pStyle w:val="Compact"/>
              <w:jc w:val="left"/>
            </w:pPr>
            <w:r>
              <w:t xml:space="preserve">HUN</w:t>
            </w:r>
          </w:p>
        </w:tc>
        <w:tc>
          <w:tcPr/>
          <w:p>
            <w:pPr>
              <w:pStyle w:val="Compact"/>
              <w:jc w:val="left"/>
            </w:pPr>
            <w:r>
              <w:t xml:space="preserve">45.2</w:t>
            </w:r>
          </w:p>
        </w:tc>
        <w:tc>
          <w:tcPr/>
          <w:p>
            <w:pPr>
              <w:pStyle w:val="Compact"/>
              <w:jc w:val="left"/>
            </w:pPr>
            <w:r>
              <w:t xml:space="preserve">35.7</w:t>
            </w:r>
          </w:p>
        </w:tc>
        <w:tc>
          <w:tcPr/>
          <w:p>
            <w:pPr>
              <w:pStyle w:val="Compact"/>
              <w:jc w:val="left"/>
            </w:pPr>
            <w:r>
              <w:t xml:space="preserve">38.5</w:t>
            </w:r>
          </w:p>
        </w:tc>
      </w:tr>
      <w:tr>
        <w:tc>
          <w:tcPr/>
          <w:p>
            <w:pPr>
              <w:pStyle w:val="Compact"/>
              <w:jc w:val="left"/>
            </w:pPr>
            <w:r>
              <w:t xml:space="preserve">Ireland</w:t>
            </w:r>
          </w:p>
        </w:tc>
        <w:tc>
          <w:tcPr/>
          <w:p>
            <w:pPr>
              <w:pStyle w:val="Compact"/>
              <w:jc w:val="left"/>
            </w:pPr>
            <w:r>
              <w:t xml:space="preserve">IRL</w:t>
            </w:r>
          </w:p>
        </w:tc>
        <w:tc>
          <w:tcPr/>
          <w:p>
            <w:pPr>
              <w:pStyle w:val="Compact"/>
              <w:jc w:val="left"/>
            </w:pPr>
            <w:r>
              <w:t xml:space="preserve">43.4</w:t>
            </w:r>
          </w:p>
        </w:tc>
        <w:tc>
          <w:tcPr/>
          <w:p>
            <w:pPr>
              <w:pStyle w:val="Compact"/>
              <w:jc w:val="left"/>
            </w:pPr>
            <w:r>
              <w:t xml:space="preserve">74.8</w:t>
            </w:r>
          </w:p>
        </w:tc>
        <w:tc>
          <w:tcPr/>
          <w:p>
            <w:pPr>
              <w:pStyle w:val="Compact"/>
              <w:jc w:val="left"/>
            </w:pPr>
            <w:r>
              <w:t xml:space="preserve">70.0</w:t>
            </w:r>
          </w:p>
        </w:tc>
      </w:tr>
      <w:tr>
        <w:tc>
          <w:tcPr/>
          <w:p>
            <w:pPr>
              <w:pStyle w:val="Compact"/>
              <w:jc w:val="left"/>
            </w:pPr>
            <w:r>
              <w:t xml:space="preserve">Italy</w:t>
            </w:r>
          </w:p>
        </w:tc>
        <w:tc>
          <w:tcPr/>
          <w:p>
            <w:pPr>
              <w:pStyle w:val="Compact"/>
              <w:jc w:val="left"/>
            </w:pPr>
            <w:r>
              <w:t xml:space="preserve">ITA</w:t>
            </w:r>
          </w:p>
        </w:tc>
        <w:tc>
          <w:tcPr/>
          <w:p>
            <w:pPr>
              <w:pStyle w:val="Compact"/>
              <w:jc w:val="left"/>
            </w:pPr>
            <w:r>
              <w:t xml:space="preserve">68.6</w:t>
            </w:r>
          </w:p>
        </w:tc>
        <w:tc>
          <w:tcPr/>
          <w:p>
            <w:pPr>
              <w:pStyle w:val="Compact"/>
              <w:jc w:val="left"/>
            </w:pPr>
            <w:r>
              <w:t xml:space="preserve">33.9</w:t>
            </w:r>
          </w:p>
        </w:tc>
        <w:tc>
          <w:tcPr/>
          <w:p>
            <w:pPr>
              <w:pStyle w:val="Compact"/>
              <w:jc w:val="left"/>
            </w:pPr>
            <w:r>
              <w:t xml:space="preserve">55.0</w:t>
            </w:r>
          </w:p>
        </w:tc>
      </w:tr>
      <w:tr>
        <w:tc>
          <w:tcPr/>
          <w:p>
            <w:pPr>
              <w:pStyle w:val="Compact"/>
              <w:jc w:val="left"/>
            </w:pPr>
            <w:r>
              <w:t xml:space="preserve">Netherlands</w:t>
            </w:r>
          </w:p>
        </w:tc>
        <w:tc>
          <w:tcPr/>
          <w:p>
            <w:pPr>
              <w:pStyle w:val="Compact"/>
              <w:jc w:val="left"/>
            </w:pPr>
            <w:r>
              <w:t xml:space="preserve">NLD</w:t>
            </w:r>
          </w:p>
        </w:tc>
        <w:tc>
          <w:tcPr/>
          <w:p>
            <w:pPr>
              <w:pStyle w:val="Compact"/>
              <w:jc w:val="left"/>
            </w:pPr>
            <w:r>
              <w:t xml:space="preserve">33.8</w:t>
            </w:r>
          </w:p>
        </w:tc>
        <w:tc>
          <w:tcPr/>
          <w:p>
            <w:pPr>
              <w:pStyle w:val="Compact"/>
              <w:jc w:val="left"/>
            </w:pPr>
            <w:r>
              <w:t xml:space="preserve">33.7</w:t>
            </w:r>
          </w:p>
        </w:tc>
        <w:tc>
          <w:tcPr/>
          <w:p>
            <w:pPr>
              <w:pStyle w:val="Compact"/>
              <w:jc w:val="left"/>
            </w:pPr>
            <w:r>
              <w:t xml:space="preserve">29.2</w:t>
            </w:r>
          </w:p>
        </w:tc>
      </w:tr>
      <w:tr>
        <w:tc>
          <w:tcPr/>
          <w:p>
            <w:pPr>
              <w:pStyle w:val="Compact"/>
              <w:jc w:val="left"/>
            </w:pPr>
            <w:r>
              <w:t xml:space="preserve">Poland</w:t>
            </w:r>
          </w:p>
        </w:tc>
        <w:tc>
          <w:tcPr/>
          <w:p>
            <w:pPr>
              <w:pStyle w:val="Compact"/>
              <w:jc w:val="left"/>
            </w:pPr>
            <w:r>
              <w:t xml:space="preserve">POL</w:t>
            </w:r>
          </w:p>
        </w:tc>
        <w:tc>
          <w:tcPr/>
          <w:p>
            <w:pPr>
              <w:pStyle w:val="Compact"/>
              <w:jc w:val="left"/>
            </w:pPr>
            <w:r>
              <w:t xml:space="preserve">18.4</w:t>
            </w:r>
          </w:p>
        </w:tc>
        <w:tc>
          <w:tcPr/>
          <w:p>
            <w:pPr>
              <w:pStyle w:val="Compact"/>
              <w:jc w:val="left"/>
            </w:pPr>
            <w:r>
              <w:t xml:space="preserve">41.6</w:t>
            </w:r>
          </w:p>
        </w:tc>
        <w:tc>
          <w:tcPr/>
          <w:p>
            <w:pPr>
              <w:pStyle w:val="Compact"/>
              <w:jc w:val="left"/>
            </w:pPr>
            <w:r>
              <w:t xml:space="preserve">28.9</w:t>
            </w:r>
          </w:p>
        </w:tc>
      </w:tr>
      <w:tr>
        <w:tc>
          <w:tcPr/>
          <w:p>
            <w:pPr>
              <w:pStyle w:val="Compact"/>
              <w:jc w:val="left"/>
            </w:pPr>
            <w:r>
              <w:t xml:space="preserve">Portugal</w:t>
            </w:r>
          </w:p>
        </w:tc>
        <w:tc>
          <w:tcPr/>
          <w:p>
            <w:pPr>
              <w:pStyle w:val="Compact"/>
              <w:jc w:val="left"/>
            </w:pPr>
            <w:r>
              <w:t xml:space="preserve">PRT</w:t>
            </w:r>
          </w:p>
        </w:tc>
        <w:tc>
          <w:tcPr/>
          <w:p>
            <w:pPr>
              <w:pStyle w:val="Compact"/>
              <w:jc w:val="left"/>
            </w:pPr>
            <w:r>
              <w:t xml:space="preserve">41.7</w:t>
            </w:r>
          </w:p>
        </w:tc>
        <w:tc>
          <w:tcPr/>
          <w:p>
            <w:pPr>
              <w:pStyle w:val="Compact"/>
              <w:jc w:val="left"/>
            </w:pPr>
            <w:r>
              <w:t xml:space="preserve">51.4</w:t>
            </w:r>
          </w:p>
        </w:tc>
        <w:tc>
          <w:tcPr/>
          <w:p>
            <w:pPr>
              <w:pStyle w:val="Compact"/>
              <w:jc w:val="left"/>
            </w:pPr>
            <w:r>
              <w:t xml:space="preserve">63.1</w:t>
            </w:r>
          </w:p>
        </w:tc>
      </w:tr>
      <w:tr>
        <w:tc>
          <w:tcPr/>
          <w:p>
            <w:pPr>
              <w:pStyle w:val="Compact"/>
              <w:jc w:val="left"/>
            </w:pPr>
            <w:r>
              <w:t xml:space="preserve">Romania</w:t>
            </w:r>
          </w:p>
        </w:tc>
        <w:tc>
          <w:tcPr/>
          <w:p>
            <w:pPr>
              <w:pStyle w:val="Compact"/>
              <w:jc w:val="left"/>
            </w:pPr>
            <w:r>
              <w:t xml:space="preserve">ROU</w:t>
            </w:r>
          </w:p>
        </w:tc>
        <w:tc>
          <w:tcPr/>
          <w:p>
            <w:pPr>
              <w:pStyle w:val="Compact"/>
              <w:jc w:val="left"/>
            </w:pPr>
            <w:r>
              <w:t xml:space="preserve">82.7</w:t>
            </w:r>
          </w:p>
        </w:tc>
        <w:tc>
          <w:tcPr/>
          <w:p>
            <w:pPr>
              <w:pStyle w:val="Compact"/>
              <w:jc w:val="left"/>
            </w:pPr>
            <w:r>
              <w:t xml:space="preserve">50.6</w:t>
            </w:r>
          </w:p>
        </w:tc>
        <w:tc>
          <w:tcPr/>
          <w:p>
            <w:pPr>
              <w:pStyle w:val="Compact"/>
              <w:jc w:val="left"/>
            </w:pPr>
            <w:r>
              <w:t xml:space="preserve">63.5</w:t>
            </w:r>
          </w:p>
        </w:tc>
      </w:tr>
      <w:tr>
        <w:tc>
          <w:tcPr/>
          <w:p>
            <w:pPr>
              <w:pStyle w:val="Compact"/>
              <w:jc w:val="left"/>
            </w:pPr>
            <w:r>
              <w:t xml:space="preserve">Spain</w:t>
            </w:r>
          </w:p>
        </w:tc>
        <w:tc>
          <w:tcPr/>
          <w:p>
            <w:pPr>
              <w:pStyle w:val="Compact"/>
              <w:jc w:val="left"/>
            </w:pPr>
            <w:r>
              <w:t xml:space="preserve">ESP</w:t>
            </w:r>
          </w:p>
        </w:tc>
        <w:tc>
          <w:tcPr/>
          <w:p>
            <w:pPr>
              <w:pStyle w:val="Compact"/>
              <w:jc w:val="left"/>
            </w:pPr>
            <w:r>
              <w:t xml:space="preserve">6.8</w:t>
            </w:r>
          </w:p>
        </w:tc>
        <w:tc>
          <w:tcPr/>
          <w:p>
            <w:pPr>
              <w:pStyle w:val="Compact"/>
              <w:jc w:val="left"/>
            </w:pPr>
            <w:r>
              <w:t xml:space="preserve">28.5</w:t>
            </w:r>
          </w:p>
        </w:tc>
        <w:tc>
          <w:tcPr/>
          <w:p>
            <w:pPr>
              <w:pStyle w:val="Compact"/>
              <w:jc w:val="left"/>
            </w:pPr>
            <w:r>
              <w:t xml:space="preserve">47.1</w:t>
            </w:r>
          </w:p>
        </w:tc>
      </w:tr>
      <w:tr>
        <w:tc>
          <w:tcPr/>
          <w:p>
            <w:pPr>
              <w:pStyle w:val="Compact"/>
              <w:jc w:val="left"/>
            </w:pPr>
            <w:r>
              <w:t xml:space="preserve">Sweden</w:t>
            </w:r>
          </w:p>
        </w:tc>
        <w:tc>
          <w:tcPr/>
          <w:p>
            <w:pPr>
              <w:pStyle w:val="Compact"/>
              <w:jc w:val="left"/>
            </w:pPr>
            <w:r>
              <w:t xml:space="preserve">SWE</w:t>
            </w:r>
          </w:p>
        </w:tc>
        <w:tc>
          <w:tcPr/>
          <w:p>
            <w:pPr>
              <w:pStyle w:val="Compact"/>
              <w:jc w:val="left"/>
            </w:pPr>
            <w:r>
              <w:t xml:space="preserve">12.2</w:t>
            </w:r>
          </w:p>
        </w:tc>
        <w:tc>
          <w:tcPr/>
          <w:p>
            <w:pPr>
              <w:pStyle w:val="Compact"/>
              <w:jc w:val="left"/>
            </w:pPr>
            <w:r>
              <w:t xml:space="preserve">18.9</w:t>
            </w:r>
          </w:p>
        </w:tc>
        <w:tc>
          <w:tcPr/>
          <w:p>
            <w:pPr>
              <w:pStyle w:val="Compact"/>
              <w:jc w:val="left"/>
            </w:pPr>
            <w:r>
              <w:t xml:space="preserve">—</w:t>
            </w:r>
          </w:p>
        </w:tc>
      </w:tr>
    </w:tbl>
    <w:bookmarkEnd w:id="120"/>
    <w:bookmarkStart w:id="121" w:name="table-9.-m71-gva-and-sj1sj2-placebos"/>
    <w:p>
      <w:pPr>
        <w:pStyle w:val="Heading3"/>
      </w:pPr>
      <w:r>
        <w:t xml:space="preserve">Table 9. M71 GVA and SJ1/SJ2 placebos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Specification</w:t>
            </w:r>
          </w:p>
        </w:tc>
        <w:tc>
          <w:tcPr/>
          <w:p>
            <w:pPr>
              <w:pStyle w:val="Compact"/>
              <w:jc w:val="left"/>
            </w:pPr>
            <w:r>
              <w:t xml:space="preserve">Coefficient (s.e.)</w:t>
            </w:r>
          </w:p>
        </w:tc>
        <w:tc>
          <w:tcPr/>
          <w:p>
            <w:pPr>
              <w:pStyle w:val="Compact"/>
              <w:jc w:val="left"/>
            </w:pPr>
            <w:r>
              <w:t xml:space="preserve">N</w:t>
            </w:r>
          </w:p>
        </w:tc>
      </w:tr>
      <w:tr>
        <w:tc>
          <w:tcPr/>
          <w:p>
            <w:pPr>
              <w:pStyle w:val="Compact"/>
              <w:jc w:val="left"/>
            </w:pPr>
            <w:r>
              <w:t xml:space="preserve">(M71) log GVA Post × ΔM</w:t>
            </w:r>
          </w:p>
        </w:tc>
        <w:tc>
          <w:tcPr/>
          <w:p>
            <w:pPr>
              <w:pStyle w:val="Compact"/>
              <w:jc w:val="left"/>
            </w:pPr>
            <w:r>
              <w:t xml:space="preserve">-0.006 (0.005)</w:t>
            </w:r>
          </w:p>
        </w:tc>
        <w:tc>
          <w:tcPr/>
          <w:p>
            <w:pPr>
              <w:pStyle w:val="Compact"/>
              <w:jc w:val="left"/>
            </w:pPr>
            <w:r>
              <w:t xml:space="preserve">90</w:t>
            </w:r>
          </w:p>
        </w:tc>
      </w:tr>
      <w:tr>
        <w:tc>
          <w:tcPr/>
          <w:p>
            <w:pPr>
              <w:pStyle w:val="Compact"/>
              <w:jc w:val="left"/>
            </w:pPr>
            <w:r>
              <w:t xml:space="preserve">(F) log GVA Post × ΔM placebo</w:t>
            </w:r>
          </w:p>
        </w:tc>
        <w:tc>
          <w:tcPr/>
          <w:p>
            <w:pPr>
              <w:pStyle w:val="Compact"/>
              <w:jc w:val="left"/>
            </w:pPr>
            <w:r>
              <w:t xml:space="preserve">-0.008** (0.004)</w:t>
            </w:r>
          </w:p>
        </w:tc>
        <w:tc>
          <w:tcPr/>
          <w:p>
            <w:pPr>
              <w:pStyle w:val="Compact"/>
              <w:jc w:val="left"/>
            </w:pPr>
            <w:r>
              <w:t xml:space="preserve">96</w:t>
            </w:r>
          </w:p>
        </w:tc>
      </w:tr>
      <w:tr>
        <w:tc>
          <w:tcPr/>
          <w:p>
            <w:pPr>
              <w:pStyle w:val="Compact"/>
              <w:jc w:val="left"/>
            </w:pPr>
            <w:r>
              <w:t xml:space="preserve">(M71) time-varying M-AI 2021/23</w:t>
            </w:r>
          </w:p>
        </w:tc>
        <w:tc>
          <w:tcPr/>
          <w:p>
            <w:pPr>
              <w:pStyle w:val="Compact"/>
              <w:jc w:val="left"/>
            </w:pPr>
            <w:r>
              <w:t xml:space="preserve">0.000 (0.004)</w:t>
            </w:r>
          </w:p>
        </w:tc>
        <w:tc>
          <w:tcPr/>
          <w:p>
            <w:pPr>
              <w:pStyle w:val="Compact"/>
              <w:jc w:val="left"/>
            </w:pPr>
            <w:r>
              <w:t xml:space="preserve">32</w:t>
            </w:r>
          </w:p>
        </w:tc>
      </w:tr>
      <w:tr>
        <w:tc>
          <w:tcPr/>
          <w:p>
            <w:pPr>
              <w:pStyle w:val="Compact"/>
              <w:jc w:val="left"/>
            </w:pPr>
            <w:r>
              <w:t xml:space="preserve">(trade) SJ2 consulting placebo Post × ΔM</w:t>
            </w:r>
          </w:p>
        </w:tc>
        <w:tc>
          <w:tcPr/>
          <w:p>
            <w:pPr>
              <w:pStyle w:val="Compact"/>
              <w:jc w:val="left"/>
            </w:pPr>
            <w:r>
              <w:t xml:space="preserve">0.007 (0.007)</w:t>
            </w:r>
          </w:p>
        </w:tc>
        <w:tc>
          <w:tcPr/>
          <w:p>
            <w:pPr>
              <w:pStyle w:val="Compact"/>
              <w:jc w:val="left"/>
            </w:pPr>
            <w:r>
              <w:t xml:space="preserve">336</w:t>
            </w:r>
          </w:p>
        </w:tc>
      </w:tr>
      <w:tr>
        <w:tc>
          <w:tcPr/>
          <w:p>
            <w:pPr>
              <w:pStyle w:val="Compact"/>
              <w:jc w:val="left"/>
            </w:pPr>
            <w:r>
              <w:t xml:space="preserve">(trade) SJ1 R&amp;D placebo Post × ΔM</w:t>
            </w:r>
          </w:p>
        </w:tc>
        <w:tc>
          <w:tcPr/>
          <w:p>
            <w:pPr>
              <w:pStyle w:val="Compact"/>
              <w:jc w:val="left"/>
            </w:pPr>
            <w:r>
              <w:t xml:space="preserve">0.003 (0.009)</w:t>
            </w:r>
          </w:p>
        </w:tc>
        <w:tc>
          <w:tcPr/>
          <w:p>
            <w:pPr>
              <w:pStyle w:val="Compact"/>
              <w:jc w:val="left"/>
            </w:pPr>
            <w:r>
              <w:t xml:space="preserve">336</w:t>
            </w:r>
          </w:p>
        </w:tc>
      </w:tr>
    </w:tbl>
    <w:bookmarkEnd w:id="121"/>
    <w:bookmarkStart w:id="122" w:name="table-10.-leave-one-importer-out-post-δm"/>
    <w:p>
      <w:pPr>
        <w:pStyle w:val="Heading3"/>
      </w:pPr>
      <w:r>
        <w:t xml:space="preserve">Table 10. Leave-one-importer-out, Post × ΔM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dropped</w:t>
            </w:r>
          </w:p>
        </w:tc>
        <w:tc>
          <w:tcPr/>
          <w:p>
            <w:pPr>
              <w:pStyle w:val="Compact"/>
              <w:jc w:val="left"/>
            </w:pPr>
            <w:r>
              <w:t xml:space="preserve">country</w:t>
            </w:r>
          </w:p>
        </w:tc>
        <w:tc>
          <w:tcPr/>
          <w:p>
            <w:pPr>
              <w:pStyle w:val="Compact"/>
              <w:jc w:val="left"/>
            </w:pPr>
            <w:r>
              <w:t xml:space="preserve">display</w:t>
            </w:r>
          </w:p>
        </w:tc>
        <w:tc>
          <w:tcPr/>
          <w:p>
            <w:pPr>
              <w:pStyle w:val="Compact"/>
              <w:jc w:val="left"/>
            </w:pPr>
            <w:r>
              <w:t xml:space="preserve">n</w:t>
            </w:r>
          </w:p>
        </w:tc>
      </w:tr>
      <w:tr>
        <w:tc>
          <w:tcPr/>
          <w:p>
            <w:pPr>
              <w:pStyle w:val="Compact"/>
              <w:jc w:val="left"/>
            </w:pPr>
            <w:r>
              <w:t xml:space="preserve">AUT</w:t>
            </w:r>
          </w:p>
        </w:tc>
        <w:tc>
          <w:tcPr/>
          <w:p>
            <w:pPr>
              <w:pStyle w:val="Compact"/>
              <w:jc w:val="left"/>
            </w:pPr>
            <w:r>
              <w:t xml:space="preserve">Austria</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BEL</w:t>
            </w:r>
          </w:p>
        </w:tc>
        <w:tc>
          <w:tcPr/>
          <w:p>
            <w:pPr>
              <w:pStyle w:val="Compact"/>
              <w:jc w:val="left"/>
            </w:pPr>
            <w:r>
              <w:t xml:space="preserve">Belgium</w:t>
            </w:r>
          </w:p>
        </w:tc>
        <w:tc>
          <w:tcPr/>
          <w:p>
            <w:pPr>
              <w:pStyle w:val="Compact"/>
              <w:jc w:val="left"/>
            </w:pPr>
            <w:r>
              <w:t xml:space="preserve">0.000 (0.006)</w:t>
            </w:r>
          </w:p>
        </w:tc>
        <w:tc>
          <w:tcPr/>
          <w:p>
            <w:pPr>
              <w:pStyle w:val="Compact"/>
              <w:jc w:val="left"/>
            </w:pPr>
            <w:r>
              <w:t xml:space="preserve">315</w:t>
            </w:r>
          </w:p>
        </w:tc>
      </w:tr>
      <w:tr>
        <w:tc>
          <w:tcPr/>
          <w:p>
            <w:pPr>
              <w:pStyle w:val="Compact"/>
              <w:jc w:val="left"/>
            </w:pPr>
            <w:r>
              <w:t xml:space="preserve">CZE</w:t>
            </w:r>
          </w:p>
        </w:tc>
        <w:tc>
          <w:tcPr/>
          <w:p>
            <w:pPr>
              <w:pStyle w:val="Compact"/>
              <w:jc w:val="left"/>
            </w:pPr>
            <w:r>
              <w:t xml:space="preserve">Czechia</w:t>
            </w:r>
          </w:p>
        </w:tc>
        <w:tc>
          <w:tcPr/>
          <w:p>
            <w:pPr>
              <w:pStyle w:val="Compact"/>
              <w:jc w:val="left"/>
            </w:pPr>
            <w:r>
              <w:t xml:space="preserve">0.001 (0.005)</w:t>
            </w:r>
          </w:p>
        </w:tc>
        <w:tc>
          <w:tcPr/>
          <w:p>
            <w:pPr>
              <w:pStyle w:val="Compact"/>
              <w:jc w:val="left"/>
            </w:pPr>
            <w:r>
              <w:t xml:space="preserve">315</w:t>
            </w:r>
          </w:p>
        </w:tc>
      </w:tr>
      <w:tr>
        <w:tc>
          <w:tcPr/>
          <w:p>
            <w:pPr>
              <w:pStyle w:val="Compact"/>
              <w:jc w:val="left"/>
            </w:pPr>
            <w:r>
              <w:t xml:space="preserve">DEU</w:t>
            </w:r>
          </w:p>
        </w:tc>
        <w:tc>
          <w:tcPr/>
          <w:p>
            <w:pPr>
              <w:pStyle w:val="Compact"/>
              <w:jc w:val="left"/>
            </w:pPr>
            <w:r>
              <w:t xml:space="preserve">Germany</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DNK</w:t>
            </w:r>
          </w:p>
        </w:tc>
        <w:tc>
          <w:tcPr/>
          <w:p>
            <w:pPr>
              <w:pStyle w:val="Compact"/>
              <w:jc w:val="left"/>
            </w:pPr>
            <w:r>
              <w:t xml:space="preserve">Denmark</w:t>
            </w:r>
          </w:p>
        </w:tc>
        <w:tc>
          <w:tcPr/>
          <w:p>
            <w:pPr>
              <w:pStyle w:val="Compact"/>
              <w:jc w:val="left"/>
            </w:pPr>
            <w:r>
              <w:t xml:space="preserve">0.002 (0.006)</w:t>
            </w:r>
          </w:p>
        </w:tc>
        <w:tc>
          <w:tcPr/>
          <w:p>
            <w:pPr>
              <w:pStyle w:val="Compact"/>
              <w:jc w:val="left"/>
            </w:pPr>
            <w:r>
              <w:t xml:space="preserve">315</w:t>
            </w:r>
          </w:p>
        </w:tc>
      </w:tr>
      <w:tr>
        <w:tc>
          <w:tcPr/>
          <w:p>
            <w:pPr>
              <w:pStyle w:val="Compact"/>
              <w:jc w:val="left"/>
            </w:pPr>
            <w:r>
              <w:t xml:space="preserve">ESP</w:t>
            </w:r>
          </w:p>
        </w:tc>
        <w:tc>
          <w:tcPr/>
          <w:p>
            <w:pPr>
              <w:pStyle w:val="Compact"/>
              <w:jc w:val="left"/>
            </w:pPr>
            <w:r>
              <w:t xml:space="preserve">Spain</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FIN</w:t>
            </w:r>
          </w:p>
        </w:tc>
        <w:tc>
          <w:tcPr/>
          <w:p>
            <w:pPr>
              <w:pStyle w:val="Compact"/>
              <w:jc w:val="left"/>
            </w:pPr>
            <w:r>
              <w:t xml:space="preserve">Finland</w:t>
            </w:r>
          </w:p>
        </w:tc>
        <w:tc>
          <w:tcPr/>
          <w:p>
            <w:pPr>
              <w:pStyle w:val="Compact"/>
              <w:jc w:val="left"/>
            </w:pPr>
            <w:r>
              <w:t xml:space="preserve">-0.000 (0.005)</w:t>
            </w:r>
          </w:p>
        </w:tc>
        <w:tc>
          <w:tcPr/>
          <w:p>
            <w:pPr>
              <w:pStyle w:val="Compact"/>
              <w:jc w:val="left"/>
            </w:pPr>
            <w:r>
              <w:t xml:space="preserve">315</w:t>
            </w:r>
          </w:p>
        </w:tc>
      </w:tr>
      <w:tr>
        <w:tc>
          <w:tcPr/>
          <w:p>
            <w:pPr>
              <w:pStyle w:val="Compact"/>
              <w:jc w:val="left"/>
            </w:pPr>
            <w:r>
              <w:t xml:space="preserve">FRA</w:t>
            </w:r>
          </w:p>
        </w:tc>
        <w:tc>
          <w:tcPr/>
          <w:p>
            <w:pPr>
              <w:pStyle w:val="Compact"/>
              <w:jc w:val="left"/>
            </w:pPr>
            <w:r>
              <w:t xml:space="preserve">France</w:t>
            </w:r>
          </w:p>
        </w:tc>
        <w:tc>
          <w:tcPr/>
          <w:p>
            <w:pPr>
              <w:pStyle w:val="Compact"/>
              <w:jc w:val="left"/>
            </w:pPr>
            <w:r>
              <w:t xml:space="preserve">-0.002 (0.005)</w:t>
            </w:r>
          </w:p>
        </w:tc>
        <w:tc>
          <w:tcPr/>
          <w:p>
            <w:pPr>
              <w:pStyle w:val="Compact"/>
              <w:jc w:val="left"/>
            </w:pPr>
            <w:r>
              <w:t xml:space="preserve">315</w:t>
            </w:r>
          </w:p>
        </w:tc>
      </w:tr>
      <w:tr>
        <w:tc>
          <w:tcPr/>
          <w:p>
            <w:pPr>
              <w:pStyle w:val="Compact"/>
              <w:jc w:val="left"/>
            </w:pPr>
            <w:r>
              <w:t xml:space="preserve">GRC</w:t>
            </w:r>
          </w:p>
        </w:tc>
        <w:tc>
          <w:tcPr/>
          <w:p>
            <w:pPr>
              <w:pStyle w:val="Compact"/>
              <w:jc w:val="left"/>
            </w:pPr>
            <w:r>
              <w:t xml:space="preserve">Greece</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HUN</w:t>
            </w:r>
          </w:p>
        </w:tc>
        <w:tc>
          <w:tcPr/>
          <w:p>
            <w:pPr>
              <w:pStyle w:val="Compact"/>
              <w:jc w:val="left"/>
            </w:pPr>
            <w:r>
              <w:t xml:space="preserve">Hungary</w:t>
            </w:r>
          </w:p>
        </w:tc>
        <w:tc>
          <w:tcPr/>
          <w:p>
            <w:pPr>
              <w:pStyle w:val="Compact"/>
              <w:jc w:val="left"/>
            </w:pPr>
            <w:r>
              <w:t xml:space="preserve">0.000 (0.006)</w:t>
            </w:r>
          </w:p>
        </w:tc>
        <w:tc>
          <w:tcPr/>
          <w:p>
            <w:pPr>
              <w:pStyle w:val="Compact"/>
              <w:jc w:val="left"/>
            </w:pPr>
            <w:r>
              <w:t xml:space="preserve">315</w:t>
            </w:r>
          </w:p>
        </w:tc>
      </w:tr>
      <w:tr>
        <w:tc>
          <w:tcPr/>
          <w:p>
            <w:pPr>
              <w:pStyle w:val="Compact"/>
              <w:jc w:val="left"/>
            </w:pPr>
            <w:r>
              <w:t xml:space="preserve">IRL</w:t>
            </w:r>
          </w:p>
        </w:tc>
        <w:tc>
          <w:tcPr/>
          <w:p>
            <w:pPr>
              <w:pStyle w:val="Compact"/>
              <w:jc w:val="left"/>
            </w:pPr>
            <w:r>
              <w:t xml:space="preserve">Ireland</w:t>
            </w:r>
          </w:p>
        </w:tc>
        <w:tc>
          <w:tcPr/>
          <w:p>
            <w:pPr>
              <w:pStyle w:val="Compact"/>
              <w:jc w:val="left"/>
            </w:pPr>
            <w:r>
              <w:t xml:space="preserve">0.001 (0.005)</w:t>
            </w:r>
          </w:p>
        </w:tc>
        <w:tc>
          <w:tcPr/>
          <w:p>
            <w:pPr>
              <w:pStyle w:val="Compact"/>
              <w:jc w:val="left"/>
            </w:pPr>
            <w:r>
              <w:t xml:space="preserve">315</w:t>
            </w:r>
          </w:p>
        </w:tc>
      </w:tr>
      <w:tr>
        <w:tc>
          <w:tcPr/>
          <w:p>
            <w:pPr>
              <w:pStyle w:val="Compact"/>
              <w:jc w:val="left"/>
            </w:pPr>
            <w:r>
              <w:t xml:space="preserve">ITA</w:t>
            </w:r>
          </w:p>
        </w:tc>
        <w:tc>
          <w:tcPr/>
          <w:p>
            <w:pPr>
              <w:pStyle w:val="Compact"/>
              <w:jc w:val="left"/>
            </w:pPr>
            <w:r>
              <w:t xml:space="preserve">Italy</w:t>
            </w:r>
          </w:p>
        </w:tc>
        <w:tc>
          <w:tcPr/>
          <w:p>
            <w:pPr>
              <w:pStyle w:val="Compact"/>
              <w:jc w:val="left"/>
            </w:pPr>
            <w:r>
              <w:t xml:space="preserve">0.000 (0.006)</w:t>
            </w:r>
          </w:p>
        </w:tc>
        <w:tc>
          <w:tcPr/>
          <w:p>
            <w:pPr>
              <w:pStyle w:val="Compact"/>
              <w:jc w:val="left"/>
            </w:pPr>
            <w:r>
              <w:t xml:space="preserve">315</w:t>
            </w:r>
          </w:p>
        </w:tc>
      </w:tr>
      <w:tr>
        <w:tc>
          <w:tcPr/>
          <w:p>
            <w:pPr>
              <w:pStyle w:val="Compact"/>
              <w:jc w:val="left"/>
            </w:pPr>
            <w:r>
              <w:t xml:space="preserve">NLD</w:t>
            </w:r>
          </w:p>
        </w:tc>
        <w:tc>
          <w:tcPr/>
          <w:p>
            <w:pPr>
              <w:pStyle w:val="Compact"/>
              <w:jc w:val="left"/>
            </w:pPr>
            <w:r>
              <w:t xml:space="preserve">Netherlands</w:t>
            </w:r>
          </w:p>
        </w:tc>
        <w:tc>
          <w:tcPr/>
          <w:p>
            <w:pPr>
              <w:pStyle w:val="Compact"/>
              <w:jc w:val="left"/>
            </w:pPr>
            <w:r>
              <w:t xml:space="preserve">-0.001 (0.005)</w:t>
            </w:r>
          </w:p>
        </w:tc>
        <w:tc>
          <w:tcPr/>
          <w:p>
            <w:pPr>
              <w:pStyle w:val="Compact"/>
              <w:jc w:val="left"/>
            </w:pPr>
            <w:r>
              <w:t xml:space="preserve">315</w:t>
            </w:r>
          </w:p>
        </w:tc>
      </w:tr>
      <w:tr>
        <w:tc>
          <w:tcPr/>
          <w:p>
            <w:pPr>
              <w:pStyle w:val="Compact"/>
              <w:jc w:val="left"/>
            </w:pPr>
            <w:r>
              <w:t xml:space="preserve">POL</w:t>
            </w:r>
          </w:p>
        </w:tc>
        <w:tc>
          <w:tcPr/>
          <w:p>
            <w:pPr>
              <w:pStyle w:val="Compact"/>
              <w:jc w:val="left"/>
            </w:pPr>
            <w:r>
              <w:t xml:space="preserve">Poland</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PRT</w:t>
            </w:r>
          </w:p>
        </w:tc>
        <w:tc>
          <w:tcPr/>
          <w:p>
            <w:pPr>
              <w:pStyle w:val="Compact"/>
              <w:jc w:val="left"/>
            </w:pPr>
            <w:r>
              <w:t xml:space="preserve">Portugal</w:t>
            </w:r>
          </w:p>
        </w:tc>
        <w:tc>
          <w:tcPr/>
          <w:p>
            <w:pPr>
              <w:pStyle w:val="Compact"/>
              <w:jc w:val="left"/>
            </w:pPr>
            <w:r>
              <w:t xml:space="preserve">0.000 (0.006)</w:t>
            </w:r>
          </w:p>
        </w:tc>
        <w:tc>
          <w:tcPr/>
          <w:p>
            <w:pPr>
              <w:pStyle w:val="Compact"/>
              <w:jc w:val="left"/>
            </w:pPr>
            <w:r>
              <w:t xml:space="preserve">336</w:t>
            </w:r>
          </w:p>
        </w:tc>
      </w:tr>
      <w:tr>
        <w:tc>
          <w:tcPr/>
          <w:p>
            <w:pPr>
              <w:pStyle w:val="Compact"/>
              <w:jc w:val="left"/>
            </w:pPr>
            <w:r>
              <w:t xml:space="preserve">ROU</w:t>
            </w:r>
          </w:p>
        </w:tc>
        <w:tc>
          <w:tcPr/>
          <w:p>
            <w:pPr>
              <w:pStyle w:val="Compact"/>
              <w:jc w:val="left"/>
            </w:pPr>
            <w:r>
              <w:t xml:space="preserve">Romania</w:t>
            </w:r>
          </w:p>
        </w:tc>
        <w:tc>
          <w:tcPr/>
          <w:p>
            <w:pPr>
              <w:pStyle w:val="Compact"/>
              <w:jc w:val="left"/>
            </w:pPr>
            <w:r>
              <w:t xml:space="preserve">-0.002 (0.005)</w:t>
            </w:r>
          </w:p>
        </w:tc>
        <w:tc>
          <w:tcPr/>
          <w:p>
            <w:pPr>
              <w:pStyle w:val="Compact"/>
              <w:jc w:val="left"/>
            </w:pPr>
            <w:r>
              <w:t xml:space="preserve">315</w:t>
            </w:r>
          </w:p>
        </w:tc>
      </w:tr>
      <w:tr>
        <w:tc>
          <w:tcPr/>
          <w:p>
            <w:pPr>
              <w:pStyle w:val="Compact"/>
              <w:jc w:val="left"/>
            </w:pPr>
            <w:r>
              <w:t xml:space="preserve">SWE</w:t>
            </w:r>
          </w:p>
        </w:tc>
        <w:tc>
          <w:tcPr/>
          <w:p>
            <w:pPr>
              <w:pStyle w:val="Compact"/>
              <w:jc w:val="left"/>
            </w:pPr>
            <w:r>
              <w:t xml:space="preserve">Sweden</w:t>
            </w:r>
          </w:p>
        </w:tc>
        <w:tc>
          <w:tcPr/>
          <w:p>
            <w:pPr>
              <w:pStyle w:val="Compact"/>
              <w:jc w:val="left"/>
            </w:pPr>
            <w:r>
              <w:t xml:space="preserve">0.010* (0.006)</w:t>
            </w:r>
          </w:p>
        </w:tc>
        <w:tc>
          <w:tcPr/>
          <w:p>
            <w:pPr>
              <w:pStyle w:val="Compact"/>
              <w:jc w:val="left"/>
            </w:pPr>
            <w:r>
              <w:t xml:space="preserve">315</w:t>
            </w:r>
          </w:p>
        </w:tc>
      </w:tr>
    </w:tbl>
    <w:bookmarkEnd w:id="122"/>
    <w:bookmarkStart w:id="123" w:name="Xe51a387100f1ea790f0634bdef243e2b3b44860"/>
    <w:p>
      <w:pPr>
        <w:pStyle w:val="Heading3"/>
      </w:pPr>
      <w:r>
        <w:t xml:space="preserve">Table 11. Importer AI intensity (Eurostat pp)</w:t>
      </w:r>
    </w:p>
    <w:p>
      <w:pPr>
        <w:pStyle w:val="FirstParagraph"/>
      </w:pPr>
      <w:r>
        <w:t xml:space="preserve">Member-level treatment values are retained in</w:t>
      </w:r>
      <w:r>
        <w:t xml:space="preserve"> </w:t>
      </w:r>
      <w:r>
        <w:rPr>
          <w:rStyle w:val="VerbatimChar"/>
        </w:rPr>
        <w:t xml:space="preserve">tables/table_ai_intensity.csv</w:t>
      </w:r>
      <w:r>
        <w:t xml:space="preserve">. The estimation uses all available members, but the article does not interpret them as separate national cases.</w:t>
      </w:r>
    </w:p>
    <w:bookmarkEnd w:id="123"/>
    <w:bookmarkStart w:id="124" w:name="Xfefec55a100d403cd63c29981b4f481e6d53051"/>
    <w:p>
      <w:pPr>
        <w:pStyle w:val="Heading3"/>
      </w:pPr>
      <w:r>
        <w:t xml:space="preserve">Table 13. Generative NLG shock (log SJ3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Coefficient (s.e.)</w:t>
            </w:r>
          </w:p>
        </w:tc>
        <w:tc>
          <w:tcPr/>
          <w:p>
            <w:pPr>
              <w:pStyle w:val="Compact"/>
              <w:jc w:val="left"/>
            </w:pPr>
            <w:r>
              <w:t xml:space="preserve">N</w:t>
            </w:r>
          </w:p>
        </w:tc>
        <w:tc>
          <w:tcPr/>
          <w:p>
            <w:pPr>
              <w:pStyle w:val="Compact"/>
              <w:jc w:val="left"/>
            </w:pPr>
            <w:r>
              <w:t xml:space="preserve">Note</w:t>
            </w:r>
          </w:p>
        </w:tc>
      </w:tr>
      <w:tr>
        <w:tc>
          <w:tcPr/>
          <w:p>
            <w:pPr>
              <w:pStyle w:val="Compact"/>
              <w:jc w:val="left"/>
            </w:pPr>
            <w:r>
              <w:t xml:space="preserve">(N1) Post×ΔM TNLG 2023–24 [preferred GenAI shock]</w:t>
            </w:r>
          </w:p>
        </w:tc>
        <w:tc>
          <w:tcPr/>
          <w:p>
            <w:pPr>
              <w:pStyle w:val="Compact"/>
              <w:jc w:val="left"/>
            </w:pPr>
            <w:r>
              <w:t xml:space="preserve">0.009 (0.005)</w:t>
            </w:r>
          </w:p>
        </w:tc>
        <w:tc>
          <w:tcPr/>
          <w:p>
            <w:pPr>
              <w:pStyle w:val="Compact"/>
              <w:jc w:val="left"/>
            </w:pPr>
            <w:r>
              <w:t xml:space="preserve">357</w:t>
            </w:r>
          </w:p>
        </w:tc>
        <w:tc>
          <w:tcPr/>
          <w:p>
            <w:pPr>
              <w:pStyle w:val="Compact"/>
              <w:jc w:val="left"/>
            </w:pPr>
            <w:r>
              <w:t xml:space="preserve">NLG jump is the ChatGPT window; EU × IND/PHL/VNM</w:t>
            </w:r>
          </w:p>
        </w:tc>
      </w:tr>
      <w:tr>
        <w:tc>
          <w:tcPr/>
          <w:p>
            <w:pPr>
              <w:pStyle w:val="Compact"/>
              <w:jc w:val="left"/>
            </w:pPr>
            <w:r>
              <w:t xml:space="preserve">(N2) Post2024×ΔM TNLG 2023–24</w:t>
            </w:r>
          </w:p>
        </w:tc>
        <w:tc>
          <w:tcPr/>
          <w:p>
            <w:pPr>
              <w:pStyle w:val="Compact"/>
              <w:jc w:val="left"/>
            </w:pPr>
            <w:r>
              <w:t xml:space="preserve">0.007** (0.003)</w:t>
            </w:r>
          </w:p>
        </w:tc>
        <w:tc>
          <w:tcPr/>
          <w:p>
            <w:pPr>
              <w:pStyle w:val="Compact"/>
              <w:jc w:val="left"/>
            </w:pPr>
            <w:r>
              <w:t xml:space="preserve">357</w:t>
            </w:r>
          </w:p>
        </w:tc>
        <w:tc>
          <w:tcPr/>
          <w:p>
            <w:pPr>
              <w:pStyle w:val="Compact"/>
              <w:jc w:val="left"/>
            </w:pPr>
            <w:r>
              <w:t xml:space="preserve">Treat only 2024 as post (BaTIS ends 2024)</w:t>
            </w:r>
          </w:p>
        </w:tc>
      </w:tr>
      <w:tr>
        <w:tc>
          <w:tcPr/>
          <w:p>
            <w:pPr>
              <w:pStyle w:val="Compact"/>
              <w:jc w:val="left"/>
            </w:pPr>
            <w:r>
              <w:t xml:space="preserve">(N3) Post×ΔM TNLG 2021–24</w:t>
            </w:r>
          </w:p>
        </w:tc>
        <w:tc>
          <w:tcPr/>
          <w:p>
            <w:pPr>
              <w:pStyle w:val="Compact"/>
              <w:jc w:val="left"/>
            </w:pPr>
            <w:r>
              <w:t xml:space="preserve">0.007 (0.005)</w:t>
            </w:r>
          </w:p>
        </w:tc>
        <w:tc>
          <w:tcPr/>
          <w:p>
            <w:pPr>
              <w:pStyle w:val="Compact"/>
              <w:jc w:val="left"/>
            </w:pPr>
            <w:r>
              <w:t xml:space="preserve">357</w:t>
            </w:r>
          </w:p>
        </w:tc>
        <w:tc>
          <w:tcPr/>
          <w:p>
            <w:pPr>
              <w:pStyle w:val="Compact"/>
              <w:jc w:val="left"/>
            </w:pPr>
            <w:r>
              <w:t xml:space="preserve">Comparable window to generic TANY ΔM</w:t>
            </w:r>
          </w:p>
        </w:tc>
      </w:tr>
      <w:tr>
        <w:tc>
          <w:tcPr/>
          <w:p>
            <w:pPr>
              <w:pStyle w:val="Compact"/>
              <w:jc w:val="left"/>
            </w:pPr>
            <w:r>
              <w:t xml:space="preserve">(N4) Post× TNLG M 2024 level</w:t>
            </w:r>
          </w:p>
        </w:tc>
        <w:tc>
          <w:tcPr/>
          <w:p>
            <w:pPr>
              <w:pStyle w:val="Compact"/>
              <w:jc w:val="left"/>
            </w:pPr>
            <w:r>
              <w:t xml:space="preserve">0.006 (0.004)</w:t>
            </w:r>
          </w:p>
        </w:tc>
        <w:tc>
          <w:tcPr/>
          <w:p>
            <w:pPr>
              <w:pStyle w:val="Compact"/>
              <w:jc w:val="left"/>
            </w:pPr>
            <w:r>
              <w:t xml:space="preserve">357</w:t>
            </w:r>
          </w:p>
        </w:tc>
        <w:tc>
          <w:tcPr/>
          <w:p>
            <w:pPr>
              <w:pStyle w:val="Compact"/>
              <w:jc w:val="left"/>
            </w:pPr>
            <w:r>
              <w:t xml:space="preserve">Level not change</w:t>
            </w:r>
          </w:p>
        </w:tc>
      </w:tr>
      <w:tr>
        <w:tc>
          <w:tcPr/>
          <w:p>
            <w:pPr>
              <w:pStyle w:val="Compact"/>
              <w:jc w:val="left"/>
            </w:pPr>
            <w:r>
              <w:t xml:space="preserve">(N5) Placebo Post×ΔF TNLG 2023–24</w:t>
            </w:r>
          </w:p>
        </w:tc>
        <w:tc>
          <w:tcPr/>
          <w:p>
            <w:pPr>
              <w:pStyle w:val="Compact"/>
              <w:jc w:val="left"/>
            </w:pPr>
            <w:r>
              <w:t xml:space="preserve">0.015 (0.020)</w:t>
            </w:r>
          </w:p>
        </w:tc>
        <w:tc>
          <w:tcPr/>
          <w:p>
            <w:pPr>
              <w:pStyle w:val="Compact"/>
              <w:jc w:val="left"/>
            </w:pPr>
            <w:r>
              <w:t xml:space="preserve">357</w:t>
            </w:r>
          </w:p>
        </w:tc>
        <w:tc>
          <w:tcPr/>
          <w:p>
            <w:pPr>
              <w:pStyle w:val="Compact"/>
              <w:jc w:val="left"/>
            </w:pPr>
            <w:r>
              <w:t xml:space="preserve">Construction enterprises using NLG</w:t>
            </w:r>
          </w:p>
        </w:tc>
      </w:tr>
      <w:tr>
        <w:tc>
          <w:tcPr/>
          <w:p>
            <w:pPr>
              <w:pStyle w:val="Compact"/>
              <w:jc w:val="left"/>
            </w:pPr>
            <w:r>
              <w:t xml:space="preserve">(N6) Horse: Post×ΔM TNLG</w:t>
            </w:r>
          </w:p>
        </w:tc>
        <w:tc>
          <w:tcPr/>
          <w:p>
            <w:pPr>
              <w:pStyle w:val="Compact"/>
              <w:jc w:val="left"/>
            </w:pPr>
            <w:r>
              <w:t xml:space="preserve">0.015*** (0.004)</w:t>
            </w:r>
          </w:p>
        </w:tc>
        <w:tc>
          <w:tcPr/>
          <w:p>
            <w:pPr>
              <w:pStyle w:val="Compact"/>
              <w:jc w:val="left"/>
            </w:pPr>
            <w:r>
              <w:t xml:space="preserve">357</w:t>
            </w:r>
          </w:p>
        </w:tc>
        <w:tc>
          <w:tcPr/>
          <w:p>
            <w:pPr>
              <w:pStyle w:val="Compact"/>
              <w:jc w:val="left"/>
            </w:pPr>
            <w:r>
              <w:t xml:space="preserve">Same regression as N7</w:t>
            </w:r>
          </w:p>
        </w:tc>
      </w:tr>
      <w:tr>
        <w:tc>
          <w:tcPr/>
          <w:p>
            <w:pPr>
              <w:pStyle w:val="Compact"/>
              <w:jc w:val="left"/>
            </w:pPr>
            <w:r>
              <w:t xml:space="preserve">(N7) Horse: Post×ΔM TML (ML placebo)</w:t>
            </w:r>
          </w:p>
        </w:tc>
        <w:tc>
          <w:tcPr/>
          <w:p>
            <w:pPr>
              <w:pStyle w:val="Compact"/>
              <w:jc w:val="left"/>
            </w:pPr>
            <w:r>
              <w:t xml:space="preserve">-0.026* (0.014)</w:t>
            </w:r>
          </w:p>
        </w:tc>
        <w:tc>
          <w:tcPr/>
          <w:p>
            <w:pPr>
              <w:pStyle w:val="Compact"/>
              <w:jc w:val="left"/>
            </w:pPr>
            <w:r>
              <w:t xml:space="preserve">357</w:t>
            </w:r>
          </w:p>
        </w:tc>
        <w:tc>
          <w:tcPr/>
          <w:p>
            <w:pPr>
              <w:pStyle w:val="Compact"/>
              <w:jc w:val="left"/>
            </w:pPr>
            <w:r>
              <w:t xml:space="preserve">Machine learning, not generative NLG</w:t>
            </w:r>
          </w:p>
        </w:tc>
      </w:tr>
      <w:tr>
        <w:tc>
          <w:tcPr/>
          <w:p>
            <w:pPr>
              <w:pStyle w:val="Compact"/>
              <w:jc w:val="left"/>
            </w:pPr>
            <w:r>
              <w:t xml:space="preserve">(N8) Placebo Post×ΔM TTM 2023–24</w:t>
            </w:r>
          </w:p>
        </w:tc>
        <w:tc>
          <w:tcPr/>
          <w:p>
            <w:pPr>
              <w:pStyle w:val="Compact"/>
              <w:jc w:val="left"/>
            </w:pPr>
            <w:r>
              <w:t xml:space="preserve">0.004 (0.008)</w:t>
            </w:r>
          </w:p>
        </w:tc>
        <w:tc>
          <w:tcPr/>
          <w:p>
            <w:pPr>
              <w:pStyle w:val="Compact"/>
              <w:jc w:val="left"/>
            </w:pPr>
            <w:r>
              <w:t xml:space="preserve">357</w:t>
            </w:r>
          </w:p>
        </w:tc>
        <w:tc>
          <w:tcPr/>
          <w:p>
            <w:pPr>
              <w:pStyle w:val="Compact"/>
              <w:jc w:val="left"/>
            </w:pPr>
            <w:r>
              <w:t xml:space="preserve">Text mining (also jumped; not NLG)</w:t>
            </w:r>
          </w:p>
        </w:tc>
      </w:tr>
      <w:tr>
        <w:tc>
          <w:tcPr/>
          <w:p>
            <w:pPr>
              <w:pStyle w:val="Compact"/>
              <w:jc w:val="left"/>
            </w:pPr>
            <w:r>
              <w:t xml:space="preserve">(N9) Placebo Post×ΔM TIR 2023–24</w:t>
            </w:r>
          </w:p>
        </w:tc>
        <w:tc>
          <w:tcPr/>
          <w:p>
            <w:pPr>
              <w:pStyle w:val="Compact"/>
              <w:jc w:val="left"/>
            </w:pPr>
            <w:r>
              <w:t xml:space="preserve">-0.010 (0.020)</w:t>
            </w:r>
          </w:p>
        </w:tc>
        <w:tc>
          <w:tcPr/>
          <w:p>
            <w:pPr>
              <w:pStyle w:val="Compact"/>
              <w:jc w:val="left"/>
            </w:pPr>
            <w:r>
              <w:t xml:space="preserve">357</w:t>
            </w:r>
          </w:p>
        </w:tc>
        <w:tc>
          <w:tcPr/>
          <w:p>
            <w:pPr>
              <w:pStyle w:val="Compact"/>
              <w:jc w:val="left"/>
            </w:pPr>
            <w:r>
              <w:t xml:space="preserve">Image recognition</w:t>
            </w:r>
          </w:p>
        </w:tc>
      </w:tr>
      <w:tr>
        <w:tc>
          <w:tcPr/>
          <w:p>
            <w:pPr>
              <w:pStyle w:val="Compact"/>
              <w:jc w:val="left"/>
            </w:pPr>
            <w:r>
              <w:t xml:space="preserve">(N10) Comparison Post×ΔM TANY 2021–24</w:t>
            </w:r>
          </w:p>
        </w:tc>
        <w:tc>
          <w:tcPr/>
          <w:p>
            <w:pPr>
              <w:pStyle w:val="Compact"/>
              <w:jc w:val="left"/>
            </w:pPr>
            <w:r>
              <w:t xml:space="preserve">0.000 (0.006)</w:t>
            </w:r>
          </w:p>
        </w:tc>
        <w:tc>
          <w:tcPr/>
          <w:p>
            <w:pPr>
              <w:pStyle w:val="Compact"/>
              <w:jc w:val="left"/>
            </w:pPr>
            <w:r>
              <w:t xml:space="preserve">336</w:t>
            </w:r>
          </w:p>
        </w:tc>
        <w:tc>
          <w:tcPr/>
          <w:p>
            <w:pPr>
              <w:pStyle w:val="Compact"/>
              <w:jc w:val="left"/>
            </w:pPr>
            <w:r>
              <w:t xml:space="preserve">Generic any-AI; mixes ML and GenAI</w:t>
            </w:r>
          </w:p>
        </w:tc>
      </w:tr>
      <w:tr>
        <w:tc>
          <w:tcPr/>
          <w:p>
            <w:pPr>
              <w:pStyle w:val="Compact"/>
              <w:jc w:val="left"/>
            </w:pPr>
            <w:r>
              <w:t xml:space="preserve">(N11) Placebo SI Post×ΔM TNLG</w:t>
            </w:r>
          </w:p>
        </w:tc>
        <w:tc>
          <w:tcPr/>
          <w:p>
            <w:pPr>
              <w:pStyle w:val="Compact"/>
              <w:jc w:val="left"/>
            </w:pPr>
            <w:r>
              <w:t xml:space="preserve">-0.002 (0.006)</w:t>
            </w:r>
          </w:p>
        </w:tc>
        <w:tc>
          <w:tcPr/>
          <w:p>
            <w:pPr>
              <w:pStyle w:val="Compact"/>
              <w:jc w:val="left"/>
            </w:pPr>
            <w:r>
              <w:t xml:space="preserve">357</w:t>
            </w:r>
          </w:p>
        </w:tc>
        <w:tc>
          <w:tcPr/>
          <w:p>
            <w:pPr>
              <w:pStyle w:val="Compact"/>
              <w:jc w:val="left"/>
            </w:pPr>
            <w:r>
              <w:t xml:space="preserve">Computer services from same partners</w:t>
            </w:r>
          </w:p>
        </w:tc>
      </w:tr>
      <w:tr>
        <w:tc>
          <w:tcPr/>
          <w:p>
            <w:pPr>
              <w:pStyle w:val="Compact"/>
              <w:jc w:val="left"/>
            </w:pPr>
            <w:r>
              <w:t xml:space="preserve">(N12) Placebo China SE Post×ΔM TNLG</w:t>
            </w:r>
          </w:p>
        </w:tc>
        <w:tc>
          <w:tcPr/>
          <w:p>
            <w:pPr>
              <w:pStyle w:val="Compact"/>
              <w:jc w:val="left"/>
            </w:pPr>
            <w:r>
              <w:t xml:space="preserve">-0.008 (0.009)</w:t>
            </w:r>
          </w:p>
        </w:tc>
        <w:tc>
          <w:tcPr/>
          <w:p>
            <w:pPr>
              <w:pStyle w:val="Compact"/>
              <w:jc w:val="left"/>
            </w:pPr>
            <w:r>
              <w:t xml:space="preserve">119</w:t>
            </w:r>
          </w:p>
        </w:tc>
        <w:tc>
          <w:tcPr/>
          <w:p>
            <w:pPr>
              <w:pStyle w:val="Compact"/>
              <w:jc w:val="left"/>
            </w:pPr>
            <w:r>
              <w:t xml:space="preserve">Mode-3 construction from China</w:t>
            </w:r>
          </w:p>
        </w:tc>
      </w:tr>
      <w:tr>
        <w:tc>
          <w:tcPr/>
          <w:p>
            <w:pPr>
              <w:pStyle w:val="Compact"/>
              <w:jc w:val="left"/>
            </w:pPr>
            <w:r>
              <w:t xml:space="preserve">(N13) Placebo China SJ3 Post×ΔM TNLG</w:t>
            </w:r>
          </w:p>
        </w:tc>
        <w:tc>
          <w:tcPr/>
          <w:p>
            <w:pPr>
              <w:pStyle w:val="Compact"/>
              <w:jc w:val="left"/>
            </w:pPr>
            <w:r>
              <w:t xml:space="preserve">0.005 (0.010)</w:t>
            </w:r>
          </w:p>
        </w:tc>
        <w:tc>
          <w:tcPr/>
          <w:p>
            <w:pPr>
              <w:pStyle w:val="Compact"/>
              <w:jc w:val="left"/>
            </w:pPr>
            <w:r>
              <w:t xml:space="preserve">119</w:t>
            </w:r>
          </w:p>
        </w:tc>
        <w:tc>
          <w:tcPr/>
          <w:p>
            <w:pPr>
              <w:pStyle w:val="Compact"/>
              <w:jc w:val="left"/>
            </w:pPr>
            <w:r>
              <w:t xml:space="preserve">SJ3 from China</w:t>
            </w:r>
          </w:p>
        </w:tc>
      </w:tr>
      <w:tr>
        <w:tc>
          <w:tcPr/>
          <w:p>
            <w:pPr>
              <w:pStyle w:val="Compact"/>
              <w:jc w:val="left"/>
            </w:pPr>
            <w:r>
              <w:t xml:space="preserve">(N14) Placebo Post×ΔJ TNLG 2023–24</w:t>
            </w:r>
          </w:p>
        </w:tc>
        <w:tc>
          <w:tcPr/>
          <w:p>
            <w:pPr>
              <w:pStyle w:val="Compact"/>
              <w:jc w:val="left"/>
            </w:pPr>
            <w:r>
              <w:t xml:space="preserve">0.009** (0.004)</w:t>
            </w:r>
          </w:p>
        </w:tc>
        <w:tc>
          <w:tcPr/>
          <w:p>
            <w:pPr>
              <w:pStyle w:val="Compact"/>
              <w:jc w:val="left"/>
            </w:pPr>
            <w:r>
              <w:t xml:space="preserve">357</w:t>
            </w:r>
          </w:p>
        </w:tc>
        <w:tc>
          <w:tcPr/>
          <w:p>
            <w:pPr>
              <w:pStyle w:val="Compact"/>
              <w:jc w:val="left"/>
            </w:pPr>
            <w:r>
              <w:t xml:space="preserve">ICT sector NLG (NACE J), not M71-containing M</w:t>
            </w:r>
          </w:p>
        </w:tc>
      </w:tr>
      <w:tr>
        <w:tc>
          <w:tcPr/>
          <w:p>
            <w:pPr>
              <w:pStyle w:val="Compact"/>
              <w:jc w:val="left"/>
            </w:pPr>
            <w:r>
              <w:t xml:space="preserve">(N15) Placebo Post×ΔC TNLG 2023–24</w:t>
            </w:r>
          </w:p>
        </w:tc>
        <w:tc>
          <w:tcPr/>
          <w:p>
            <w:pPr>
              <w:pStyle w:val="Compact"/>
              <w:jc w:val="left"/>
            </w:pPr>
            <w:r>
              <w:t xml:space="preserve">0.017** (0.008)</w:t>
            </w:r>
          </w:p>
        </w:tc>
        <w:tc>
          <w:tcPr/>
          <w:p>
            <w:pPr>
              <w:pStyle w:val="Compact"/>
              <w:jc w:val="left"/>
            </w:pPr>
            <w:r>
              <w:t xml:space="preserve">357</w:t>
            </w:r>
          </w:p>
        </w:tc>
        <w:tc>
          <w:tcPr/>
          <w:p>
            <w:pPr>
              <w:pStyle w:val="Compact"/>
              <w:jc w:val="left"/>
            </w:pPr>
            <w:r>
              <w:t xml:space="preserve">Manufacturing NLG</w:t>
            </w:r>
          </w:p>
        </w:tc>
      </w:tr>
      <w:tr>
        <w:tc>
          <w:tcPr/>
          <w:p>
            <w:pPr>
              <w:pStyle w:val="Compact"/>
              <w:jc w:val="left"/>
            </w:pPr>
            <w:r>
              <w:t xml:space="preserve">(N16) Placebo Post×ΔN TNLG 2023–24</w:t>
            </w:r>
          </w:p>
        </w:tc>
        <w:tc>
          <w:tcPr/>
          <w:p>
            <w:pPr>
              <w:pStyle w:val="Compact"/>
              <w:jc w:val="left"/>
            </w:pPr>
            <w:r>
              <w:t xml:space="preserve">0.015** (0.007)</w:t>
            </w:r>
          </w:p>
        </w:tc>
        <w:tc>
          <w:tcPr/>
          <w:p>
            <w:pPr>
              <w:pStyle w:val="Compact"/>
              <w:jc w:val="left"/>
            </w:pPr>
            <w:r>
              <w:t xml:space="preserve">357</w:t>
            </w:r>
          </w:p>
        </w:tc>
        <w:tc>
          <w:tcPr/>
          <w:p>
            <w:pPr>
              <w:pStyle w:val="Compact"/>
              <w:jc w:val="left"/>
            </w:pPr>
            <w:r>
              <w:t xml:space="preserve">Administrative/support NLG</w:t>
            </w:r>
          </w:p>
        </w:tc>
      </w:tr>
      <w:tr>
        <w:tc>
          <w:tcPr/>
          <w:p>
            <w:pPr>
              <w:pStyle w:val="Compact"/>
              <w:jc w:val="left"/>
            </w:pPr>
            <w:r>
              <w:t xml:space="preserve">(NH) India only Post×ΔM TNLG 2023–24</w:t>
            </w:r>
          </w:p>
        </w:tc>
        <w:tc>
          <w:tcPr/>
          <w:p>
            <w:pPr>
              <w:pStyle w:val="Compact"/>
              <w:jc w:val="left"/>
            </w:pPr>
            <w:r>
              <w:t xml:space="preserve">0.021*** (0.008)</w:t>
            </w:r>
          </w:p>
        </w:tc>
        <w:tc>
          <w:tcPr/>
          <w:p>
            <w:pPr>
              <w:pStyle w:val="Compact"/>
              <w:jc w:val="left"/>
            </w:pPr>
            <w:r>
              <w:t xml:space="preserve">119</w:t>
            </w:r>
          </w:p>
        </w:tc>
        <w:tc>
          <w:tcPr/>
          <w:p>
            <w:pPr>
              <w:pStyle w:val="Compact"/>
              <w:jc w:val="left"/>
            </w:pPr>
            <w:r>
              <w:t xml:space="preserve">Partner = IND</w:t>
            </w:r>
          </w:p>
        </w:tc>
      </w:tr>
      <w:tr>
        <w:tc>
          <w:tcPr/>
          <w:p>
            <w:pPr>
              <w:pStyle w:val="Compact"/>
              <w:jc w:val="left"/>
            </w:pPr>
            <w:r>
              <w:t xml:space="preserve">(NH) Philippines only Post×ΔM TNLG 2023–24</w:t>
            </w:r>
          </w:p>
        </w:tc>
        <w:tc>
          <w:tcPr/>
          <w:p>
            <w:pPr>
              <w:pStyle w:val="Compact"/>
              <w:jc w:val="left"/>
            </w:pPr>
            <w:r>
              <w:t xml:space="preserve">-0.007 (0.015)</w:t>
            </w:r>
          </w:p>
        </w:tc>
        <w:tc>
          <w:tcPr/>
          <w:p>
            <w:pPr>
              <w:pStyle w:val="Compact"/>
              <w:jc w:val="left"/>
            </w:pPr>
            <w:r>
              <w:t xml:space="preserve">119</w:t>
            </w:r>
          </w:p>
        </w:tc>
        <w:tc>
          <w:tcPr/>
          <w:p>
            <w:pPr>
              <w:pStyle w:val="Compact"/>
              <w:jc w:val="left"/>
            </w:pPr>
            <w:r>
              <w:t xml:space="preserve">Partner = PHL</w:t>
            </w:r>
          </w:p>
        </w:tc>
      </w:tr>
      <w:tr>
        <w:tc>
          <w:tcPr/>
          <w:p>
            <w:pPr>
              <w:pStyle w:val="Compact"/>
              <w:jc w:val="left"/>
            </w:pPr>
            <w:r>
              <w:t xml:space="preserve">(NH) Viet Nam only Post×ΔM TNLG 2023–24</w:t>
            </w:r>
          </w:p>
        </w:tc>
        <w:tc>
          <w:tcPr/>
          <w:p>
            <w:pPr>
              <w:pStyle w:val="Compact"/>
              <w:jc w:val="left"/>
            </w:pPr>
            <w:r>
              <w:t xml:space="preserve">0.011 (0.008)</w:t>
            </w:r>
          </w:p>
        </w:tc>
        <w:tc>
          <w:tcPr/>
          <w:p>
            <w:pPr>
              <w:pStyle w:val="Compact"/>
              <w:jc w:val="left"/>
            </w:pPr>
            <w:r>
              <w:t xml:space="preserve">119</w:t>
            </w:r>
          </w:p>
        </w:tc>
        <w:tc>
          <w:tcPr/>
          <w:p>
            <w:pPr>
              <w:pStyle w:val="Compact"/>
              <w:jc w:val="left"/>
            </w:pPr>
            <w:r>
              <w:t xml:space="preserve">Partner = VNM</w:t>
            </w:r>
          </w:p>
        </w:tc>
      </w:tr>
      <w:tr>
        <w:tc>
          <w:tcPr/>
          <w:p>
            <w:pPr>
              <w:pStyle w:val="Compact"/>
              <w:jc w:val="left"/>
            </w:pPr>
            <w:r>
              <w:t xml:space="preserve">(N17) EU-8 Post×ΔM TNLG 2023–24</w:t>
            </w:r>
          </w:p>
        </w:tc>
        <w:tc>
          <w:tcPr/>
          <w:p>
            <w:pPr>
              <w:pStyle w:val="Compact"/>
              <w:jc w:val="left"/>
            </w:pPr>
            <w:r>
              <w:t xml:space="preserve">0.029*** (0.006)</w:t>
            </w:r>
          </w:p>
        </w:tc>
        <w:tc>
          <w:tcPr/>
          <w:p>
            <w:pPr>
              <w:pStyle w:val="Compact"/>
              <w:jc w:val="left"/>
            </w:pPr>
            <w:r>
              <w:t xml:space="preserve">168</w:t>
            </w:r>
          </w:p>
        </w:tc>
        <w:tc>
          <w:tcPr/>
          <w:p>
            <w:pPr>
              <w:pStyle w:val="Compact"/>
              <w:jc w:val="left"/>
            </w:pPr>
            <w:r>
              <w:t xml:space="preserve">Same fragile eight-country sample as TANY EU-8</w:t>
            </w:r>
          </w:p>
        </w:tc>
      </w:tr>
      <w:tr>
        <w:tc>
          <w:tcPr/>
          <w:p>
            <w:pPr>
              <w:pStyle w:val="Compact"/>
              <w:jc w:val="left"/>
            </w:pPr>
            <w:r>
              <w:t xml:space="preserve">(N18) Cross-section Δlog IN SJ3 22–24 on ΔTNLG 23–24</w:t>
            </w:r>
          </w:p>
        </w:tc>
        <w:tc>
          <w:tcPr/>
          <w:p>
            <w:pPr>
              <w:pStyle w:val="Compact"/>
              <w:jc w:val="left"/>
            </w:pPr>
            <w:r>
              <w:t xml:space="preserve">0.017*** (0.004)</w:t>
            </w:r>
          </w:p>
        </w:tc>
        <w:tc>
          <w:tcPr/>
          <w:p>
            <w:pPr>
              <w:pStyle w:val="Compact"/>
              <w:jc w:val="left"/>
            </w:pPr>
            <w:r>
              <w:t xml:space="preserve">17</w:t>
            </w:r>
          </w:p>
        </w:tc>
        <w:tc>
          <w:tcPr/>
          <w:p>
            <w:pPr>
              <w:pStyle w:val="Compact"/>
              <w:jc w:val="left"/>
            </w:pPr>
            <w:r>
              <w:t xml:space="preserve">No FE; one obs per importer</w:t>
            </w:r>
          </w:p>
        </w:tc>
      </w:tr>
      <w:tr>
        <w:tc>
          <w:tcPr/>
          <w:p>
            <w:pPr>
              <w:pStyle w:val="Compact"/>
              <w:jc w:val="left"/>
            </w:pPr>
            <w:r>
              <w:t xml:space="preserve">(N19) log M71 GVA Post×ΔM TNLG 2023–24</w:t>
            </w:r>
          </w:p>
        </w:tc>
        <w:tc>
          <w:tcPr/>
          <w:p>
            <w:pPr>
              <w:pStyle w:val="Compact"/>
              <w:jc w:val="left"/>
            </w:pPr>
            <w:r>
              <w:t xml:space="preserve">-0.007* (0.004)</w:t>
            </w:r>
          </w:p>
        </w:tc>
        <w:tc>
          <w:tcPr/>
          <w:p>
            <w:pPr>
              <w:pStyle w:val="Compact"/>
              <w:jc w:val="left"/>
            </w:pPr>
            <w:r>
              <w:t xml:space="preserve">96</w:t>
            </w:r>
          </w:p>
        </w:tc>
        <w:tc>
          <w:tcPr/>
          <w:p>
            <w:pPr>
              <w:pStyle w:val="Compact"/>
              <w:jc w:val="left"/>
            </w:pPr>
            <w:r>
              <w:t xml:space="preserve">Domestic architectural &amp; engineering GVA; GVA only to 2023</w:t>
            </w:r>
          </w:p>
        </w:tc>
      </w:tr>
      <w:tr>
        <w:tc>
          <w:tcPr/>
          <w:p>
            <w:pPr>
              <w:pStyle w:val="Compact"/>
              <w:jc w:val="left"/>
            </w:pPr>
            <w:r>
              <w:t xml:space="preserve">(N20) SJ2 consulting Post×ΔM TNLG</w:t>
            </w:r>
          </w:p>
        </w:tc>
        <w:tc>
          <w:tcPr/>
          <w:p>
            <w:pPr>
              <w:pStyle w:val="Compact"/>
              <w:jc w:val="left"/>
            </w:pPr>
            <w:r>
              <w:t xml:space="preserve">0.006 (0.011)</w:t>
            </w:r>
          </w:p>
        </w:tc>
        <w:tc>
          <w:tcPr/>
          <w:p>
            <w:pPr>
              <w:pStyle w:val="Compact"/>
              <w:jc w:val="left"/>
            </w:pPr>
            <w:r>
              <w:t xml:space="preserve">357</w:t>
            </w:r>
          </w:p>
        </w:tc>
        <w:tc>
          <w:tcPr/>
          <w:p>
            <w:pPr>
              <w:pStyle w:val="Compact"/>
              <w:jc w:val="left"/>
            </w:pPr>
            <w:r>
              <w:t xml:space="preserve">Same importers/partners as SJ3</w:t>
            </w:r>
          </w:p>
        </w:tc>
      </w:tr>
      <w:tr>
        <w:tc>
          <w:tcPr/>
          <w:p>
            <w:pPr>
              <w:pStyle w:val="Compact"/>
              <w:jc w:val="left"/>
            </w:pPr>
            <w:r>
              <w:t xml:space="preserve">(N20) SJ1 R&amp;D Post×ΔM TNLG</w:t>
            </w:r>
          </w:p>
        </w:tc>
        <w:tc>
          <w:tcPr/>
          <w:p>
            <w:pPr>
              <w:pStyle w:val="Compact"/>
              <w:jc w:val="left"/>
            </w:pPr>
            <w:r>
              <w:t xml:space="preserve">0.007 (0.011)</w:t>
            </w:r>
          </w:p>
        </w:tc>
        <w:tc>
          <w:tcPr/>
          <w:p>
            <w:pPr>
              <w:pStyle w:val="Compact"/>
              <w:jc w:val="left"/>
            </w:pPr>
            <w:r>
              <w:t xml:space="preserve">357</w:t>
            </w:r>
          </w:p>
        </w:tc>
        <w:tc>
          <w:tcPr/>
          <w:p>
            <w:pPr>
              <w:pStyle w:val="Compact"/>
              <w:jc w:val="left"/>
            </w:pPr>
            <w:r>
              <w:t xml:space="preserve">Same importers/partners as SJ3</w:t>
            </w:r>
          </w:p>
        </w:tc>
      </w:tr>
    </w:tbl>
    <w:bookmarkEnd w:id="124"/>
    <w:bookmarkStart w:id="125" w:name="X4674d1542aea018c780f7e117e58fb6f0efc6f6"/>
    <w:p>
      <w:pPr>
        <w:pStyle w:val="Heading3"/>
      </w:pPr>
      <w:r>
        <w:t xml:space="preserve">Table 14. Event study: year × ΔM TNLG 2023–24 (omit 2022)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coef</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2018.0</w:t>
            </w:r>
          </w:p>
        </w:tc>
        <w:tc>
          <w:tcPr/>
          <w:p>
            <w:pPr>
              <w:pStyle w:val="Compact"/>
              <w:jc w:val="left"/>
            </w:pPr>
            <w:r>
              <w:t xml:space="preserve">0.007</w:t>
            </w:r>
          </w:p>
        </w:tc>
        <w:tc>
          <w:tcPr/>
          <w:p>
            <w:pPr>
              <w:pStyle w:val="Compact"/>
              <w:jc w:val="left"/>
            </w:pPr>
            <w:r>
              <w:t xml:space="preserve">0.014</w:t>
            </w:r>
          </w:p>
        </w:tc>
        <w:tc>
          <w:tcPr/>
          <w:p>
            <w:pPr>
              <w:pStyle w:val="Compact"/>
              <w:jc w:val="left"/>
            </w:pPr>
            <w:r>
              <w:t xml:space="preserve">0.606</w:t>
            </w:r>
          </w:p>
        </w:tc>
      </w:tr>
      <w:tr>
        <w:tc>
          <w:tcPr/>
          <w:p>
            <w:pPr>
              <w:pStyle w:val="Compact"/>
              <w:jc w:val="left"/>
            </w:pPr>
            <w:r>
              <w:t xml:space="preserve">2019.0</w:t>
            </w:r>
          </w:p>
        </w:tc>
        <w:tc>
          <w:tcPr/>
          <w:p>
            <w:pPr>
              <w:pStyle w:val="Compact"/>
              <w:jc w:val="left"/>
            </w:pPr>
            <w:r>
              <w:t xml:space="preserve">0.003</w:t>
            </w:r>
          </w:p>
        </w:tc>
        <w:tc>
          <w:tcPr/>
          <w:p>
            <w:pPr>
              <w:pStyle w:val="Compact"/>
              <w:jc w:val="left"/>
            </w:pPr>
            <w:r>
              <w:t xml:space="preserve">0.012</w:t>
            </w:r>
          </w:p>
        </w:tc>
        <w:tc>
          <w:tcPr/>
          <w:p>
            <w:pPr>
              <w:pStyle w:val="Compact"/>
              <w:jc w:val="left"/>
            </w:pPr>
            <w:r>
              <w:t xml:space="preserve">0.779</w:t>
            </w:r>
          </w:p>
        </w:tc>
      </w:tr>
      <w:tr>
        <w:tc>
          <w:tcPr/>
          <w:p>
            <w:pPr>
              <w:pStyle w:val="Compact"/>
              <w:jc w:val="left"/>
            </w:pPr>
            <w:r>
              <w:t xml:space="preserve">2020.0</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0.294</w:t>
            </w:r>
          </w:p>
        </w:tc>
      </w:tr>
      <w:tr>
        <w:tc>
          <w:tcPr/>
          <w:p>
            <w:pPr>
              <w:pStyle w:val="Compact"/>
              <w:jc w:val="left"/>
            </w:pPr>
            <w:r>
              <w:t xml:space="preserve">2021.0</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0.409</w:t>
            </w:r>
          </w:p>
        </w:tc>
      </w:tr>
      <w:tr>
        <w:tc>
          <w:tcPr/>
          <w:p>
            <w:pPr>
              <w:pStyle w:val="Compact"/>
              <w:jc w:val="left"/>
            </w:pPr>
            <w:r>
              <w:t xml:space="preserve">2022.0</w:t>
            </w:r>
          </w:p>
        </w:tc>
        <w:tc>
          <w:tcPr/>
          <w:p>
            <w:pPr>
              <w:pStyle w:val="Compact"/>
              <w:jc w:val="left"/>
            </w:pPr>
            <w:r>
              <w:t xml:space="preserve">0.0</w:t>
            </w:r>
          </w:p>
        </w:tc>
        <w:tc>
          <w:tcPr/>
          <w:p>
            <w:pPr>
              <w:pStyle w:val="Compact"/>
              <w:jc w:val="left"/>
            </w:pPr>
            <w:r>
              <w:t xml:space="preserve">0.0</w:t>
            </w:r>
          </w:p>
        </w:tc>
        <w:tc>
          <w:tcPr/>
          <w:p>
            <w:pPr>
              <w:pStyle w:val="Compact"/>
              <w:jc w:val="left"/>
            </w:pPr>
            <w:r>
              <w:t xml:space="preserve">1.0</w:t>
            </w:r>
          </w:p>
        </w:tc>
      </w:tr>
      <w:tr>
        <w:tc>
          <w:tcPr/>
          <w:p>
            <w:pPr>
              <w:pStyle w:val="Compact"/>
              <w:jc w:val="left"/>
            </w:pPr>
            <w:r>
              <w:t xml:space="preserve">2023.0</w:t>
            </w:r>
          </w:p>
        </w:tc>
        <w:tc>
          <w:tcPr/>
          <w:p>
            <w:pPr>
              <w:pStyle w:val="Compact"/>
              <w:jc w:val="left"/>
            </w:pPr>
            <w:r>
              <w:t xml:space="preserve">0.016</w:t>
            </w:r>
          </w:p>
        </w:tc>
        <w:tc>
          <w:tcPr/>
          <w:p>
            <w:pPr>
              <w:pStyle w:val="Compact"/>
              <w:jc w:val="left"/>
            </w:pPr>
            <w:r>
              <w:t xml:space="preserve">0.008</w:t>
            </w:r>
          </w:p>
        </w:tc>
        <w:tc>
          <w:tcPr/>
          <w:p>
            <w:pPr>
              <w:pStyle w:val="Compact"/>
              <w:jc w:val="left"/>
            </w:pPr>
            <w:r>
              <w:t xml:space="preserve">0.041</w:t>
            </w:r>
          </w:p>
        </w:tc>
      </w:tr>
      <w:tr>
        <w:tc>
          <w:tcPr/>
          <w:p>
            <w:pPr>
              <w:pStyle w:val="Compact"/>
              <w:jc w:val="left"/>
            </w:pPr>
            <w:r>
              <w:t xml:space="preserve">2024.0</w:t>
            </w:r>
          </w:p>
        </w:tc>
        <w:tc>
          <w:tcPr/>
          <w:p>
            <w:pPr>
              <w:pStyle w:val="Compact"/>
              <w:jc w:val="left"/>
            </w:pPr>
            <w:r>
              <w:t xml:space="preserve">0.015</w:t>
            </w:r>
          </w:p>
        </w:tc>
        <w:tc>
          <w:tcPr/>
          <w:p>
            <w:pPr>
              <w:pStyle w:val="Compact"/>
              <w:jc w:val="left"/>
            </w:pPr>
            <w:r>
              <w:t xml:space="preserve">0.008</w:t>
            </w:r>
          </w:p>
        </w:tc>
        <w:tc>
          <w:tcPr/>
          <w:p>
            <w:pPr>
              <w:pStyle w:val="Compact"/>
              <w:jc w:val="left"/>
            </w:pPr>
            <w:r>
              <w:t xml:space="preserve">0.072</w:t>
            </w:r>
          </w:p>
        </w:tc>
      </w:tr>
    </w:tbl>
    <w:bookmarkEnd w:id="125"/>
    <w:bookmarkStart w:id="126" w:name="X5e74ad6f7d79c838cc9409e45a412a30096f183"/>
    <w:p>
      <w:pPr>
        <w:pStyle w:val="Heading3"/>
      </w:pPr>
      <w:r>
        <w:t xml:space="preserve">Table 15. EU-27 Eurostat AI types by NACE (% of enterprises, 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nace</w:t>
            </w:r>
          </w:p>
        </w:tc>
        <w:tc>
          <w:tcPr/>
          <w:p>
            <w:pPr>
              <w:pStyle w:val="Compact"/>
              <w:jc w:val="left"/>
            </w:pPr>
            <w:r>
              <w:t xml:space="preserve">indic</w:t>
            </w:r>
          </w:p>
        </w:tc>
        <w:tc>
          <w:tcPr/>
          <w:p>
            <w:pPr>
              <w:pStyle w:val="Compact"/>
              <w:jc w:val="left"/>
            </w:pPr>
            <w:r>
              <w:t xml:space="preserve">2021</w:t>
            </w:r>
          </w:p>
        </w:tc>
        <w:tc>
          <w:tcPr/>
          <w:p>
            <w:pPr>
              <w:pStyle w:val="Compact"/>
              <w:jc w:val="left"/>
            </w:pPr>
            <w:r>
              <w:t xml:space="preserve">2023</w:t>
            </w:r>
          </w:p>
        </w:tc>
        <w:tc>
          <w:tcPr/>
          <w:p>
            <w:pPr>
              <w:pStyle w:val="Compact"/>
              <w:jc w:val="left"/>
            </w:pPr>
            <w:r>
              <w:t xml:space="preserve">2024</w:t>
            </w:r>
          </w:p>
        </w:tc>
        <w:tc>
          <w:tcPr/>
          <w:p>
            <w:pPr>
              <w:pStyle w:val="Compact"/>
              <w:jc w:val="left"/>
            </w:pPr>
            <w:r>
              <w:t xml:space="preserve">2025</w:t>
            </w:r>
          </w:p>
        </w:tc>
      </w:tr>
      <w:tr>
        <w:tc>
          <w:tcPr/>
          <w:p>
            <w:pPr>
              <w:pStyle w:val="Compact"/>
              <w:jc w:val="left"/>
            </w:pPr>
            <w:r>
              <w:t xml:space="preserve">C</w:t>
            </w:r>
          </w:p>
        </w:tc>
        <w:tc>
          <w:tcPr/>
          <w:p>
            <w:pPr>
              <w:pStyle w:val="Compact"/>
              <w:jc w:val="left"/>
            </w:pPr>
            <w:r>
              <w:t xml:space="preserve">E_AI_TANY</w:t>
            </w:r>
          </w:p>
        </w:tc>
        <w:tc>
          <w:tcPr/>
          <w:p>
            <w:pPr>
              <w:pStyle w:val="Compact"/>
              <w:jc w:val="left"/>
            </w:pPr>
            <w:r>
              <w:t xml:space="preserve">6.93</w:t>
            </w:r>
          </w:p>
        </w:tc>
        <w:tc>
          <w:tcPr/>
          <w:p>
            <w:pPr>
              <w:pStyle w:val="Compact"/>
              <w:jc w:val="left"/>
            </w:pPr>
            <w:r>
              <w:t xml:space="preserve">6.79</w:t>
            </w:r>
          </w:p>
        </w:tc>
        <w:tc>
          <w:tcPr/>
          <w:p>
            <w:pPr>
              <w:pStyle w:val="Compact"/>
              <w:jc w:val="left"/>
            </w:pPr>
            <w:r>
              <w:t xml:space="preserve">10.57</w:t>
            </w:r>
          </w:p>
        </w:tc>
        <w:tc>
          <w:tcPr/>
          <w:p>
            <w:pPr>
              <w:pStyle w:val="Compact"/>
              <w:jc w:val="left"/>
            </w:pPr>
            <w:r>
              <w:t xml:space="preserve">17.27</w:t>
            </w:r>
          </w:p>
        </w:tc>
      </w:tr>
      <w:tr>
        <w:tc>
          <w:tcPr/>
          <w:p>
            <w:pPr>
              <w:pStyle w:val="Compact"/>
              <w:jc w:val="left"/>
            </w:pPr>
            <w:r>
              <w:t xml:space="preserve">C</w:t>
            </w:r>
          </w:p>
        </w:tc>
        <w:tc>
          <w:tcPr/>
          <w:p>
            <w:pPr>
              <w:pStyle w:val="Compact"/>
              <w:jc w:val="left"/>
            </w:pPr>
            <w:r>
              <w:t xml:space="preserve">E_AI_TIR</w:t>
            </w:r>
          </w:p>
        </w:tc>
        <w:tc>
          <w:tcPr/>
          <w:p>
            <w:pPr>
              <w:pStyle w:val="Compact"/>
              <w:jc w:val="left"/>
            </w:pPr>
            <w:r>
              <w:t xml:space="preserve">2.16</w:t>
            </w:r>
          </w:p>
        </w:tc>
        <w:tc>
          <w:tcPr/>
          <w:p>
            <w:pPr>
              <w:pStyle w:val="Compact"/>
              <w:jc w:val="left"/>
            </w:pPr>
            <w:r>
              <w:t xml:space="preserve">2.23</w:t>
            </w:r>
          </w:p>
        </w:tc>
        <w:tc>
          <w:tcPr/>
          <w:p>
            <w:pPr>
              <w:pStyle w:val="Compact"/>
              <w:jc w:val="left"/>
            </w:pPr>
            <w:r>
              <w:t xml:space="preserve">2.74</w:t>
            </w:r>
          </w:p>
        </w:tc>
        <w:tc>
          <w:tcPr/>
          <w:p>
            <w:pPr>
              <w:pStyle w:val="Compact"/>
              <w:jc w:val="left"/>
            </w:pPr>
            <w:r>
              <w:t xml:space="preserve">3.14</w:t>
            </w:r>
          </w:p>
        </w:tc>
      </w:tr>
      <w:tr>
        <w:tc>
          <w:tcPr/>
          <w:p>
            <w:pPr>
              <w:pStyle w:val="Compact"/>
              <w:jc w:val="left"/>
            </w:pPr>
            <w:r>
              <w:t xml:space="preserve">C</w:t>
            </w:r>
          </w:p>
        </w:tc>
        <w:tc>
          <w:tcPr/>
          <w:p>
            <w:pPr>
              <w:pStyle w:val="Compact"/>
              <w:jc w:val="left"/>
            </w:pPr>
            <w:r>
              <w:t xml:space="preserve">E_AI_TML</w:t>
            </w:r>
          </w:p>
        </w:tc>
        <w:tc>
          <w:tcPr/>
          <w:p>
            <w:pPr>
              <w:pStyle w:val="Compact"/>
              <w:jc w:val="left"/>
            </w:pPr>
            <w:r>
              <w:t xml:space="preserve">1.67</w:t>
            </w:r>
          </w:p>
        </w:tc>
        <w:tc>
          <w:tcPr/>
          <w:p>
            <w:pPr>
              <w:pStyle w:val="Compact"/>
              <w:jc w:val="left"/>
            </w:pPr>
            <w:r>
              <w:t xml:space="preserve">1.73</w:t>
            </w:r>
          </w:p>
        </w:tc>
        <w:tc>
          <w:tcPr/>
          <w:p>
            <w:pPr>
              <w:pStyle w:val="Compact"/>
              <w:jc w:val="left"/>
            </w:pPr>
            <w:r>
              <w:t xml:space="preserve">2.73</w:t>
            </w:r>
          </w:p>
        </w:tc>
        <w:tc>
          <w:tcPr/>
          <w:p>
            <w:pPr>
              <w:pStyle w:val="Compact"/>
              <w:jc w:val="left"/>
            </w:pPr>
            <w:r>
              <w:t xml:space="preserve">3.66</w:t>
            </w:r>
          </w:p>
        </w:tc>
      </w:tr>
      <w:tr>
        <w:tc>
          <w:tcPr/>
          <w:p>
            <w:pPr>
              <w:pStyle w:val="Compact"/>
              <w:jc w:val="left"/>
            </w:pPr>
            <w:r>
              <w:t xml:space="preserve">C</w:t>
            </w:r>
          </w:p>
        </w:tc>
        <w:tc>
          <w:tcPr/>
          <w:p>
            <w:pPr>
              <w:pStyle w:val="Compact"/>
              <w:jc w:val="left"/>
            </w:pPr>
            <w:r>
              <w:t xml:space="preserve">E_AI_TNLG</w:t>
            </w:r>
          </w:p>
        </w:tc>
        <w:tc>
          <w:tcPr/>
          <w:p>
            <w:pPr>
              <w:pStyle w:val="Compact"/>
              <w:jc w:val="left"/>
            </w:pPr>
            <w:r>
              <w:t xml:space="preserve">0.85</w:t>
            </w:r>
          </w:p>
        </w:tc>
        <w:tc>
          <w:tcPr/>
          <w:p>
            <w:pPr>
              <w:pStyle w:val="Compact"/>
              <w:jc w:val="left"/>
            </w:pPr>
            <w:r>
              <w:t xml:space="preserve">1.19</w:t>
            </w:r>
          </w:p>
        </w:tc>
        <w:tc>
          <w:tcPr/>
          <w:p>
            <w:pPr>
              <w:pStyle w:val="Compact"/>
              <w:jc w:val="left"/>
            </w:pPr>
            <w:r>
              <w:t xml:space="preserve">3.53</w:t>
            </w:r>
          </w:p>
        </w:tc>
        <w:tc>
          <w:tcPr/>
          <w:p>
            <w:pPr>
              <w:pStyle w:val="Compact"/>
              <w:jc w:val="left"/>
            </w:pPr>
            <w:r>
              <w:t xml:space="preserve">7.09</w:t>
            </w:r>
          </w:p>
        </w:tc>
      </w:tr>
      <w:tr>
        <w:tc>
          <w:tcPr/>
          <w:p>
            <w:pPr>
              <w:pStyle w:val="Compact"/>
              <w:jc w:val="left"/>
            </w:pPr>
            <w:r>
              <w:t xml:space="preserve">C</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7.54</w:t>
            </w:r>
          </w:p>
        </w:tc>
      </w:tr>
      <w:tr>
        <w:tc>
          <w:tcPr/>
          <w:p>
            <w:pPr>
              <w:pStyle w:val="Compact"/>
              <w:jc w:val="left"/>
            </w:pPr>
            <w:r>
              <w:t xml:space="preserve">C</w:t>
            </w:r>
          </w:p>
        </w:tc>
        <w:tc>
          <w:tcPr/>
          <w:p>
            <w:pPr>
              <w:pStyle w:val="Compact"/>
              <w:jc w:val="left"/>
            </w:pPr>
            <w:r>
              <w:t xml:space="preserve">E_AI_TTM</w:t>
            </w:r>
          </w:p>
        </w:tc>
        <w:tc>
          <w:tcPr/>
          <w:p>
            <w:pPr>
              <w:pStyle w:val="Compact"/>
              <w:jc w:val="left"/>
            </w:pPr>
            <w:r>
              <w:t xml:space="preserve">1.62</w:t>
            </w:r>
          </w:p>
        </w:tc>
        <w:tc>
          <w:tcPr/>
          <w:p>
            <w:pPr>
              <w:pStyle w:val="Compact"/>
              <w:jc w:val="left"/>
            </w:pPr>
            <w:r>
              <w:t xml:space="preserve">1.82</w:t>
            </w:r>
          </w:p>
        </w:tc>
        <w:tc>
          <w:tcPr/>
          <w:p>
            <w:pPr>
              <w:pStyle w:val="Compact"/>
              <w:jc w:val="left"/>
            </w:pPr>
            <w:r>
              <w:t xml:space="preserve">4.58</w:t>
            </w:r>
          </w:p>
        </w:tc>
        <w:tc>
          <w:tcPr/>
          <w:p>
            <w:pPr>
              <w:pStyle w:val="Compact"/>
              <w:jc w:val="left"/>
            </w:pPr>
            <w:r>
              <w:t xml:space="preserve">9.42</w:t>
            </w:r>
          </w:p>
        </w:tc>
      </w:tr>
      <w:tr>
        <w:tc>
          <w:tcPr/>
          <w:p>
            <w:pPr>
              <w:pStyle w:val="Compact"/>
              <w:jc w:val="left"/>
            </w:pPr>
            <w:r>
              <w:t xml:space="preserve">F</w:t>
            </w:r>
          </w:p>
        </w:tc>
        <w:tc>
          <w:tcPr/>
          <w:p>
            <w:pPr>
              <w:pStyle w:val="Compact"/>
              <w:jc w:val="left"/>
            </w:pPr>
            <w:r>
              <w:t xml:space="preserve">E_AI_TIR</w:t>
            </w:r>
          </w:p>
        </w:tc>
        <w:tc>
          <w:tcPr/>
          <w:p>
            <w:pPr>
              <w:pStyle w:val="Compact"/>
              <w:jc w:val="left"/>
            </w:pPr>
            <w:r>
              <w:t xml:space="preserve">1.17</w:t>
            </w:r>
          </w:p>
        </w:tc>
        <w:tc>
          <w:tcPr/>
          <w:p>
            <w:pPr>
              <w:pStyle w:val="Compact"/>
              <w:jc w:val="left"/>
            </w:pPr>
            <w:r>
              <w:t xml:space="preserve">0.82</w:t>
            </w:r>
          </w:p>
        </w:tc>
        <w:tc>
          <w:tcPr/>
          <w:p>
            <w:pPr>
              <w:pStyle w:val="Compact"/>
              <w:jc w:val="left"/>
            </w:pPr>
            <w:r>
              <w:t xml:space="preserve">1.49</w:t>
            </w:r>
          </w:p>
        </w:tc>
        <w:tc>
          <w:tcPr/>
          <w:p>
            <w:pPr>
              <w:pStyle w:val="Compact"/>
              <w:jc w:val="left"/>
            </w:pPr>
            <w:r>
              <w:t xml:space="preserve">2.27</w:t>
            </w:r>
          </w:p>
        </w:tc>
      </w:tr>
      <w:tr>
        <w:tc>
          <w:tcPr/>
          <w:p>
            <w:pPr>
              <w:pStyle w:val="Compact"/>
              <w:jc w:val="left"/>
            </w:pPr>
            <w:r>
              <w:t xml:space="preserve">F</w:t>
            </w:r>
          </w:p>
        </w:tc>
        <w:tc>
          <w:tcPr/>
          <w:p>
            <w:pPr>
              <w:pStyle w:val="Compact"/>
              <w:jc w:val="left"/>
            </w:pPr>
            <w:r>
              <w:t xml:space="preserve">E_AI_TML</w:t>
            </w:r>
          </w:p>
        </w:tc>
        <w:tc>
          <w:tcPr/>
          <w:p>
            <w:pPr>
              <w:pStyle w:val="Compact"/>
              <w:jc w:val="left"/>
            </w:pPr>
            <w:r>
              <w:t xml:space="preserve">0.68</w:t>
            </w:r>
          </w:p>
        </w:tc>
        <w:tc>
          <w:tcPr/>
          <w:p>
            <w:pPr>
              <w:pStyle w:val="Compact"/>
              <w:jc w:val="left"/>
            </w:pPr>
            <w:r>
              <w:t xml:space="preserve">0.43</w:t>
            </w:r>
          </w:p>
        </w:tc>
        <w:tc>
          <w:tcPr/>
          <w:p>
            <w:pPr>
              <w:pStyle w:val="Compact"/>
              <w:jc w:val="left"/>
            </w:pPr>
            <w:r>
              <w:t xml:space="preserve">0.83</w:t>
            </w:r>
          </w:p>
        </w:tc>
        <w:tc>
          <w:tcPr/>
          <w:p>
            <w:pPr>
              <w:pStyle w:val="Compact"/>
              <w:jc w:val="left"/>
            </w:pPr>
            <w:r>
              <w:t xml:space="preserve">1.62</w:t>
            </w:r>
          </w:p>
        </w:tc>
      </w:tr>
      <w:tr>
        <w:tc>
          <w:tcPr/>
          <w:p>
            <w:pPr>
              <w:pStyle w:val="Compact"/>
              <w:jc w:val="left"/>
            </w:pPr>
            <w:r>
              <w:t xml:space="preserve">F</w:t>
            </w:r>
          </w:p>
        </w:tc>
        <w:tc>
          <w:tcPr/>
          <w:p>
            <w:pPr>
              <w:pStyle w:val="Compact"/>
              <w:jc w:val="left"/>
            </w:pPr>
            <w:r>
              <w:t xml:space="preserve">E_AI_TNLG</w:t>
            </w:r>
          </w:p>
        </w:tc>
        <w:tc>
          <w:tcPr/>
          <w:p>
            <w:pPr>
              <w:pStyle w:val="Compact"/>
              <w:jc w:val="left"/>
            </w:pPr>
            <w:r>
              <w:t xml:space="preserve">0.99</w:t>
            </w:r>
          </w:p>
        </w:tc>
        <w:tc>
          <w:tcPr/>
          <w:p>
            <w:pPr>
              <w:pStyle w:val="Compact"/>
              <w:jc w:val="left"/>
            </w:pPr>
            <w:r>
              <w:t xml:space="preserve">0.58</w:t>
            </w:r>
          </w:p>
        </w:tc>
        <w:tc>
          <w:tcPr/>
          <w:p>
            <w:pPr>
              <w:pStyle w:val="Compact"/>
              <w:jc w:val="left"/>
            </w:pPr>
            <w:r>
              <w:t xml:space="preserve">2.42</w:t>
            </w:r>
          </w:p>
        </w:tc>
        <w:tc>
          <w:tcPr/>
          <w:p>
            <w:pPr>
              <w:pStyle w:val="Compact"/>
              <w:jc w:val="left"/>
            </w:pPr>
            <w:r>
              <w:t xml:space="preserve">3.25</w:t>
            </w:r>
          </w:p>
        </w:tc>
      </w:tr>
      <w:tr>
        <w:tc>
          <w:tcPr/>
          <w:p>
            <w:pPr>
              <w:pStyle w:val="Compact"/>
              <w:jc w:val="left"/>
            </w:pPr>
            <w:r>
              <w:t xml:space="preserve">F</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4.47</w:t>
            </w:r>
          </w:p>
        </w:tc>
      </w:tr>
      <w:tr>
        <w:tc>
          <w:tcPr/>
          <w:p>
            <w:pPr>
              <w:pStyle w:val="Compact"/>
              <w:jc w:val="left"/>
            </w:pPr>
            <w:r>
              <w:t xml:space="preserve">F</w:t>
            </w:r>
          </w:p>
        </w:tc>
        <w:tc>
          <w:tcPr/>
          <w:p>
            <w:pPr>
              <w:pStyle w:val="Compact"/>
              <w:jc w:val="left"/>
            </w:pPr>
            <w:r>
              <w:t xml:space="preserve">E_AI_TTM</w:t>
            </w:r>
          </w:p>
        </w:tc>
        <w:tc>
          <w:tcPr/>
          <w:p>
            <w:pPr>
              <w:pStyle w:val="Compact"/>
              <w:jc w:val="left"/>
            </w:pPr>
            <w:r>
              <w:t xml:space="preserve">1.43</w:t>
            </w:r>
          </w:p>
        </w:tc>
        <w:tc>
          <w:tcPr/>
          <w:p>
            <w:pPr>
              <w:pStyle w:val="Compact"/>
              <w:jc w:val="left"/>
            </w:pPr>
            <w:r>
              <w:t xml:space="preserve">0.98</w:t>
            </w:r>
          </w:p>
        </w:tc>
        <w:tc>
          <w:tcPr/>
          <w:p>
            <w:pPr>
              <w:pStyle w:val="Compact"/>
              <w:jc w:val="left"/>
            </w:pPr>
            <w:r>
              <w:t xml:space="preserve">2.81</w:t>
            </w:r>
          </w:p>
        </w:tc>
        <w:tc>
          <w:tcPr/>
          <w:p>
            <w:pPr>
              <w:pStyle w:val="Compact"/>
              <w:jc w:val="left"/>
            </w:pPr>
            <w:r>
              <w:t xml:space="preserve">6.09</w:t>
            </w:r>
          </w:p>
        </w:tc>
      </w:tr>
      <w:tr>
        <w:tc>
          <w:tcPr/>
          <w:p>
            <w:pPr>
              <w:pStyle w:val="Compact"/>
              <w:jc w:val="left"/>
            </w:pPr>
            <w:r>
              <w:t xml:space="preserve">J</w:t>
            </w:r>
          </w:p>
        </w:tc>
        <w:tc>
          <w:tcPr/>
          <w:p>
            <w:pPr>
              <w:pStyle w:val="Compact"/>
              <w:jc w:val="left"/>
            </w:pPr>
            <w:r>
              <w:t xml:space="preserve">E_AI_TANY</w:t>
            </w:r>
          </w:p>
        </w:tc>
        <w:tc>
          <w:tcPr/>
          <w:p>
            <w:pPr>
              <w:pStyle w:val="Compact"/>
              <w:jc w:val="left"/>
            </w:pPr>
            <w:r>
              <w:t xml:space="preserve">25.37</w:t>
            </w:r>
          </w:p>
        </w:tc>
        <w:tc>
          <w:tcPr/>
          <w:p>
            <w:pPr>
              <w:pStyle w:val="Compact"/>
              <w:jc w:val="left"/>
            </w:pPr>
            <w:r>
              <w:t xml:space="preserve">29.53</w:t>
            </w:r>
          </w:p>
        </w:tc>
        <w:tc>
          <w:tcPr/>
          <w:p>
            <w:pPr>
              <w:pStyle w:val="Compact"/>
              <w:jc w:val="left"/>
            </w:pPr>
            <w:r>
              <w:t xml:space="preserve">48.72</w:t>
            </w:r>
          </w:p>
        </w:tc>
        <w:tc>
          <w:tcPr/>
          <w:p>
            <w:pPr>
              <w:pStyle w:val="Compact"/>
              <w:jc w:val="left"/>
            </w:pPr>
            <w:r>
              <w:t xml:space="preserve">62.52</w:t>
            </w:r>
          </w:p>
        </w:tc>
      </w:tr>
      <w:tr>
        <w:tc>
          <w:tcPr/>
          <w:p>
            <w:pPr>
              <w:pStyle w:val="Compact"/>
              <w:jc w:val="left"/>
            </w:pPr>
            <w:r>
              <w:t xml:space="preserve">J</w:t>
            </w:r>
          </w:p>
        </w:tc>
        <w:tc>
          <w:tcPr/>
          <w:p>
            <w:pPr>
              <w:pStyle w:val="Compact"/>
              <w:jc w:val="left"/>
            </w:pPr>
            <w:r>
              <w:t xml:space="preserve">E_AI_TIR</w:t>
            </w:r>
          </w:p>
        </w:tc>
        <w:tc>
          <w:tcPr/>
          <w:p>
            <w:pPr>
              <w:pStyle w:val="Compact"/>
              <w:jc w:val="left"/>
            </w:pPr>
            <w:r>
              <w:t xml:space="preserve">8.56</w:t>
            </w:r>
          </w:p>
        </w:tc>
        <w:tc>
          <w:tcPr/>
          <w:p>
            <w:pPr>
              <w:pStyle w:val="Compact"/>
              <w:jc w:val="left"/>
            </w:pPr>
            <w:r>
              <w:t xml:space="preserve">9.87</w:t>
            </w:r>
          </w:p>
        </w:tc>
        <w:tc>
          <w:tcPr/>
          <w:p>
            <w:pPr>
              <w:pStyle w:val="Compact"/>
              <w:jc w:val="left"/>
            </w:pPr>
            <w:r>
              <w:t xml:space="preserve">13.54</w:t>
            </w:r>
          </w:p>
        </w:tc>
        <w:tc>
          <w:tcPr/>
          <w:p>
            <w:pPr>
              <w:pStyle w:val="Compact"/>
              <w:jc w:val="left"/>
            </w:pPr>
            <w:r>
              <w:t xml:space="preserve">15.97</w:t>
            </w:r>
          </w:p>
        </w:tc>
      </w:tr>
      <w:tr>
        <w:tc>
          <w:tcPr/>
          <w:p>
            <w:pPr>
              <w:pStyle w:val="Compact"/>
              <w:jc w:val="left"/>
            </w:pPr>
            <w:r>
              <w:t xml:space="preserve">J</w:t>
            </w:r>
          </w:p>
        </w:tc>
        <w:tc>
          <w:tcPr/>
          <w:p>
            <w:pPr>
              <w:pStyle w:val="Compact"/>
              <w:jc w:val="left"/>
            </w:pPr>
            <w:r>
              <w:t xml:space="preserve">E_AI_TML</w:t>
            </w:r>
          </w:p>
        </w:tc>
        <w:tc>
          <w:tcPr/>
          <w:p>
            <w:pPr>
              <w:pStyle w:val="Compact"/>
              <w:jc w:val="left"/>
            </w:pPr>
            <w:r>
              <w:t xml:space="preserve">15.14</w:t>
            </w:r>
          </w:p>
        </w:tc>
        <w:tc>
          <w:tcPr/>
          <w:p>
            <w:pPr>
              <w:pStyle w:val="Compact"/>
              <w:jc w:val="left"/>
            </w:pPr>
            <w:r>
              <w:t xml:space="preserve">16.28</w:t>
            </w:r>
          </w:p>
        </w:tc>
        <w:tc>
          <w:tcPr/>
          <w:p>
            <w:pPr>
              <w:pStyle w:val="Compact"/>
              <w:jc w:val="left"/>
            </w:pPr>
            <w:r>
              <w:t xml:space="preserve">25.66</w:t>
            </w:r>
          </w:p>
        </w:tc>
        <w:tc>
          <w:tcPr/>
          <w:p>
            <w:pPr>
              <w:pStyle w:val="Compact"/>
              <w:jc w:val="left"/>
            </w:pPr>
            <w:r>
              <w:t xml:space="preserve">28.58</w:t>
            </w:r>
          </w:p>
        </w:tc>
      </w:tr>
      <w:tr>
        <w:tc>
          <w:tcPr/>
          <w:p>
            <w:pPr>
              <w:pStyle w:val="Compact"/>
              <w:jc w:val="left"/>
            </w:pPr>
            <w:r>
              <w:t xml:space="preserve">J</w:t>
            </w:r>
          </w:p>
        </w:tc>
        <w:tc>
          <w:tcPr/>
          <w:p>
            <w:pPr>
              <w:pStyle w:val="Compact"/>
              <w:jc w:val="left"/>
            </w:pPr>
            <w:r>
              <w:t xml:space="preserve">E_AI_TNLG</w:t>
            </w:r>
          </w:p>
        </w:tc>
        <w:tc>
          <w:tcPr/>
          <w:p>
            <w:pPr>
              <w:pStyle w:val="Compact"/>
              <w:jc w:val="left"/>
            </w:pPr>
            <w:r>
              <w:t xml:space="preserve">6.34</w:t>
            </w:r>
          </w:p>
        </w:tc>
        <w:tc>
          <w:tcPr/>
          <w:p>
            <w:pPr>
              <w:pStyle w:val="Compact"/>
              <w:jc w:val="left"/>
            </w:pPr>
            <w:r>
              <w:t xml:space="preserve">11.14</w:t>
            </w:r>
          </w:p>
        </w:tc>
        <w:tc>
          <w:tcPr/>
          <w:p>
            <w:pPr>
              <w:pStyle w:val="Compact"/>
              <w:jc w:val="left"/>
            </w:pPr>
            <w:r>
              <w:t xml:space="preserve">25.83</w:t>
            </w:r>
          </w:p>
        </w:tc>
        <w:tc>
          <w:tcPr/>
          <w:p>
            <w:pPr>
              <w:pStyle w:val="Compact"/>
              <w:jc w:val="left"/>
            </w:pPr>
            <w:r>
              <w:t xml:space="preserve">42.23</w:t>
            </w:r>
          </w:p>
        </w:tc>
      </w:tr>
      <w:tr>
        <w:tc>
          <w:tcPr/>
          <w:p>
            <w:pPr>
              <w:pStyle w:val="Compact"/>
              <w:jc w:val="left"/>
            </w:pPr>
            <w:r>
              <w:t xml:space="preserve">J</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35.53</w:t>
            </w:r>
          </w:p>
        </w:tc>
      </w:tr>
      <w:tr>
        <w:tc>
          <w:tcPr/>
          <w:p>
            <w:pPr>
              <w:pStyle w:val="Compact"/>
              <w:jc w:val="left"/>
            </w:pPr>
            <w:r>
              <w:t xml:space="preserve">J</w:t>
            </w:r>
          </w:p>
        </w:tc>
        <w:tc>
          <w:tcPr/>
          <w:p>
            <w:pPr>
              <w:pStyle w:val="Compact"/>
              <w:jc w:val="left"/>
            </w:pPr>
            <w:r>
              <w:t xml:space="preserve">E_AI_TTM</w:t>
            </w:r>
          </w:p>
        </w:tc>
        <w:tc>
          <w:tcPr/>
          <w:p>
            <w:pPr>
              <w:pStyle w:val="Compact"/>
              <w:jc w:val="left"/>
            </w:pPr>
            <w:r>
              <w:t xml:space="preserve">11.54</w:t>
            </w:r>
          </w:p>
        </w:tc>
        <w:tc>
          <w:tcPr/>
          <w:p>
            <w:pPr>
              <w:pStyle w:val="Compact"/>
              <w:jc w:val="left"/>
            </w:pPr>
            <w:r>
              <w:t xml:space="preserve">14.25</w:t>
            </w:r>
          </w:p>
        </w:tc>
        <w:tc>
          <w:tcPr/>
          <w:p>
            <w:pPr>
              <w:pStyle w:val="Compact"/>
              <w:jc w:val="left"/>
            </w:pPr>
            <w:r>
              <w:t xml:space="preserve">30.11</w:t>
            </w:r>
          </w:p>
        </w:tc>
        <w:tc>
          <w:tcPr/>
          <w:p>
            <w:pPr>
              <w:pStyle w:val="Compact"/>
              <w:jc w:val="left"/>
            </w:pPr>
            <w:r>
              <w:t xml:space="preserve">42.22</w:t>
            </w:r>
          </w:p>
        </w:tc>
      </w:tr>
      <w:tr>
        <w:tc>
          <w:tcPr/>
          <w:p>
            <w:pPr>
              <w:pStyle w:val="Compact"/>
              <w:jc w:val="left"/>
            </w:pPr>
            <w:r>
              <w:t xml:space="preserve">M</w:t>
            </w:r>
          </w:p>
        </w:tc>
        <w:tc>
          <w:tcPr/>
          <w:p>
            <w:pPr>
              <w:pStyle w:val="Compact"/>
              <w:jc w:val="left"/>
            </w:pPr>
            <w:r>
              <w:t xml:space="preserve">E_AI_TIR</w:t>
            </w:r>
          </w:p>
        </w:tc>
        <w:tc>
          <w:tcPr/>
          <w:p>
            <w:pPr>
              <w:pStyle w:val="Compact"/>
              <w:jc w:val="left"/>
            </w:pPr>
            <w:r>
              <w:t xml:space="preserve">3.98</w:t>
            </w:r>
          </w:p>
        </w:tc>
        <w:tc>
          <w:tcPr/>
          <w:p>
            <w:pPr>
              <w:pStyle w:val="Compact"/>
              <w:jc w:val="left"/>
            </w:pPr>
            <w:r>
              <w:t xml:space="preserve">4.18</w:t>
            </w:r>
          </w:p>
        </w:tc>
        <w:tc>
          <w:tcPr/>
          <w:p>
            <w:pPr>
              <w:pStyle w:val="Compact"/>
              <w:jc w:val="left"/>
            </w:pPr>
            <w:r>
              <w:t xml:space="preserve">7.35</w:t>
            </w:r>
          </w:p>
        </w:tc>
        <w:tc>
          <w:tcPr/>
          <w:p>
            <w:pPr>
              <w:pStyle w:val="Compact"/>
              <w:jc w:val="left"/>
            </w:pPr>
            <w:r>
              <w:t xml:space="preserve">6.81</w:t>
            </w:r>
          </w:p>
        </w:tc>
      </w:tr>
      <w:tr>
        <w:tc>
          <w:tcPr/>
          <w:p>
            <w:pPr>
              <w:pStyle w:val="Compact"/>
              <w:jc w:val="left"/>
            </w:pPr>
            <w:r>
              <w:t xml:space="preserve">M</w:t>
            </w:r>
          </w:p>
        </w:tc>
        <w:tc>
          <w:tcPr/>
          <w:p>
            <w:pPr>
              <w:pStyle w:val="Compact"/>
              <w:jc w:val="left"/>
            </w:pPr>
            <w:r>
              <w:t xml:space="preserve">E_AI_TML</w:t>
            </w:r>
          </w:p>
        </w:tc>
        <w:tc>
          <w:tcPr/>
          <w:p>
            <w:pPr>
              <w:pStyle w:val="Compact"/>
              <w:jc w:val="left"/>
            </w:pPr>
            <w:r>
              <w:t xml:space="preserve">6.46</w:t>
            </w:r>
          </w:p>
        </w:tc>
        <w:tc>
          <w:tcPr/>
          <w:p>
            <w:pPr>
              <w:pStyle w:val="Compact"/>
              <w:jc w:val="left"/>
            </w:pPr>
            <w:r>
              <w:t xml:space="preserve">6.82</w:t>
            </w:r>
          </w:p>
        </w:tc>
        <w:tc>
          <w:tcPr/>
          <w:p>
            <w:pPr>
              <w:pStyle w:val="Compact"/>
              <w:jc w:val="left"/>
            </w:pPr>
            <w:r>
              <w:t xml:space="preserve">11.35</w:t>
            </w:r>
          </w:p>
        </w:tc>
        <w:tc>
          <w:tcPr/>
          <w:p>
            <w:pPr>
              <w:pStyle w:val="Compact"/>
              <w:jc w:val="left"/>
            </w:pPr>
            <w:r>
              <w:t xml:space="preserve">12.46</w:t>
            </w:r>
          </w:p>
        </w:tc>
      </w:tr>
      <w:tr>
        <w:tc>
          <w:tcPr/>
          <w:p>
            <w:pPr>
              <w:pStyle w:val="Compact"/>
              <w:jc w:val="left"/>
            </w:pPr>
            <w:r>
              <w:t xml:space="preserve">M</w:t>
            </w:r>
          </w:p>
        </w:tc>
        <w:tc>
          <w:tcPr/>
          <w:p>
            <w:pPr>
              <w:pStyle w:val="Compact"/>
              <w:jc w:val="left"/>
            </w:pPr>
            <w:r>
              <w:t xml:space="preserve">E_AI_TNLG</w:t>
            </w:r>
          </w:p>
        </w:tc>
        <w:tc>
          <w:tcPr/>
          <w:p>
            <w:pPr>
              <w:pStyle w:val="Compact"/>
              <w:jc w:val="left"/>
            </w:pPr>
            <w:r>
              <w:t xml:space="preserve">2.6</w:t>
            </w:r>
          </w:p>
        </w:tc>
        <w:tc>
          <w:tcPr/>
          <w:p>
            <w:pPr>
              <w:pStyle w:val="Compact"/>
              <w:jc w:val="left"/>
            </w:pPr>
            <w:r>
              <w:t xml:space="preserve">4.55</w:t>
            </w:r>
          </w:p>
        </w:tc>
        <w:tc>
          <w:tcPr/>
          <w:p>
            <w:pPr>
              <w:pStyle w:val="Compact"/>
              <w:jc w:val="left"/>
            </w:pPr>
            <w:r>
              <w:t xml:space="preserve">11.51</w:t>
            </w:r>
          </w:p>
        </w:tc>
        <w:tc>
          <w:tcPr/>
          <w:p>
            <w:pPr>
              <w:pStyle w:val="Compact"/>
              <w:jc w:val="left"/>
            </w:pPr>
            <w:r>
              <w:t xml:space="preserve">17.74</w:t>
            </w:r>
          </w:p>
        </w:tc>
      </w:tr>
      <w:tr>
        <w:tc>
          <w:tcPr/>
          <w:p>
            <w:pPr>
              <w:pStyle w:val="Compact"/>
              <w:jc w:val="left"/>
            </w:pPr>
            <w:r>
              <w:t xml:space="preserve">M</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18.72</w:t>
            </w:r>
          </w:p>
        </w:tc>
      </w:tr>
      <w:tr>
        <w:tc>
          <w:tcPr/>
          <w:p>
            <w:pPr>
              <w:pStyle w:val="Compact"/>
              <w:jc w:val="left"/>
            </w:pPr>
            <w:r>
              <w:t xml:space="preserve">M</w:t>
            </w:r>
          </w:p>
        </w:tc>
        <w:tc>
          <w:tcPr/>
          <w:p>
            <w:pPr>
              <w:pStyle w:val="Compact"/>
              <w:jc w:val="left"/>
            </w:pPr>
            <w:r>
              <w:t xml:space="preserve">E_AI_TTM</w:t>
            </w:r>
          </w:p>
        </w:tc>
        <w:tc>
          <w:tcPr/>
          <w:p>
            <w:pPr>
              <w:pStyle w:val="Compact"/>
              <w:jc w:val="left"/>
            </w:pPr>
            <w:r>
              <w:t xml:space="preserve">6.13</w:t>
            </w:r>
          </w:p>
        </w:tc>
        <w:tc>
          <w:tcPr/>
          <w:p>
            <w:pPr>
              <w:pStyle w:val="Compact"/>
              <w:jc w:val="left"/>
            </w:pPr>
            <w:r>
              <w:t xml:space="preserve">6.92</w:t>
            </w:r>
          </w:p>
        </w:tc>
        <w:tc>
          <w:tcPr/>
          <w:p>
            <w:pPr>
              <w:pStyle w:val="Compact"/>
              <w:jc w:val="left"/>
            </w:pPr>
            <w:r>
              <w:t xml:space="preserve">15.61</w:t>
            </w:r>
          </w:p>
        </w:tc>
        <w:tc>
          <w:tcPr/>
          <w:p>
            <w:pPr>
              <w:pStyle w:val="Compact"/>
              <w:jc w:val="left"/>
            </w:pPr>
            <w:r>
              <w:t xml:space="preserve">25.22</w:t>
            </w:r>
          </w:p>
        </w:tc>
      </w:tr>
      <w:tr>
        <w:tc>
          <w:tcPr/>
          <w:p>
            <w:pPr>
              <w:pStyle w:val="Compact"/>
              <w:jc w:val="left"/>
            </w:pPr>
            <w:r>
              <w:t xml:space="preserve">N</w:t>
            </w:r>
          </w:p>
        </w:tc>
        <w:tc>
          <w:tcPr/>
          <w:p>
            <w:pPr>
              <w:pStyle w:val="Compact"/>
              <w:jc w:val="left"/>
            </w:pPr>
            <w:r>
              <w:t xml:space="preserve">E_AI_TANY</w:t>
            </w:r>
          </w:p>
        </w:tc>
        <w:tc>
          <w:tcPr/>
          <w:p>
            <w:pPr>
              <w:pStyle w:val="Compact"/>
              <w:jc w:val="left"/>
            </w:pPr>
            <w:r>
              <w:t xml:space="preserve">7.19</w:t>
            </w:r>
          </w:p>
        </w:tc>
        <w:tc>
          <w:tcPr/>
          <w:p>
            <w:pPr>
              <w:pStyle w:val="Compact"/>
              <w:jc w:val="left"/>
            </w:pPr>
            <w:r>
              <w:t xml:space="preserve">8.33</w:t>
            </w:r>
          </w:p>
        </w:tc>
        <w:tc>
          <w:tcPr/>
          <w:p>
            <w:pPr>
              <w:pStyle w:val="Compact"/>
              <w:jc w:val="left"/>
            </w:pPr>
            <w:r>
              <w:t xml:space="preserve">14.33</w:t>
            </w:r>
          </w:p>
        </w:tc>
        <w:tc>
          <w:tcPr/>
          <w:p>
            <w:pPr>
              <w:pStyle w:val="Compact"/>
              <w:jc w:val="left"/>
            </w:pPr>
            <w:r>
              <w:t xml:space="preserve">19.86</w:t>
            </w:r>
          </w:p>
        </w:tc>
      </w:tr>
      <w:tr>
        <w:tc>
          <w:tcPr/>
          <w:p>
            <w:pPr>
              <w:pStyle w:val="Compact"/>
              <w:jc w:val="left"/>
            </w:pPr>
            <w:r>
              <w:t xml:space="preserve">N</w:t>
            </w:r>
          </w:p>
        </w:tc>
        <w:tc>
          <w:tcPr/>
          <w:p>
            <w:pPr>
              <w:pStyle w:val="Compact"/>
              <w:jc w:val="left"/>
            </w:pPr>
            <w:r>
              <w:t xml:space="preserve">E_AI_TIR</w:t>
            </w:r>
          </w:p>
        </w:tc>
        <w:tc>
          <w:tcPr/>
          <w:p>
            <w:pPr>
              <w:pStyle w:val="Compact"/>
              <w:jc w:val="left"/>
            </w:pPr>
            <w:r>
              <w:t xml:space="preserve">1.88</w:t>
            </w:r>
          </w:p>
        </w:tc>
        <w:tc>
          <w:tcPr/>
          <w:p>
            <w:pPr>
              <w:pStyle w:val="Compact"/>
              <w:jc w:val="left"/>
            </w:pPr>
            <w:r>
              <w:t xml:space="preserve">1.9</w:t>
            </w:r>
          </w:p>
        </w:tc>
        <w:tc>
          <w:tcPr/>
          <w:p>
            <w:pPr>
              <w:pStyle w:val="Compact"/>
              <w:jc w:val="left"/>
            </w:pPr>
            <w:r>
              <w:t xml:space="preserve">2.96</w:t>
            </w:r>
          </w:p>
        </w:tc>
        <w:tc>
          <w:tcPr/>
          <w:p>
            <w:pPr>
              <w:pStyle w:val="Compact"/>
              <w:jc w:val="left"/>
            </w:pPr>
            <w:r>
              <w:t xml:space="preserve">4.01</w:t>
            </w:r>
          </w:p>
        </w:tc>
      </w:tr>
      <w:tr>
        <w:tc>
          <w:tcPr/>
          <w:p>
            <w:pPr>
              <w:pStyle w:val="Compact"/>
              <w:jc w:val="left"/>
            </w:pPr>
            <w:r>
              <w:t xml:space="preserve">N</w:t>
            </w:r>
          </w:p>
        </w:tc>
        <w:tc>
          <w:tcPr/>
          <w:p>
            <w:pPr>
              <w:pStyle w:val="Compact"/>
              <w:jc w:val="left"/>
            </w:pPr>
            <w:r>
              <w:t xml:space="preserve">E_AI_TML</w:t>
            </w:r>
          </w:p>
        </w:tc>
        <w:tc>
          <w:tcPr/>
          <w:p>
            <w:pPr>
              <w:pStyle w:val="Compact"/>
              <w:jc w:val="left"/>
            </w:pPr>
            <w:r>
              <w:t xml:space="preserve">1.63</w:t>
            </w:r>
          </w:p>
        </w:tc>
        <w:tc>
          <w:tcPr/>
          <w:p>
            <w:pPr>
              <w:pStyle w:val="Compact"/>
              <w:jc w:val="left"/>
            </w:pPr>
            <w:r>
              <w:t xml:space="preserve">2.31</w:t>
            </w:r>
          </w:p>
        </w:tc>
        <w:tc>
          <w:tcPr/>
          <w:p>
            <w:pPr>
              <w:pStyle w:val="Compact"/>
              <w:jc w:val="left"/>
            </w:pPr>
            <w:r>
              <w:t xml:space="preserve">3.96</w:t>
            </w:r>
          </w:p>
        </w:tc>
        <w:tc>
          <w:tcPr/>
          <w:p>
            <w:pPr>
              <w:pStyle w:val="Compact"/>
              <w:jc w:val="left"/>
            </w:pPr>
            <w:r>
              <w:t xml:space="preserve">4.43</w:t>
            </w:r>
          </w:p>
        </w:tc>
      </w:tr>
      <w:tr>
        <w:tc>
          <w:tcPr/>
          <w:p>
            <w:pPr>
              <w:pStyle w:val="Compact"/>
              <w:jc w:val="left"/>
            </w:pPr>
            <w:r>
              <w:t xml:space="preserve">N</w:t>
            </w:r>
          </w:p>
        </w:tc>
        <w:tc>
          <w:tcPr/>
          <w:p>
            <w:pPr>
              <w:pStyle w:val="Compact"/>
              <w:jc w:val="left"/>
            </w:pPr>
            <w:r>
              <w:t xml:space="preserve">E_AI_TNLG</w:t>
            </w:r>
          </w:p>
        </w:tc>
        <w:tc>
          <w:tcPr/>
          <w:p>
            <w:pPr>
              <w:pStyle w:val="Compact"/>
              <w:jc w:val="left"/>
            </w:pPr>
            <w:r>
              <w:t xml:space="preserve">1.11</w:t>
            </w:r>
          </w:p>
        </w:tc>
        <w:tc>
          <w:tcPr/>
          <w:p>
            <w:pPr>
              <w:pStyle w:val="Compact"/>
              <w:jc w:val="left"/>
            </w:pPr>
            <w:r>
              <w:t xml:space="preserve">2.52</w:t>
            </w:r>
          </w:p>
        </w:tc>
        <w:tc>
          <w:tcPr/>
          <w:p>
            <w:pPr>
              <w:pStyle w:val="Compact"/>
              <w:jc w:val="left"/>
            </w:pPr>
            <w:r>
              <w:t xml:space="preserve">4.96</w:t>
            </w:r>
          </w:p>
        </w:tc>
        <w:tc>
          <w:tcPr/>
          <w:p>
            <w:pPr>
              <w:pStyle w:val="Compact"/>
              <w:jc w:val="left"/>
            </w:pPr>
            <w:r>
              <w:t xml:space="preserve">8.58</w:t>
            </w:r>
          </w:p>
        </w:tc>
      </w:tr>
      <w:tr>
        <w:tc>
          <w:tcPr/>
          <w:p>
            <w:pPr>
              <w:pStyle w:val="Compact"/>
              <w:jc w:val="left"/>
            </w:pPr>
            <w:r>
              <w:t xml:space="preserve">N</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9.48</w:t>
            </w:r>
          </w:p>
        </w:tc>
      </w:tr>
      <w:tr>
        <w:tc>
          <w:tcPr/>
          <w:p>
            <w:pPr>
              <w:pStyle w:val="Compact"/>
              <w:jc w:val="left"/>
            </w:pPr>
            <w:r>
              <w:t xml:space="preserve">N</w:t>
            </w:r>
          </w:p>
        </w:tc>
        <w:tc>
          <w:tcPr/>
          <w:p>
            <w:pPr>
              <w:pStyle w:val="Compact"/>
              <w:jc w:val="left"/>
            </w:pPr>
            <w:r>
              <w:t xml:space="preserve">E_AI_TTM</w:t>
            </w:r>
          </w:p>
        </w:tc>
        <w:tc>
          <w:tcPr/>
          <w:p>
            <w:pPr>
              <w:pStyle w:val="Compact"/>
              <w:jc w:val="left"/>
            </w:pPr>
            <w:r>
              <w:t xml:space="preserve">2.35</w:t>
            </w:r>
          </w:p>
        </w:tc>
        <w:tc>
          <w:tcPr/>
          <w:p>
            <w:pPr>
              <w:pStyle w:val="Compact"/>
              <w:jc w:val="left"/>
            </w:pPr>
            <w:r>
              <w:t xml:space="preserve">3.56</w:t>
            </w:r>
          </w:p>
        </w:tc>
        <w:tc>
          <w:tcPr/>
          <w:p>
            <w:pPr>
              <w:pStyle w:val="Compact"/>
              <w:jc w:val="left"/>
            </w:pPr>
            <w:r>
              <w:t xml:space="preserve">8.06</w:t>
            </w:r>
          </w:p>
        </w:tc>
        <w:tc>
          <w:tcPr/>
          <w:p>
            <w:pPr>
              <w:pStyle w:val="Compact"/>
              <w:jc w:val="left"/>
            </w:pPr>
            <w:r>
              <w:t xml:space="preserve">12.2</w:t>
            </w:r>
          </w:p>
        </w:tc>
      </w:tr>
    </w:tbl>
    <w:bookmarkEnd w:id="126"/>
    <w:bookmarkStart w:id="127" w:name="X74b0964ca7aeac3406fbe20007ab5cc67a09e34"/>
    <w:p>
      <w:pPr>
        <w:pStyle w:val="Heading3"/>
      </w:pPr>
      <w:r>
        <w:t xml:space="preserve">Table 16. M71 industry economy under TNLG (SBS 2021–24 and nama)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Coefficient (s.e.)</w:t>
            </w:r>
          </w:p>
        </w:tc>
        <w:tc>
          <w:tcPr/>
          <w:p>
            <w:pPr>
              <w:pStyle w:val="Compact"/>
              <w:jc w:val="left"/>
            </w:pPr>
            <w:r>
              <w:t xml:space="preserve">N</w:t>
            </w:r>
          </w:p>
        </w:tc>
        <w:tc>
          <w:tcPr/>
          <w:p>
            <w:pPr>
              <w:pStyle w:val="Compact"/>
              <w:jc w:val="left"/>
            </w:pPr>
            <w:r>
              <w:t xml:space="preserve">Note</w:t>
            </w:r>
          </w:p>
        </w:tc>
      </w:tr>
      <w:tr>
        <w:tc>
          <w:tcPr/>
          <w:p>
            <w:pPr>
              <w:pStyle w:val="Compact"/>
              <w:jc w:val="left"/>
            </w:pPr>
            <w:r>
              <w:t xml:space="preserve">(I1) log M71 turnover Post2024×ΔTNLG</w:t>
            </w:r>
          </w:p>
        </w:tc>
        <w:tc>
          <w:tcPr/>
          <w:p>
            <w:pPr>
              <w:pStyle w:val="Compact"/>
              <w:jc w:val="left"/>
            </w:pPr>
            <w:r>
              <w:t xml:space="preserve">-0.007** (0.003)</w:t>
            </w:r>
          </w:p>
        </w:tc>
        <w:tc>
          <w:tcPr/>
          <w:p>
            <w:pPr>
              <w:pStyle w:val="Compact"/>
              <w:jc w:val="left"/>
            </w:pPr>
            <w:r>
              <w:t xml:space="preserve">68</w:t>
            </w:r>
          </w:p>
        </w:tc>
        <w:tc>
          <w:tcPr/>
          <w:p>
            <w:pPr>
              <w:pStyle w:val="Compact"/>
              <w:jc w:val="left"/>
            </w:pPr>
            <w:r>
              <w:t xml:space="preserve">SBS sbs_sc_ovw M71 NETTUR_MEUR; country+year FE</w:t>
            </w:r>
          </w:p>
        </w:tc>
      </w:tr>
      <w:tr>
        <w:tc>
          <w:tcPr/>
          <w:p>
            <w:pPr>
              <w:pStyle w:val="Compact"/>
              <w:jc w:val="left"/>
            </w:pPr>
            <w:r>
              <w:t xml:space="preserve">(I2) log M71 employment Post2024×ΔTNLG</w:t>
            </w:r>
          </w:p>
        </w:tc>
        <w:tc>
          <w:tcPr/>
          <w:p>
            <w:pPr>
              <w:pStyle w:val="Compact"/>
              <w:jc w:val="left"/>
            </w:pPr>
            <w:r>
              <w:t xml:space="preserve">-0.000 (0.002)</w:t>
            </w:r>
          </w:p>
        </w:tc>
        <w:tc>
          <w:tcPr/>
          <w:p>
            <w:pPr>
              <w:pStyle w:val="Compact"/>
              <w:jc w:val="left"/>
            </w:pPr>
            <w:r>
              <w:t xml:space="preserve">68</w:t>
            </w:r>
          </w:p>
        </w:tc>
        <w:tc>
          <w:tcPr/>
          <w:p>
            <w:pPr>
              <w:pStyle w:val="Compact"/>
              <w:jc w:val="left"/>
            </w:pPr>
            <w:r>
              <w:t xml:space="preserve">SBS sbs_ovw_act M71 EMP_NR; country+year FE</w:t>
            </w:r>
          </w:p>
        </w:tc>
      </w:tr>
      <w:tr>
        <w:tc>
          <w:tcPr/>
          <w:p>
            <w:pPr>
              <w:pStyle w:val="Compact"/>
              <w:jc w:val="left"/>
            </w:pPr>
            <w:r>
              <w:t xml:space="preserve">(I3) log M71 wages Post2024×ΔTNLG</w:t>
            </w:r>
          </w:p>
        </w:tc>
        <w:tc>
          <w:tcPr/>
          <w:p>
            <w:pPr>
              <w:pStyle w:val="Compact"/>
              <w:jc w:val="left"/>
            </w:pPr>
            <w:r>
              <w:t xml:space="preserve">-0.009*** (0.003)</w:t>
            </w:r>
          </w:p>
        </w:tc>
        <w:tc>
          <w:tcPr/>
          <w:p>
            <w:pPr>
              <w:pStyle w:val="Compact"/>
              <w:jc w:val="left"/>
            </w:pPr>
            <w:r>
              <w:t xml:space="preserve">68</w:t>
            </w:r>
          </w:p>
        </w:tc>
        <w:tc>
          <w:tcPr/>
          <w:p>
            <w:pPr>
              <w:pStyle w:val="Compact"/>
              <w:jc w:val="left"/>
            </w:pPr>
            <w:r>
              <w:t xml:space="preserve">SBS sbs_ovw_act M71 WAGE_MEUR; country+year FE</w:t>
            </w:r>
          </w:p>
        </w:tc>
      </w:tr>
      <w:tr>
        <w:tc>
          <w:tcPr/>
          <w:p>
            <w:pPr>
              <w:pStyle w:val="Compact"/>
              <w:jc w:val="left"/>
            </w:pPr>
            <w:r>
              <w:t xml:space="preserve">(I4) log M71 value added Post2024×ΔTNLG</w:t>
            </w:r>
          </w:p>
        </w:tc>
        <w:tc>
          <w:tcPr/>
          <w:p>
            <w:pPr>
              <w:pStyle w:val="Compact"/>
              <w:jc w:val="left"/>
            </w:pPr>
            <w:r>
              <w:t xml:space="preserve">-0.006*** (0.002)</w:t>
            </w:r>
          </w:p>
        </w:tc>
        <w:tc>
          <w:tcPr/>
          <w:p>
            <w:pPr>
              <w:pStyle w:val="Compact"/>
              <w:jc w:val="left"/>
            </w:pPr>
            <w:r>
              <w:t xml:space="preserve">68</w:t>
            </w:r>
          </w:p>
        </w:tc>
        <w:tc>
          <w:tcPr/>
          <w:p>
            <w:pPr>
              <w:pStyle w:val="Compact"/>
              <w:jc w:val="left"/>
            </w:pPr>
            <w:r>
              <w:t xml:space="preserve">SBS sbs_ovw_act M71 AV_MEUR; country+year FE</w:t>
            </w:r>
          </w:p>
        </w:tc>
      </w:tr>
      <w:tr>
        <w:tc>
          <w:tcPr/>
          <w:p>
            <w:pPr>
              <w:pStyle w:val="Compact"/>
              <w:jc w:val="left"/>
            </w:pPr>
            <w:r>
              <w:t xml:space="preserve">(I5) log M71 GOS Post2024×ΔTNLG</w:t>
            </w:r>
          </w:p>
        </w:tc>
        <w:tc>
          <w:tcPr/>
          <w:p>
            <w:pPr>
              <w:pStyle w:val="Compact"/>
              <w:jc w:val="left"/>
            </w:pPr>
            <w:r>
              <w:t xml:space="preserve">-0.003 (0.005)</w:t>
            </w:r>
          </w:p>
        </w:tc>
        <w:tc>
          <w:tcPr/>
          <w:p>
            <w:pPr>
              <w:pStyle w:val="Compact"/>
              <w:jc w:val="left"/>
            </w:pPr>
            <w:r>
              <w:t xml:space="preserve">68</w:t>
            </w:r>
          </w:p>
        </w:tc>
        <w:tc>
          <w:tcPr/>
          <w:p>
            <w:pPr>
              <w:pStyle w:val="Compact"/>
              <w:jc w:val="left"/>
            </w:pPr>
            <w:r>
              <w:t xml:space="preserve">SBS sbs_ovw_act M71 GOS_MEUR; country+year FE</w:t>
            </w:r>
          </w:p>
        </w:tc>
      </w:tr>
      <w:tr>
        <w:tc>
          <w:tcPr/>
          <w:p>
            <w:pPr>
              <w:pStyle w:val="Compact"/>
              <w:jc w:val="left"/>
            </w:pPr>
            <w:r>
              <w:t xml:space="preserve">(I6) log F turnover Post2024×ΔTNLG placebo</w:t>
            </w:r>
          </w:p>
        </w:tc>
        <w:tc>
          <w:tcPr/>
          <w:p>
            <w:pPr>
              <w:pStyle w:val="Compact"/>
              <w:jc w:val="left"/>
            </w:pPr>
            <w:r>
              <w:t xml:space="preserve">-0.010*** (0.003)</w:t>
            </w:r>
          </w:p>
        </w:tc>
        <w:tc>
          <w:tcPr/>
          <w:p>
            <w:pPr>
              <w:pStyle w:val="Compact"/>
              <w:jc w:val="left"/>
            </w:pPr>
            <w:r>
              <w:t xml:space="preserve">68</w:t>
            </w:r>
          </w:p>
        </w:tc>
        <w:tc>
          <w:tcPr/>
          <w:p>
            <w:pPr>
              <w:pStyle w:val="Compact"/>
              <w:jc w:val="left"/>
            </w:pPr>
            <w:r>
              <w:t xml:space="preserve">SBS sbs_sc_ovw F NETTUR_MEUR; country+year FE</w:t>
            </w:r>
          </w:p>
        </w:tc>
      </w:tr>
      <w:tr>
        <w:tc>
          <w:tcPr/>
          <w:p>
            <w:pPr>
              <w:pStyle w:val="Compact"/>
              <w:jc w:val="left"/>
            </w:pPr>
            <w:r>
              <w:t xml:space="preserve">(I7) log F employment Post2024×ΔTNLG placebo</w:t>
            </w:r>
          </w:p>
        </w:tc>
        <w:tc>
          <w:tcPr/>
          <w:p>
            <w:pPr>
              <w:pStyle w:val="Compact"/>
              <w:jc w:val="left"/>
            </w:pPr>
            <w:r>
              <w:t xml:space="preserve">-0.003 (0.002)</w:t>
            </w:r>
          </w:p>
        </w:tc>
        <w:tc>
          <w:tcPr/>
          <w:p>
            <w:pPr>
              <w:pStyle w:val="Compact"/>
              <w:jc w:val="left"/>
            </w:pPr>
            <w:r>
              <w:t xml:space="preserve">68</w:t>
            </w:r>
          </w:p>
        </w:tc>
        <w:tc>
          <w:tcPr/>
          <w:p>
            <w:pPr>
              <w:pStyle w:val="Compact"/>
              <w:jc w:val="left"/>
            </w:pPr>
            <w:r>
              <w:t xml:space="preserve">SBS sbs_ovw_act F EMP_NR; country+year FE</w:t>
            </w:r>
          </w:p>
        </w:tc>
      </w:tr>
      <w:tr>
        <w:tc>
          <w:tcPr/>
          <w:p>
            <w:pPr>
              <w:pStyle w:val="Compact"/>
              <w:jc w:val="left"/>
            </w:pPr>
            <w:r>
              <w:t xml:space="preserve">(I8) log M turnover Post2024×ΔTNLG placebo</w:t>
            </w:r>
          </w:p>
        </w:tc>
        <w:tc>
          <w:tcPr/>
          <w:p>
            <w:pPr>
              <w:pStyle w:val="Compact"/>
              <w:jc w:val="left"/>
            </w:pPr>
            <w:r>
              <w:t xml:space="preserve">-0.005** (0.002)</w:t>
            </w:r>
          </w:p>
        </w:tc>
        <w:tc>
          <w:tcPr/>
          <w:p>
            <w:pPr>
              <w:pStyle w:val="Compact"/>
              <w:jc w:val="left"/>
            </w:pPr>
            <w:r>
              <w:t xml:space="preserve">68</w:t>
            </w:r>
          </w:p>
        </w:tc>
        <w:tc>
          <w:tcPr/>
          <w:p>
            <w:pPr>
              <w:pStyle w:val="Compact"/>
              <w:jc w:val="left"/>
            </w:pPr>
            <w:r>
              <w:t xml:space="preserve">SBS sbs_sc_ovw M NETTUR_MEUR; country+year FE</w:t>
            </w:r>
          </w:p>
        </w:tc>
      </w:tr>
      <w:tr>
        <w:tc>
          <w:tcPr/>
          <w:p>
            <w:pPr>
              <w:pStyle w:val="Compact"/>
              <w:jc w:val="left"/>
            </w:pPr>
            <w:r>
              <w:t xml:space="preserve">(I9) log M71 turnover Post2023×ΔTNLG</w:t>
            </w:r>
          </w:p>
        </w:tc>
        <w:tc>
          <w:tcPr/>
          <w:p>
            <w:pPr>
              <w:pStyle w:val="Compact"/>
              <w:jc w:val="left"/>
            </w:pPr>
            <w:r>
              <w:t xml:space="preserve">-0.009** (0.004)</w:t>
            </w:r>
          </w:p>
        </w:tc>
        <w:tc>
          <w:tcPr/>
          <w:p>
            <w:pPr>
              <w:pStyle w:val="Compact"/>
              <w:jc w:val="left"/>
            </w:pPr>
            <w:r>
              <w:t xml:space="preserve">68</w:t>
            </w:r>
          </w:p>
        </w:tc>
        <w:tc>
          <w:tcPr/>
          <w:p>
            <w:pPr>
              <w:pStyle w:val="Compact"/>
              <w:jc w:val="left"/>
            </w:pPr>
            <w:r>
              <w:t xml:space="preserve">SBS sbs_sc_ovw M71 NETTUR_MEUR; country+year FE</w:t>
            </w:r>
          </w:p>
        </w:tc>
      </w:tr>
      <w:tr>
        <w:tc>
          <w:tcPr/>
          <w:p>
            <w:pPr>
              <w:pStyle w:val="Compact"/>
              <w:jc w:val="left"/>
            </w:pPr>
            <w:r>
              <w:t xml:space="preserve">(I10) Δlog≈ M71 turnover 2023–24 on ΔTNLG</w:t>
            </w:r>
          </w:p>
        </w:tc>
        <w:tc>
          <w:tcPr/>
          <w:p>
            <w:pPr>
              <w:pStyle w:val="Compact"/>
              <w:jc w:val="left"/>
            </w:pPr>
            <w:r>
              <w:t xml:space="preserve">-0.002 (0.001)</w:t>
            </w:r>
          </w:p>
        </w:tc>
        <w:tc>
          <w:tcPr/>
          <w:p>
            <w:pPr>
              <w:pStyle w:val="Compact"/>
              <w:jc w:val="left"/>
            </w:pPr>
            <w:r>
              <w:t xml:space="preserve">17</w:t>
            </w:r>
          </w:p>
        </w:tc>
        <w:tc>
          <w:tcPr/>
          <w:p>
            <w:pPr>
              <w:pStyle w:val="Compact"/>
              <w:jc w:val="left"/>
            </w:pPr>
            <w:r>
              <w:t xml:space="preserve">Cross-section; LHS is percent/100</w:t>
            </w:r>
          </w:p>
        </w:tc>
      </w:tr>
      <w:tr>
        <w:tc>
          <w:tcPr/>
          <w:p>
            <w:pPr>
              <w:pStyle w:val="Compact"/>
              <w:jc w:val="left"/>
            </w:pPr>
            <w:r>
              <w:t xml:space="preserve">(I11) M71 employment % 2023–24 on ΔTNLG</w:t>
            </w:r>
          </w:p>
        </w:tc>
        <w:tc>
          <w:tcPr/>
          <w:p>
            <w:pPr>
              <w:pStyle w:val="Compact"/>
              <w:jc w:val="left"/>
            </w:pPr>
            <w:r>
              <w:t xml:space="preserve">-0.000 (0.001)</w:t>
            </w:r>
          </w:p>
        </w:tc>
        <w:tc>
          <w:tcPr/>
          <w:p>
            <w:pPr>
              <w:pStyle w:val="Compact"/>
              <w:jc w:val="left"/>
            </w:pPr>
            <w:r>
              <w:t xml:space="preserve">17</w:t>
            </w:r>
          </w:p>
        </w:tc>
        <w:tc>
          <w:tcPr/>
          <w:p>
            <w:pPr>
              <w:pStyle w:val="Compact"/>
              <w:jc w:val="left"/>
            </w:pPr>
            <w:r>
              <w:t xml:space="preserve">Cross-section; LHS percent/100</w:t>
            </w:r>
          </w:p>
        </w:tc>
      </w:tr>
      <w:tr>
        <w:tc>
          <w:tcPr/>
          <w:p>
            <w:pPr>
              <w:pStyle w:val="Compact"/>
              <w:jc w:val="left"/>
            </w:pPr>
            <w:r>
              <w:t xml:space="preserve">(I12) log M71 compensation Post×ΔTNLG</w:t>
            </w:r>
          </w:p>
        </w:tc>
        <w:tc>
          <w:tcPr/>
          <w:p>
            <w:pPr>
              <w:pStyle w:val="Compact"/>
              <w:jc w:val="left"/>
            </w:pPr>
            <w:r>
              <w:t xml:space="preserve">-0.009** (0.004)</w:t>
            </w:r>
          </w:p>
        </w:tc>
        <w:tc>
          <w:tcPr/>
          <w:p>
            <w:pPr>
              <w:pStyle w:val="Compact"/>
              <w:jc w:val="left"/>
            </w:pPr>
            <w:r>
              <w:t xml:space="preserve">96</w:t>
            </w:r>
          </w:p>
        </w:tc>
        <w:tc>
          <w:tcPr/>
          <w:p>
            <w:pPr>
              <w:pStyle w:val="Compact"/>
              <w:jc w:val="left"/>
            </w:pPr>
            <w:r>
              <w:t xml:space="preserve">nama_10_a64 current EUR; series ends 2023 so misses 2024 NLG year</w:t>
            </w:r>
          </w:p>
        </w:tc>
      </w:tr>
      <w:tr>
        <w:tc>
          <w:tcPr/>
          <w:p>
            <w:pPr>
              <w:pStyle w:val="Compact"/>
              <w:jc w:val="left"/>
            </w:pPr>
            <w:r>
              <w:t xml:space="preserve">(I12) log M71 output Post×ΔTNLG</w:t>
            </w:r>
          </w:p>
        </w:tc>
        <w:tc>
          <w:tcPr/>
          <w:p>
            <w:pPr>
              <w:pStyle w:val="Compact"/>
              <w:jc w:val="left"/>
            </w:pPr>
            <w:r>
              <w:t xml:space="preserve">-0.009*** (0.003)</w:t>
            </w:r>
          </w:p>
        </w:tc>
        <w:tc>
          <w:tcPr/>
          <w:p>
            <w:pPr>
              <w:pStyle w:val="Compact"/>
              <w:jc w:val="left"/>
            </w:pPr>
            <w:r>
              <w:t xml:space="preserve">96</w:t>
            </w:r>
          </w:p>
        </w:tc>
        <w:tc>
          <w:tcPr/>
          <w:p>
            <w:pPr>
              <w:pStyle w:val="Compact"/>
              <w:jc w:val="left"/>
            </w:pPr>
            <w:r>
              <w:t xml:space="preserve">nama_10_a64 current EUR; series ends 2023 so misses 2024 NLG year</w:t>
            </w:r>
          </w:p>
        </w:tc>
      </w:tr>
      <w:tr>
        <w:tc>
          <w:tcPr/>
          <w:p>
            <w:pPr>
              <w:pStyle w:val="Compact"/>
              <w:jc w:val="left"/>
            </w:pPr>
            <w:r>
              <w:t xml:space="preserve">(I12) log F compensation Post×ΔTNLG</w:t>
            </w:r>
          </w:p>
        </w:tc>
        <w:tc>
          <w:tcPr/>
          <w:p>
            <w:pPr>
              <w:pStyle w:val="Compact"/>
              <w:jc w:val="left"/>
            </w:pPr>
            <w:r>
              <w:t xml:space="preserve">-0.011*** (0.004)</w:t>
            </w:r>
          </w:p>
        </w:tc>
        <w:tc>
          <w:tcPr/>
          <w:p>
            <w:pPr>
              <w:pStyle w:val="Compact"/>
              <w:jc w:val="left"/>
            </w:pPr>
            <w:r>
              <w:t xml:space="preserve">102</w:t>
            </w:r>
          </w:p>
        </w:tc>
        <w:tc>
          <w:tcPr/>
          <w:p>
            <w:pPr>
              <w:pStyle w:val="Compact"/>
              <w:jc w:val="left"/>
            </w:pPr>
            <w:r>
              <w:t xml:space="preserve">nama_10_a64 current EUR; series ends 2023 so misses 2024 NLG year</w:t>
            </w:r>
          </w:p>
        </w:tc>
      </w:tr>
      <w:tr>
        <w:tc>
          <w:tcPr/>
          <w:p>
            <w:pPr>
              <w:pStyle w:val="Compact"/>
              <w:jc w:val="left"/>
            </w:pPr>
            <w:r>
              <w:t xml:space="preserve">(I12) log F output Post×ΔTNLG</w:t>
            </w:r>
          </w:p>
        </w:tc>
        <w:tc>
          <w:tcPr/>
          <w:p>
            <w:pPr>
              <w:pStyle w:val="Compact"/>
              <w:jc w:val="left"/>
            </w:pPr>
            <w:r>
              <w:t xml:space="preserve">-0.014*** (0.004)</w:t>
            </w:r>
          </w:p>
        </w:tc>
        <w:tc>
          <w:tcPr/>
          <w:p>
            <w:pPr>
              <w:pStyle w:val="Compact"/>
              <w:jc w:val="left"/>
            </w:pPr>
            <w:r>
              <w:t xml:space="preserve">102</w:t>
            </w:r>
          </w:p>
        </w:tc>
        <w:tc>
          <w:tcPr/>
          <w:p>
            <w:pPr>
              <w:pStyle w:val="Compact"/>
              <w:jc w:val="left"/>
            </w:pPr>
            <w:r>
              <w:t xml:space="preserve">nama_10_a64 current EUR; series ends 2023 so misses 2024 NLG year</w:t>
            </w:r>
          </w:p>
        </w:tc>
      </w:tr>
    </w:tbl>
    <w:bookmarkEnd w:id="127"/>
    <w:bookmarkStart w:id="128" w:name="Xaace61c10f997e79b4ccc1145f4be78af115f5b"/>
    <w:p>
      <w:pPr>
        <w:pStyle w:val="Heading3"/>
      </w:pPr>
      <w:r>
        <w:t xml:space="preserve">Table 17. SBS growth, NACE M71 vs F, 2021–2024</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left"/>
            </w:pPr>
            <w:r>
              <w:t xml:space="preserve">M71 turnover 21–24 %</w:t>
            </w:r>
          </w:p>
        </w:tc>
        <w:tc>
          <w:tcPr/>
          <w:p>
            <w:pPr>
              <w:pStyle w:val="Compact"/>
              <w:jc w:val="left"/>
            </w:pPr>
            <w:r>
              <w:t xml:space="preserve">F turnover 21–24 %</w:t>
            </w:r>
          </w:p>
        </w:tc>
        <w:tc>
          <w:tcPr/>
          <w:p>
            <w:pPr>
              <w:pStyle w:val="Compact"/>
              <w:jc w:val="left"/>
            </w:pPr>
            <w:r>
              <w:t xml:space="preserve">M71 emp 21–24 %</w:t>
            </w:r>
          </w:p>
        </w:tc>
        <w:tc>
          <w:tcPr/>
          <w:p>
            <w:pPr>
              <w:pStyle w:val="Compact"/>
              <w:jc w:val="left"/>
            </w:pPr>
            <w:r>
              <w:t xml:space="preserve">F emp 21–24 %</w:t>
            </w:r>
          </w:p>
        </w:tc>
        <w:tc>
          <w:tcPr/>
          <w:p>
            <w:pPr>
              <w:pStyle w:val="Compact"/>
              <w:jc w:val="left"/>
            </w:pPr>
            <w:r>
              <w:t xml:space="preserve">ΔTNLG M 23–24</w:t>
            </w:r>
          </w:p>
        </w:tc>
      </w:tr>
      <w:tr>
        <w:tc>
          <w:tcPr/>
          <w:p>
            <w:pPr>
              <w:pStyle w:val="Compact"/>
              <w:jc w:val="left"/>
            </w:pPr>
            <w:r>
              <w:t xml:space="preserve">Austria</w:t>
            </w:r>
          </w:p>
        </w:tc>
        <w:tc>
          <w:tcPr/>
          <w:p>
            <w:pPr>
              <w:pStyle w:val="Compact"/>
              <w:jc w:val="left"/>
            </w:pPr>
            <w:r>
              <w:t xml:space="preserve">21.6</w:t>
            </w:r>
          </w:p>
        </w:tc>
        <w:tc>
          <w:tcPr/>
          <w:p>
            <w:pPr>
              <w:pStyle w:val="Compact"/>
              <w:jc w:val="left"/>
            </w:pPr>
            <w:r>
              <w:t xml:space="preserve">14.6</w:t>
            </w:r>
          </w:p>
        </w:tc>
        <w:tc>
          <w:tcPr/>
          <w:p>
            <w:pPr>
              <w:pStyle w:val="Compact"/>
              <w:jc w:val="left"/>
            </w:pPr>
            <w:r>
              <w:t xml:space="preserve">3.1</w:t>
            </w:r>
          </w:p>
        </w:tc>
        <w:tc>
          <w:tcPr/>
          <w:p>
            <w:pPr>
              <w:pStyle w:val="Compact"/>
              <w:jc w:val="left"/>
            </w:pPr>
            <w:r>
              <w:t xml:space="preserve">-0.0</w:t>
            </w:r>
          </w:p>
        </w:tc>
        <w:tc>
          <w:tcPr/>
          <w:p>
            <w:pPr>
              <w:pStyle w:val="Compact"/>
              <w:jc w:val="left"/>
            </w:pPr>
            <w:r>
              <w:t xml:space="preserve">8.2</w:t>
            </w:r>
          </w:p>
        </w:tc>
      </w:tr>
      <w:tr>
        <w:tc>
          <w:tcPr/>
          <w:p>
            <w:pPr>
              <w:pStyle w:val="Compact"/>
              <w:jc w:val="left"/>
            </w:pPr>
            <w:r>
              <w:t xml:space="preserve">Belgium</w:t>
            </w:r>
          </w:p>
        </w:tc>
        <w:tc>
          <w:tcPr/>
          <w:p>
            <w:pPr>
              <w:pStyle w:val="Compact"/>
              <w:jc w:val="left"/>
            </w:pPr>
            <w:r>
              <w:t xml:space="preserve">26.0</w:t>
            </w:r>
          </w:p>
        </w:tc>
        <w:tc>
          <w:tcPr/>
          <w:p>
            <w:pPr>
              <w:pStyle w:val="Compact"/>
              <w:jc w:val="left"/>
            </w:pPr>
            <w:r>
              <w:t xml:space="preserve">30.4</w:t>
            </w:r>
          </w:p>
        </w:tc>
        <w:tc>
          <w:tcPr/>
          <w:p>
            <w:pPr>
              <w:pStyle w:val="Compact"/>
              <w:jc w:val="left"/>
            </w:pPr>
            <w:r>
              <w:t xml:space="preserve">7.5</w:t>
            </w:r>
          </w:p>
        </w:tc>
        <w:tc>
          <w:tcPr/>
          <w:p>
            <w:pPr>
              <w:pStyle w:val="Compact"/>
              <w:jc w:val="left"/>
            </w:pPr>
            <w:r>
              <w:t xml:space="preserve">4.9</w:t>
            </w:r>
          </w:p>
        </w:tc>
        <w:tc>
          <w:tcPr/>
          <w:p>
            <w:pPr>
              <w:pStyle w:val="Compact"/>
              <w:jc w:val="left"/>
            </w:pPr>
            <w:r>
              <w:t xml:space="preserve">11.3</w:t>
            </w:r>
          </w:p>
        </w:tc>
      </w:tr>
      <w:tr>
        <w:tc>
          <w:tcPr/>
          <w:p>
            <w:pPr>
              <w:pStyle w:val="Compact"/>
              <w:jc w:val="left"/>
            </w:pPr>
            <w:r>
              <w:t xml:space="preserve">Czechia</w:t>
            </w:r>
          </w:p>
        </w:tc>
        <w:tc>
          <w:tcPr/>
          <w:p>
            <w:pPr>
              <w:pStyle w:val="Compact"/>
              <w:jc w:val="left"/>
            </w:pPr>
            <w:r>
              <w:t xml:space="preserve">31.6</w:t>
            </w:r>
          </w:p>
        </w:tc>
        <w:tc>
          <w:tcPr/>
          <w:p>
            <w:pPr>
              <w:pStyle w:val="Compact"/>
              <w:jc w:val="left"/>
            </w:pPr>
            <w:r>
              <w:t xml:space="preserve">32.1</w:t>
            </w:r>
          </w:p>
        </w:tc>
        <w:tc>
          <w:tcPr/>
          <w:p>
            <w:pPr>
              <w:pStyle w:val="Compact"/>
              <w:jc w:val="left"/>
            </w:pPr>
            <w:r>
              <w:t xml:space="preserve">6.8</w:t>
            </w:r>
          </w:p>
        </w:tc>
        <w:tc>
          <w:tcPr/>
          <w:p>
            <w:pPr>
              <w:pStyle w:val="Compact"/>
              <w:jc w:val="left"/>
            </w:pPr>
            <w:r>
              <w:t xml:space="preserve">3.4</w:t>
            </w:r>
          </w:p>
        </w:tc>
        <w:tc>
          <w:tcPr/>
          <w:p>
            <w:pPr>
              <w:pStyle w:val="Compact"/>
              <w:jc w:val="left"/>
            </w:pPr>
            <w:r>
              <w:t xml:space="preserve">10.3</w:t>
            </w:r>
          </w:p>
        </w:tc>
      </w:tr>
      <w:tr>
        <w:tc>
          <w:tcPr/>
          <w:p>
            <w:pPr>
              <w:pStyle w:val="Compact"/>
              <w:jc w:val="left"/>
            </w:pPr>
            <w:r>
              <w:t xml:space="preserve">Germany</w:t>
            </w:r>
          </w:p>
        </w:tc>
        <w:tc>
          <w:tcPr/>
          <w:p>
            <w:pPr>
              <w:pStyle w:val="Compact"/>
              <w:jc w:val="left"/>
            </w:pPr>
            <w:r>
              <w:t xml:space="preserve">16.5</w:t>
            </w:r>
          </w:p>
        </w:tc>
        <w:tc>
          <w:tcPr/>
          <w:p>
            <w:pPr>
              <w:pStyle w:val="Compact"/>
              <w:jc w:val="left"/>
            </w:pPr>
            <w:r>
              <w:t xml:space="preserve">12.5</w:t>
            </w:r>
          </w:p>
        </w:tc>
        <w:tc>
          <w:tcPr/>
          <w:p>
            <w:pPr>
              <w:pStyle w:val="Compact"/>
              <w:jc w:val="left"/>
            </w:pPr>
            <w:r>
              <w:t xml:space="preserve">2.0</w:t>
            </w:r>
          </w:p>
        </w:tc>
        <w:tc>
          <w:tcPr/>
          <w:p>
            <w:pPr>
              <w:pStyle w:val="Compact"/>
              <w:jc w:val="left"/>
            </w:pPr>
            <w:r>
              <w:t xml:space="preserve">-0.5</w:t>
            </w:r>
          </w:p>
        </w:tc>
        <w:tc>
          <w:tcPr/>
          <w:p>
            <w:pPr>
              <w:pStyle w:val="Compact"/>
              <w:jc w:val="left"/>
            </w:pPr>
            <w:r>
              <w:t xml:space="preserve">6.3</w:t>
            </w:r>
          </w:p>
        </w:tc>
      </w:tr>
      <w:tr>
        <w:tc>
          <w:tcPr/>
          <w:p>
            <w:pPr>
              <w:pStyle w:val="Compact"/>
              <w:jc w:val="left"/>
            </w:pPr>
            <w:r>
              <w:t xml:space="preserve">Denmark</w:t>
            </w:r>
          </w:p>
        </w:tc>
        <w:tc>
          <w:tcPr/>
          <w:p>
            <w:pPr>
              <w:pStyle w:val="Compact"/>
              <w:jc w:val="left"/>
            </w:pPr>
            <w:r>
              <w:t xml:space="preserve">26.2</w:t>
            </w:r>
          </w:p>
        </w:tc>
        <w:tc>
          <w:tcPr/>
          <w:p>
            <w:pPr>
              <w:pStyle w:val="Compact"/>
              <w:jc w:val="left"/>
            </w:pPr>
            <w:r>
              <w:t xml:space="preserve">10.9</w:t>
            </w:r>
          </w:p>
        </w:tc>
        <w:tc>
          <w:tcPr/>
          <w:p>
            <w:pPr>
              <w:pStyle w:val="Compact"/>
              <w:jc w:val="left"/>
            </w:pPr>
            <w:r>
              <w:t xml:space="preserve">15.7</w:t>
            </w:r>
          </w:p>
        </w:tc>
        <w:tc>
          <w:tcPr/>
          <w:p>
            <w:pPr>
              <w:pStyle w:val="Compact"/>
              <w:jc w:val="left"/>
            </w:pPr>
            <w:r>
              <w:t xml:space="preserve">2.7</w:t>
            </w:r>
          </w:p>
        </w:tc>
        <w:tc>
          <w:tcPr/>
          <w:p>
            <w:pPr>
              <w:pStyle w:val="Compact"/>
              <w:jc w:val="left"/>
            </w:pPr>
            <w:r>
              <w:t xml:space="preserve">25.7</w:t>
            </w:r>
          </w:p>
        </w:tc>
      </w:tr>
      <w:tr>
        <w:tc>
          <w:tcPr/>
          <w:p>
            <w:pPr>
              <w:pStyle w:val="Compact"/>
              <w:jc w:val="left"/>
            </w:pPr>
            <w:r>
              <w:t xml:space="preserve">Spain</w:t>
            </w:r>
          </w:p>
        </w:tc>
        <w:tc>
          <w:tcPr/>
          <w:p>
            <w:pPr>
              <w:pStyle w:val="Compact"/>
              <w:jc w:val="left"/>
            </w:pPr>
            <w:r>
              <w:t xml:space="preserve">35.0</w:t>
            </w:r>
          </w:p>
        </w:tc>
        <w:tc>
          <w:tcPr/>
          <w:p>
            <w:pPr>
              <w:pStyle w:val="Compact"/>
              <w:jc w:val="left"/>
            </w:pPr>
            <w:r>
              <w:t xml:space="preserve">34.4</w:t>
            </w:r>
          </w:p>
        </w:tc>
        <w:tc>
          <w:tcPr/>
          <w:p>
            <w:pPr>
              <w:pStyle w:val="Compact"/>
              <w:jc w:val="left"/>
            </w:pPr>
            <w:r>
              <w:t xml:space="preserve">6.8</w:t>
            </w:r>
          </w:p>
        </w:tc>
        <w:tc>
          <w:tcPr/>
          <w:p>
            <w:pPr>
              <w:pStyle w:val="Compact"/>
              <w:jc w:val="left"/>
            </w:pPr>
            <w:r>
              <w:t xml:space="preserve">1.8</w:t>
            </w:r>
          </w:p>
        </w:tc>
        <w:tc>
          <w:tcPr/>
          <w:p>
            <w:pPr>
              <w:pStyle w:val="Compact"/>
              <w:jc w:val="left"/>
            </w:pPr>
            <w:r>
              <w:t xml:space="preserve">7.5</w:t>
            </w:r>
          </w:p>
        </w:tc>
      </w:tr>
      <w:tr>
        <w:tc>
          <w:tcPr/>
          <w:p>
            <w:pPr>
              <w:pStyle w:val="Compact"/>
              <w:jc w:val="left"/>
            </w:pPr>
            <w:r>
              <w:t xml:space="preserve">Finland</w:t>
            </w:r>
          </w:p>
        </w:tc>
        <w:tc>
          <w:tcPr/>
          <w:p>
            <w:pPr>
              <w:pStyle w:val="Compact"/>
              <w:jc w:val="left"/>
            </w:pPr>
            <w:r>
              <w:t xml:space="preserve">17.1</w:t>
            </w:r>
          </w:p>
        </w:tc>
        <w:tc>
          <w:tcPr/>
          <w:p>
            <w:pPr>
              <w:pStyle w:val="Compact"/>
              <w:jc w:val="left"/>
            </w:pPr>
            <w:r>
              <w:t xml:space="preserve">-5.0</w:t>
            </w:r>
          </w:p>
        </w:tc>
        <w:tc>
          <w:tcPr/>
          <w:p>
            <w:pPr>
              <w:pStyle w:val="Compact"/>
              <w:jc w:val="left"/>
            </w:pPr>
            <w:r>
              <w:t xml:space="preserve">2.0</w:t>
            </w:r>
          </w:p>
        </w:tc>
        <w:tc>
          <w:tcPr/>
          <w:p>
            <w:pPr>
              <w:pStyle w:val="Compact"/>
              <w:jc w:val="left"/>
            </w:pPr>
            <w:r>
              <w:t xml:space="preserve">-5.8</w:t>
            </w:r>
          </w:p>
        </w:tc>
        <w:tc>
          <w:tcPr/>
          <w:p>
            <w:pPr>
              <w:pStyle w:val="Compact"/>
              <w:jc w:val="left"/>
            </w:pPr>
            <w:r>
              <w:t xml:space="preserve">18.8</w:t>
            </w:r>
          </w:p>
        </w:tc>
      </w:tr>
      <w:tr>
        <w:tc>
          <w:tcPr/>
          <w:p>
            <w:pPr>
              <w:pStyle w:val="Compact"/>
              <w:jc w:val="left"/>
            </w:pPr>
            <w:r>
              <w:t xml:space="preserve">France</w:t>
            </w:r>
          </w:p>
        </w:tc>
        <w:tc>
          <w:tcPr/>
          <w:p>
            <w:pPr>
              <w:pStyle w:val="Compact"/>
              <w:jc w:val="left"/>
            </w:pPr>
            <w:r>
              <w:t xml:space="preserve">15.5</w:t>
            </w:r>
          </w:p>
        </w:tc>
        <w:tc>
          <w:tcPr/>
          <w:p>
            <w:pPr>
              <w:pStyle w:val="Compact"/>
              <w:jc w:val="left"/>
            </w:pPr>
            <w:r>
              <w:t xml:space="preserve">12.1</w:t>
            </w:r>
          </w:p>
        </w:tc>
        <w:tc>
          <w:tcPr/>
          <w:p>
            <w:pPr>
              <w:pStyle w:val="Compact"/>
              <w:jc w:val="left"/>
            </w:pPr>
            <w:r>
              <w:t xml:space="preserve">12.6</w:t>
            </w:r>
          </w:p>
        </w:tc>
        <w:tc>
          <w:tcPr/>
          <w:p>
            <w:pPr>
              <w:pStyle w:val="Compact"/>
              <w:jc w:val="left"/>
            </w:pPr>
            <w:r>
              <w:t xml:space="preserve">3.2</w:t>
            </w:r>
          </w:p>
        </w:tc>
        <w:tc>
          <w:tcPr/>
          <w:p>
            <w:pPr>
              <w:pStyle w:val="Compact"/>
              <w:jc w:val="left"/>
            </w:pPr>
            <w:r>
              <w:t xml:space="preserve">2.6</w:t>
            </w:r>
          </w:p>
        </w:tc>
      </w:tr>
      <w:tr>
        <w:tc>
          <w:tcPr/>
          <w:p>
            <w:pPr>
              <w:pStyle w:val="Compact"/>
              <w:jc w:val="left"/>
            </w:pPr>
            <w:r>
              <w:t xml:space="preserve">Greece</w:t>
            </w:r>
          </w:p>
        </w:tc>
        <w:tc>
          <w:tcPr/>
          <w:p>
            <w:pPr>
              <w:pStyle w:val="Compact"/>
              <w:jc w:val="left"/>
            </w:pPr>
            <w:r>
              <w:t xml:space="preserve">74.7</w:t>
            </w:r>
          </w:p>
        </w:tc>
        <w:tc>
          <w:tcPr/>
          <w:p>
            <w:pPr>
              <w:pStyle w:val="Compact"/>
              <w:jc w:val="left"/>
            </w:pPr>
            <w:r>
              <w:t xml:space="preserve">98.6</w:t>
            </w:r>
          </w:p>
        </w:tc>
        <w:tc>
          <w:tcPr/>
          <w:p>
            <w:pPr>
              <w:pStyle w:val="Compact"/>
              <w:jc w:val="left"/>
            </w:pPr>
            <w:r>
              <w:t xml:space="preserve">13.2</w:t>
            </w:r>
          </w:p>
        </w:tc>
        <w:tc>
          <w:tcPr/>
          <w:p>
            <w:pPr>
              <w:pStyle w:val="Compact"/>
              <w:jc w:val="left"/>
            </w:pPr>
            <w:r>
              <w:t xml:space="preserve">25.3</w:t>
            </w:r>
          </w:p>
        </w:tc>
        <w:tc>
          <w:tcPr/>
          <w:p>
            <w:pPr>
              <w:pStyle w:val="Compact"/>
              <w:jc w:val="left"/>
            </w:pPr>
            <w:r>
              <w:t xml:space="preserve">5.4</w:t>
            </w:r>
          </w:p>
        </w:tc>
      </w:tr>
      <w:tr>
        <w:tc>
          <w:tcPr/>
          <w:p>
            <w:pPr>
              <w:pStyle w:val="Compact"/>
              <w:jc w:val="left"/>
            </w:pPr>
            <w:r>
              <w:t xml:space="preserve">Hungary</w:t>
            </w:r>
          </w:p>
        </w:tc>
        <w:tc>
          <w:tcPr/>
          <w:p>
            <w:pPr>
              <w:pStyle w:val="Compact"/>
              <w:jc w:val="left"/>
            </w:pPr>
            <w:r>
              <w:t xml:space="preserve">13.0</w:t>
            </w:r>
          </w:p>
        </w:tc>
        <w:tc>
          <w:tcPr/>
          <w:p>
            <w:pPr>
              <w:pStyle w:val="Compact"/>
              <w:jc w:val="left"/>
            </w:pPr>
            <w:r>
              <w:t xml:space="preserve">17.1</w:t>
            </w:r>
          </w:p>
        </w:tc>
        <w:tc>
          <w:tcPr/>
          <w:p>
            <w:pPr>
              <w:pStyle w:val="Compact"/>
              <w:jc w:val="left"/>
            </w:pPr>
            <w:r>
              <w:t xml:space="preserve">-0.9</w:t>
            </w:r>
          </w:p>
        </w:tc>
        <w:tc>
          <w:tcPr/>
          <w:p>
            <w:pPr>
              <w:pStyle w:val="Compact"/>
              <w:jc w:val="left"/>
            </w:pPr>
            <w:r>
              <w:t xml:space="preserve">-0.7</w:t>
            </w:r>
          </w:p>
        </w:tc>
        <w:tc>
          <w:tcPr/>
          <w:p>
            <w:pPr>
              <w:pStyle w:val="Compact"/>
              <w:jc w:val="left"/>
            </w:pPr>
            <w:r>
              <w:t xml:space="preserve">3.4</w:t>
            </w:r>
          </w:p>
        </w:tc>
      </w:tr>
      <w:tr>
        <w:tc>
          <w:tcPr/>
          <w:p>
            <w:pPr>
              <w:pStyle w:val="Compact"/>
              <w:jc w:val="left"/>
            </w:pPr>
            <w:r>
              <w:t xml:space="preserve">Ireland</w:t>
            </w:r>
          </w:p>
        </w:tc>
        <w:tc>
          <w:tcPr/>
          <w:p>
            <w:pPr>
              <w:pStyle w:val="Compact"/>
              <w:jc w:val="left"/>
            </w:pPr>
            <w:r>
              <w:t xml:space="preserve">35.9</w:t>
            </w:r>
          </w:p>
        </w:tc>
        <w:tc>
          <w:tcPr/>
          <w:p>
            <w:pPr>
              <w:pStyle w:val="Compact"/>
              <w:jc w:val="left"/>
            </w:pPr>
            <w:r>
              <w:t xml:space="preserve">31.2</w:t>
            </w:r>
          </w:p>
        </w:tc>
        <w:tc>
          <w:tcPr/>
          <w:p>
            <w:pPr>
              <w:pStyle w:val="Compact"/>
              <w:jc w:val="left"/>
            </w:pPr>
            <w:r>
              <w:t xml:space="preserve">24.3</w:t>
            </w:r>
          </w:p>
        </w:tc>
        <w:tc>
          <w:tcPr/>
          <w:p>
            <w:pPr>
              <w:pStyle w:val="Compact"/>
              <w:jc w:val="left"/>
            </w:pPr>
            <w:r>
              <w:t xml:space="preserve">23.0</w:t>
            </w:r>
          </w:p>
        </w:tc>
        <w:tc>
          <w:tcPr/>
          <w:p>
            <w:pPr>
              <w:pStyle w:val="Compact"/>
              <w:jc w:val="left"/>
            </w:pPr>
            <w:r>
              <w:t xml:space="preserve">8.6</w:t>
            </w:r>
          </w:p>
        </w:tc>
      </w:tr>
      <w:tr>
        <w:tc>
          <w:tcPr/>
          <w:p>
            <w:pPr>
              <w:pStyle w:val="Compact"/>
              <w:jc w:val="left"/>
            </w:pPr>
            <w:r>
              <w:t xml:space="preserve">Italy</w:t>
            </w:r>
          </w:p>
        </w:tc>
        <w:tc>
          <w:tcPr/>
          <w:p>
            <w:pPr>
              <w:pStyle w:val="Compact"/>
              <w:jc w:val="left"/>
            </w:pPr>
            <w:r>
              <w:t xml:space="preserve">44.4</w:t>
            </w:r>
          </w:p>
        </w:tc>
        <w:tc>
          <w:tcPr/>
          <w:p>
            <w:pPr>
              <w:pStyle w:val="Compact"/>
              <w:jc w:val="left"/>
            </w:pPr>
            <w:r>
              <w:t xml:space="preserve">32.2</w:t>
            </w:r>
          </w:p>
        </w:tc>
        <w:tc>
          <w:tcPr/>
          <w:p>
            <w:pPr>
              <w:pStyle w:val="Compact"/>
              <w:jc w:val="left"/>
            </w:pPr>
            <w:r>
              <w:t xml:space="preserve">12.6</w:t>
            </w:r>
          </w:p>
        </w:tc>
        <w:tc>
          <w:tcPr/>
          <w:p>
            <w:pPr>
              <w:pStyle w:val="Compact"/>
              <w:jc w:val="left"/>
            </w:pPr>
            <w:r>
              <w:t xml:space="preserve">11.8</w:t>
            </w:r>
          </w:p>
        </w:tc>
        <w:tc>
          <w:tcPr/>
          <w:p>
            <w:pPr>
              <w:pStyle w:val="Compact"/>
              <w:jc w:val="left"/>
            </w:pPr>
            <w:r>
              <w:t xml:space="preserve">6.6</w:t>
            </w:r>
          </w:p>
        </w:tc>
      </w:tr>
      <w:tr>
        <w:tc>
          <w:tcPr/>
          <w:p>
            <w:pPr>
              <w:pStyle w:val="Compact"/>
              <w:jc w:val="left"/>
            </w:pPr>
            <w:r>
              <w:t xml:space="preserve">Netherlands</w:t>
            </w:r>
          </w:p>
        </w:tc>
        <w:tc>
          <w:tcPr/>
          <w:p>
            <w:pPr>
              <w:pStyle w:val="Compact"/>
              <w:jc w:val="left"/>
            </w:pPr>
            <w:r>
              <w:t xml:space="preserve">23.5</w:t>
            </w:r>
          </w:p>
        </w:tc>
        <w:tc>
          <w:tcPr/>
          <w:p>
            <w:pPr>
              <w:pStyle w:val="Compact"/>
              <w:jc w:val="left"/>
            </w:pPr>
            <w:r>
              <w:t xml:space="preserve">22.6</w:t>
            </w:r>
          </w:p>
        </w:tc>
        <w:tc>
          <w:tcPr/>
          <w:p>
            <w:pPr>
              <w:pStyle w:val="Compact"/>
              <w:jc w:val="left"/>
            </w:pPr>
            <w:r>
              <w:t xml:space="preserve">10.9</w:t>
            </w:r>
          </w:p>
        </w:tc>
        <w:tc>
          <w:tcPr/>
          <w:p>
            <w:pPr>
              <w:pStyle w:val="Compact"/>
              <w:jc w:val="left"/>
            </w:pPr>
            <w:r>
              <w:t xml:space="preserve">8.7</w:t>
            </w:r>
          </w:p>
        </w:tc>
        <w:tc>
          <w:tcPr/>
          <w:p>
            <w:pPr>
              <w:pStyle w:val="Compact"/>
              <w:jc w:val="left"/>
            </w:pPr>
            <w:r>
              <w:t xml:space="preserve">14.3</w:t>
            </w:r>
          </w:p>
        </w:tc>
      </w:tr>
      <w:tr>
        <w:tc>
          <w:tcPr/>
          <w:p>
            <w:pPr>
              <w:pStyle w:val="Compact"/>
              <w:jc w:val="left"/>
            </w:pPr>
            <w:r>
              <w:t xml:space="preserve">Poland</w:t>
            </w:r>
          </w:p>
        </w:tc>
        <w:tc>
          <w:tcPr/>
          <w:p>
            <w:pPr>
              <w:pStyle w:val="Compact"/>
              <w:jc w:val="left"/>
            </w:pPr>
            <w:r>
              <w:t xml:space="preserve">41.4</w:t>
            </w:r>
          </w:p>
        </w:tc>
        <w:tc>
          <w:tcPr/>
          <w:p>
            <w:pPr>
              <w:pStyle w:val="Compact"/>
              <w:jc w:val="left"/>
            </w:pPr>
            <w:r>
              <w:t xml:space="preserve">35.0</w:t>
            </w:r>
          </w:p>
        </w:tc>
        <w:tc>
          <w:tcPr/>
          <w:p>
            <w:pPr>
              <w:pStyle w:val="Compact"/>
              <w:jc w:val="left"/>
            </w:pPr>
            <w:r>
              <w:t xml:space="preserve">1.0</w:t>
            </w:r>
          </w:p>
        </w:tc>
        <w:tc>
          <w:tcPr/>
          <w:p>
            <w:pPr>
              <w:pStyle w:val="Compact"/>
              <w:jc w:val="left"/>
            </w:pPr>
            <w:r>
              <w:t xml:space="preserve">-1.5</w:t>
            </w:r>
          </w:p>
        </w:tc>
        <w:tc>
          <w:tcPr/>
          <w:p>
            <w:pPr>
              <w:pStyle w:val="Compact"/>
              <w:jc w:val="left"/>
            </w:pPr>
            <w:r>
              <w:t xml:space="preserve">3.6</w:t>
            </w:r>
          </w:p>
        </w:tc>
      </w:tr>
      <w:tr>
        <w:tc>
          <w:tcPr/>
          <w:p>
            <w:pPr>
              <w:pStyle w:val="Compact"/>
              <w:jc w:val="left"/>
            </w:pPr>
            <w:r>
              <w:t xml:space="preserve">Portugal</w:t>
            </w:r>
          </w:p>
        </w:tc>
        <w:tc>
          <w:tcPr/>
          <w:p>
            <w:pPr>
              <w:pStyle w:val="Compact"/>
              <w:jc w:val="left"/>
            </w:pPr>
            <w:r>
              <w:t xml:space="preserve">63.3</w:t>
            </w:r>
          </w:p>
        </w:tc>
        <w:tc>
          <w:tcPr/>
          <w:p>
            <w:pPr>
              <w:pStyle w:val="Compact"/>
              <w:jc w:val="left"/>
            </w:pPr>
            <w:r>
              <w:t xml:space="preserve">41.5</w:t>
            </w:r>
          </w:p>
        </w:tc>
        <w:tc>
          <w:tcPr/>
          <w:p>
            <w:pPr>
              <w:pStyle w:val="Compact"/>
              <w:jc w:val="left"/>
            </w:pPr>
            <w:r>
              <w:t xml:space="preserve">16.6</w:t>
            </w:r>
          </w:p>
        </w:tc>
        <w:tc>
          <w:tcPr/>
          <w:p>
            <w:pPr>
              <w:pStyle w:val="Compact"/>
              <w:jc w:val="left"/>
            </w:pPr>
            <w:r>
              <w:t xml:space="preserve">21.3</w:t>
            </w:r>
          </w:p>
        </w:tc>
        <w:tc>
          <w:tcPr/>
          <w:p>
            <w:pPr>
              <w:pStyle w:val="Compact"/>
              <w:jc w:val="left"/>
            </w:pPr>
            <w:r>
              <w:t xml:space="preserve">6.2</w:t>
            </w:r>
          </w:p>
        </w:tc>
      </w:tr>
      <w:tr>
        <w:tc>
          <w:tcPr/>
          <w:p>
            <w:pPr>
              <w:pStyle w:val="Compact"/>
              <w:jc w:val="left"/>
            </w:pPr>
            <w:r>
              <w:t xml:space="preserve">Romania</w:t>
            </w:r>
          </w:p>
        </w:tc>
        <w:tc>
          <w:tcPr/>
          <w:p>
            <w:pPr>
              <w:pStyle w:val="Compact"/>
              <w:jc w:val="left"/>
            </w:pPr>
            <w:r>
              <w:t xml:space="preserve">78.9</w:t>
            </w:r>
          </w:p>
        </w:tc>
        <w:tc>
          <w:tcPr/>
          <w:p>
            <w:pPr>
              <w:pStyle w:val="Compact"/>
              <w:jc w:val="left"/>
            </w:pPr>
            <w:r>
              <w:t xml:space="preserve">64.9</w:t>
            </w:r>
          </w:p>
        </w:tc>
        <w:tc>
          <w:tcPr/>
          <w:p>
            <w:pPr>
              <w:pStyle w:val="Compact"/>
              <w:jc w:val="left"/>
            </w:pPr>
            <w:r>
              <w:t xml:space="preserve">11.4</w:t>
            </w:r>
          </w:p>
        </w:tc>
        <w:tc>
          <w:tcPr/>
          <w:p>
            <w:pPr>
              <w:pStyle w:val="Compact"/>
              <w:jc w:val="left"/>
            </w:pPr>
            <w:r>
              <w:t xml:space="preserve">0.3</w:t>
            </w:r>
          </w:p>
        </w:tc>
        <w:tc>
          <w:tcPr/>
          <w:p>
            <w:pPr>
              <w:pStyle w:val="Compact"/>
              <w:jc w:val="left"/>
            </w:pPr>
            <w:r>
              <w:t xml:space="preserve">-1.3</w:t>
            </w:r>
          </w:p>
        </w:tc>
      </w:tr>
      <w:tr>
        <w:tc>
          <w:tcPr/>
          <w:p>
            <w:pPr>
              <w:pStyle w:val="Compact"/>
              <w:jc w:val="left"/>
            </w:pPr>
            <w:r>
              <w:t xml:space="preserve">Sweden</w:t>
            </w:r>
          </w:p>
        </w:tc>
        <w:tc>
          <w:tcPr/>
          <w:p>
            <w:pPr>
              <w:pStyle w:val="Compact"/>
              <w:jc w:val="left"/>
            </w:pPr>
            <w:r>
              <w:t xml:space="preserve">1.8</w:t>
            </w:r>
          </w:p>
        </w:tc>
        <w:tc>
          <w:tcPr/>
          <w:p>
            <w:pPr>
              <w:pStyle w:val="Compact"/>
              <w:jc w:val="left"/>
            </w:pPr>
            <w:r>
              <w:t xml:space="preserve">-0.5</w:t>
            </w:r>
          </w:p>
        </w:tc>
        <w:tc>
          <w:tcPr/>
          <w:p>
            <w:pPr>
              <w:pStyle w:val="Compact"/>
              <w:jc w:val="left"/>
            </w:pPr>
            <w:r>
              <w:t xml:space="preserve">-2.3</w:t>
            </w:r>
          </w:p>
        </w:tc>
        <w:tc>
          <w:tcPr/>
          <w:p>
            <w:pPr>
              <w:pStyle w:val="Compact"/>
              <w:jc w:val="left"/>
            </w:pPr>
            <w:r>
              <w:t xml:space="preserve">-9.2</w:t>
            </w:r>
          </w:p>
        </w:tc>
        <w:tc>
          <w:tcPr/>
          <w:p>
            <w:pPr>
              <w:pStyle w:val="Compact"/>
              <w:jc w:val="left"/>
            </w:pPr>
            <w:r>
              <w:t xml:space="preserve">21.2</w:t>
            </w:r>
          </w:p>
        </w:tc>
      </w:tr>
    </w:tbl>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49" Target="media/rId49.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Study4_Manuscript</dc:title>
  <dc:creator/>
  <dc:language>en</dc:language>
  <cp:keywords/>
  <dcterms:created xsi:type="dcterms:W3CDTF">2026-09-17T19:30:13Z</dcterms:created>
  <dcterms:modified xsi:type="dcterms:W3CDTF">2026-09-17T19:30:13Z</dcterms:modified>
</cp:coreProperties>
</file>

<file path=docProps/custom.xml><?xml version="1.0" encoding="utf-8"?>
<Properties xmlns="http://schemas.openxmlformats.org/officeDocument/2006/custom-properties" xmlns:vt="http://schemas.openxmlformats.org/officeDocument/2006/docPropsVTypes"/>
</file>