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Tables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4"/>
        </w:rPr>
        <w:t>Editable tables for the International Journal of Construction Management. Place each table after the paragraph in which it is first cited, or upload this file as a separate tables document if required by ScholarOne.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Table 1. UK–India and UK–China service corridors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Import flow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Service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2019 (USD m)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2024 (USD m)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Change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UK imports from India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SJ3 technical and other business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2,186.6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4,979.3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127.7%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India imports from UK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SJ3 technical and other business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787.6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1,554.2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97.3%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UK imports from China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SJ3 technical and other business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775.5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1,546.0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99.3%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China imports from UK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SJ3 technical and other business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739.0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954.6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29.2%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UK imports from India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SE construction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41.9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72.8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73.7%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India imports from UK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SE construction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39.3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72.6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84.8%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UK imports from China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SE construction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118.5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179.8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51.7%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China imports from UK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SE construction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54.8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70.8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29.2%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UK imports from India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SI computer and information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2,215.3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4,723.0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113.2%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India imports from UK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SI computer and information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389.2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707.6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81.8%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UK imports from China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SI computer and information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724.7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1,054.5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45.5%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China imports from UK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SI computer and information services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1,639.3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2,404.1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46.7%</w:t>
            </w:r>
          </w:p>
        </w:tc>
      </w:tr>
    </w:tbl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0"/>
        </w:rPr>
        <w:t>Note. Source: OECD–WTO BaTIS, adjustment B. Values are balanced imports in current USD million.</w:t>
      </w:r>
    </w:p>
    <w:p/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Table 2. EU-27 enterprise use of natural-language-generation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Industry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2023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2024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2025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NACE M professional services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4.55%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11.51%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17.74%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NACE F construction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0.58%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2.42%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3.25%</w:t>
            </w:r>
          </w:p>
        </w:tc>
      </w:tr>
    </w:tbl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0"/>
        </w:rPr>
        <w:t>Note. Source: Eurostat isoc_eb_ain2, enterprises with at least ten persons.</w:t>
      </w:r>
    </w:p>
    <w:p/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Table 3. Selected trade estimates under the NLG shock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Outcome/specification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Coefficient (s.e.)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Indian SJ3, Post × ΔM TNLG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0.021*** (0.008)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119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Pooled SJ3, Post-2024 × ΔM TNLG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0.007** (0.003)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357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Chinese construction services (SE)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−0.008 (0.009)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119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Chinese SJ3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0.005 (0.010)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119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Indian computer services comparison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−0.002 (0.006)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357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Generic any-AI comparison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0.000 (0.006)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336</w:t>
            </w:r>
          </w:p>
        </w:tc>
      </w:tr>
    </w:tbl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0"/>
        </w:rPr>
        <w:t>Note. Importer and year fixed effects; standard errors clustered by importer. The pooled model also contains partner fixed effects. *p &lt; 0.10, **p &lt; 0.05, ***p &lt; 0.01.</w:t>
      </w:r>
    </w:p>
    <w:p/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Table 4. M71 industry outcomes under the NLG shock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Outcome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Post-2024 × ΔTNLG (s.e.)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Log M71 turnover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−0.007** (0.003)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68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Log M71 employment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−0.000 (0.002)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68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Log M71 wages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−0.009*** (0.003)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68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Log M71 value added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−0.006*** (0.002)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68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Log construction turnover (comparison)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−0.010*** (0.003)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68</w:t>
            </w:r>
          </w:p>
        </w:tc>
      </w:tr>
    </w:tbl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0"/>
        </w:rPr>
        <w:t>Note. Country and year fixed effects; standard errors clustered by country. *p &lt; 0.10, **p &lt; 0.05, ***p &lt; 0.01.</w:t>
      </w:r>
    </w:p>
    <w:p/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Table 5. Chinese construction services by importer NLG 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EU destination group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2019 (USD m)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2024 (USD m)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Change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Lower ΔTNLG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571.9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946.2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65.4%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Higher ΔTNLG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679.9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1,002.6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47.5%</w:t>
            </w:r>
          </w:p>
        </w:tc>
      </w:tr>
    </w:tbl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0"/>
        </w:rPr>
        <w:t>Note. Source: OECD–WTO BaTIS SE. Groups split at the importer median change in NACE M TNLG.</w:t>
      </w:r>
    </w:p>
    <w:p/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Table 6. Interpretation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Supported by the data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Not identified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Two-way UK–India and UK–China service trends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AI causing those bilateral changes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EU importer NLG associated with Indian SJ3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Civil-specific SJ312 invoices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Null Chinese construction-service comparison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India replacing Chinese or UK civil engineers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M71 outcomes associated with importer NLG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Times New Roman"/>
                <w:sz w:val="20"/>
              </w:rPr>
              <w:t>Bilateral employment or GDP effects</w:t>
            </w:r>
          </w:p>
        </w:tc>
      </w:tr>
    </w:tbl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0"/>
        </w:rPr>
        <w:t>Note. The table restates the claim boundary; it is not an additional statistical test.</w:t>
      </w:r>
    </w:p>
    <w:p/>
    <w:sectPr w:rsidR="00FC693F" w:rsidRPr="0006063C" w:rsidSect="00034616">
      <w:footerReference w:type="default" r:id="rId9"/>
      <w:head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i/>
        <w:sz w:val="20"/>
      </w:rPr>
      <w:t>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="48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24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