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tables_for_article</w:t>
      </w:r>
    </w:p>
    <w:bookmarkStart w:id="36" w:name="X02f5955ed8a0a83aa7b3e4305372d4388f6d40e"/>
    <w:p>
      <w:pPr>
        <w:pStyle w:val="Heading2"/>
      </w:pPr>
      <w:r>
        <w:t xml:space="preserve">Article tables (generated from official series)</w:t>
      </w:r>
    </w:p>
    <w:p>
      <w:pPr>
        <w:pStyle w:val="FirstParagraph"/>
      </w:pPr>
      <w:r>
        <w:t xml:space="preserve">LLM occupation scores from the IJCM paper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used. Exposure is Eloundou et al. matched to SOC 2020; employment is ONS APS.</w:t>
      </w:r>
    </w:p>
    <w:bookmarkStart w:id="20" w:name="X11bdf1e3f136eca1ec8e27c214c102a2956b949"/>
    <w:p>
      <w:pPr>
        <w:pStyle w:val="Heading3"/>
      </w:pPr>
      <w:r>
        <w:t xml:space="preserve">Table 1. Civil occupation exposure (Eloundou occ_level.csv)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17-2051.00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Engineering Technologists and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and Civil Drafters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0.540</w:t>
            </w:r>
          </w:p>
        </w:tc>
      </w:tr>
    </w:tbl>
    <w:bookmarkEnd w:id="20"/>
    <w:bookmarkStart w:id="21" w:name="X71de891f26f41cfecd832b1d80c6df123421e6a"/>
    <w:p>
      <w:pPr>
        <w:pStyle w:val="Heading3"/>
      </w:pPr>
      <w:r>
        <w:t xml:space="preserve">Table 2. UK APS employment, civil-adjacent SOC 2020 (Dec 2021–Sep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emp_2021_12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emp_2025_09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and planning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Inspectors of standards and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project managers and related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architectural technologists, planning officers and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Estimators, valuers and assessors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and safety managers and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project managers and project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health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professionals n.e.c.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</w:tr>
    </w:tbl>
    <w:bookmarkEnd w:id="21"/>
    <w:bookmarkStart w:id="22" w:name="X651e7ee996e9e5ca45695b9b88ae073f9c2b582"/>
    <w:p>
      <w:pPr>
        <w:pStyle w:val="Heading3"/>
      </w:pPr>
      <w:r>
        <w:t xml:space="preserve">Table 3. Eurostat enterprise AI use, NACE M vs F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64.88</w:t>
            </w:r>
          </w:p>
        </w:tc>
      </w:tr>
    </w:tbl>
    <w:bookmarkEnd w:id="22"/>
    <w:bookmarkStart w:id="23" w:name="X3d91c402e2bd694f7774707ce86d9b48c3c2e98"/>
    <w:p>
      <w:pPr>
        <w:pStyle w:val="Heading3"/>
      </w:pPr>
      <w:r>
        <w:t xml:space="preserve">Table 4. BaTIS balanced corridors (USD million)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SJ3 (digitally deliverable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China SE (project-based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SI (computer)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Poland SJ3 (nearshore)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</w:tr>
    </w:tbl>
    <w:bookmarkEnd w:id="23"/>
    <w:bookmarkStart w:id="24" w:name="X4d49e64c403febb726f29ef1bbc59c9a83ffc76"/>
    <w:p>
      <w:pPr>
        <w:pStyle w:val="Heading3"/>
      </w:pPr>
      <w:r>
        <w:t xml:space="preserve">Table 5. Identification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Post × M-AI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importers × IND/PHL/VNM; TWFE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Post × ΔM 2021–24 [headline]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Preferred: GenAI window is the 2023–24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Horse race: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Horse race: Post × ΔF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 change, controlling for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Placebo SI digital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Placebo SE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 construction services; BaTIS does not identify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 Placebo SJ3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(8) Placebo SE from SJ3 exporters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services from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(9) Post × (M−F) 2024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minus 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(10) Time-varying M-AI 2021/23/24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years overlapping BaTIS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(11) Placebo time-varying F-AI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(12) Drop 2020–21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COVID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(13) Fake post=2020 × ΔM, sample 2018–21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Pre-trend placebo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(14) IHS(value),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arcsinh instead of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(15) WLS by 2019 SJ3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corridors weighted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India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Philippines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Viet Nam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(16) Cross-section Δlog IN SJ3 22–24 on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(17) EU-8 only: Post × ΔM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 FRA NLD POL ITA ESP IRL ROU; fragility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(18) EU-8 only: time-varying M-AI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0.023**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8 importers, 2021/23/24</w:t>
            </w:r>
          </w:p>
        </w:tc>
      </w:tr>
    </w:tbl>
    <w:bookmarkEnd w:id="24"/>
    <w:bookmarkStart w:id="25" w:name="table-6.-event-study-year-δm-omit-2022"/>
    <w:p>
      <w:pPr>
        <w:pStyle w:val="Heading3"/>
      </w:pPr>
      <w:r>
        <w:t xml:space="preserve">Table 6. Event study: year × ΔM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</w:tbl>
    <w:bookmarkEnd w:id="25"/>
    <w:bookmarkStart w:id="26" w:name="X2bfaebe5b6dd80d6a5a703458202c4d92991d9a"/>
    <w:p>
      <w:pPr>
        <w:pStyle w:val="Heading3"/>
      </w:pPr>
      <w:r>
        <w:t xml:space="preserve">Table 7. ILO ISIC M vs F employment, 2019–2024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Arab Emirates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</w:tbl>
    <w:bookmarkEnd w:id="26"/>
    <w:bookmarkStart w:id="27" w:name="X274c97d10a6bcc46f7fce9dfea9643548753a19"/>
    <w:p>
      <w:pPr>
        <w:pStyle w:val="Heading3"/>
      </w:pPr>
      <w:r>
        <w:t xml:space="preserve">Table 8. NACE M71 vs F GVA, 2019–2023 current EUR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able-9.-m71-gva-and-sj1sj2-placebos"/>
    <w:p>
      <w:pPr>
        <w:pStyle w:val="Heading3"/>
      </w:pPr>
      <w:r>
        <w:t xml:space="preserve">Table 9. M71 GVA and SJ1/SJ2 placebos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log GVA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log GVA Post × ΔM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time-varying M-AI 2021/23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SJ2 consulting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SJ1 R&amp;D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</w:tbl>
    <w:bookmarkEnd w:id="28"/>
    <w:bookmarkStart w:id="29" w:name="table-10.-leave-one-importer-out-post-δm"/>
    <w:p>
      <w:pPr>
        <w:pStyle w:val="Heading3"/>
      </w:pPr>
      <w:r>
        <w:t xml:space="preserve">Table 10. Leave-one-importer-out, Post × ΔM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</w:tbl>
    <w:bookmarkEnd w:id="29"/>
    <w:bookmarkStart w:id="30" w:name="Xe51a387100f1ea790f0634bdef243e2b3b44860"/>
    <w:p>
      <w:pPr>
        <w:pStyle w:val="Heading3"/>
      </w:pPr>
      <w:r>
        <w:t xml:space="preserve">Table 11. Importer AI intensity (Eurostat pp)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</w:tr>
    </w:tbl>
    <w:bookmarkEnd w:id="30"/>
    <w:bookmarkStart w:id="31" w:name="Xfefec55a100d403cd63c29981b4f481e6d53051"/>
    <w:p>
      <w:pPr>
        <w:pStyle w:val="Heading3"/>
      </w:pPr>
      <w:r>
        <w:t xml:space="preserve">Table 13. Generative NLG shock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(N1) Post×ΔM TNLG 2023–24 [preferred GenAI shock]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NLG jump is the ChatGPT window; EU ×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(N2) Post2024×ΔM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only 2024 as post (BaTIS ends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(N3) Post×ΔM TNLG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window to generic TANY ΔM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(N4) Post× TNLG M 2024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(N5) Placebo Post×ΔF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enterprises using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(N6) Horse: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N7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(N7) Horse: Post×ΔM TML (ML 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-0.026*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not generative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(N8) Placebo Post×ΔM TTM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mining (also jumped; not NLG)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(N9) Placebo Post×ΔM TIR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(N10) Comparison Post×ΔM TANY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any-AI; mixes ML and GenAI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(N11) Placebo SI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(N12) Placebo China SE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 construction services from China; BaTIS does not identify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(N13) Placebo China SJ3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(N14) Placebo Post×ΔJ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sector NLG (NACE J), not M71-containing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(N15) Placebo Post×ΔC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(N16) Placebo Post×ΔN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Administrative/support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India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0.021***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Philippines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Viet Nam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(N17) EU-8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fragile eight-country sample as TANY EU-8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(N18) Cross-section Δlog IN SJ3 22–24 on ΔTNLG 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(N19) log M71 GVA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architectural &amp; engineering GVA; GVA only to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SJ2 consulting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SJ1 R&amp;D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</w:tbl>
    <w:bookmarkEnd w:id="31"/>
    <w:bookmarkStart w:id="32" w:name="X4674d1542aea018c780f7e117e58fb6f0efc6f6"/>
    <w:p>
      <w:pPr>
        <w:pStyle w:val="Heading3"/>
      </w:pPr>
      <w:r>
        <w:t xml:space="preserve">Table 14. Event study: year × ΔM TNLG 2023–24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</w:tbl>
    <w:bookmarkEnd w:id="32"/>
    <w:bookmarkStart w:id="33" w:name="X5e74ad6f7d79c838cc9409e45a412a30096f183"/>
    <w:p>
      <w:pPr>
        <w:pStyle w:val="Heading3"/>
      </w:pPr>
      <w:r>
        <w:t xml:space="preserve">Table 15. EU-27 Eurostat AI types by NACE (% of enterprises, 10+)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</w:tbl>
    <w:bookmarkEnd w:id="33"/>
    <w:bookmarkStart w:id="34" w:name="X74b0964ca7aeac3406fbe20007ab5cc67a09e34"/>
    <w:p>
      <w:pPr>
        <w:pStyle w:val="Heading3"/>
      </w:pPr>
      <w:r>
        <w:t xml:space="preserve">Table 16. M71 industry economy under TNLG (SBS 2021–24 and nama)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(I1) log M71 turnover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(I2) log M71 employment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(I3) log M71 wages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WAGE_MEUR;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(I4) log M71 value added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-0.006***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AV_MEUR;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(I5) log M71 GOS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GOS_MEUR;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(I6) log F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F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(I7) log F employment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F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(I8) log M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(I9) log M71 turnover Post2023×ΔTNLG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(I10) Δlog≈ M71 turnover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is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(I11) M71 employment %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</w:tbl>
    <w:bookmarkEnd w:id="34"/>
    <w:bookmarkStart w:id="35" w:name="Xaace61c10f997e79b4ccc1145f4be78af115f5b"/>
    <w:p>
      <w:pPr>
        <w:pStyle w:val="Heading3"/>
      </w:pPr>
      <w:r>
        <w:t xml:space="preserve">Table 17. SBS growth, NACE M71 vs F, 2021–2024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ΔTNLG M 23–24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tables_for_article</dc:title>
  <dc:creator/>
  <dc:language>en</dc:language>
  <cp:keywords/>
  <dcterms:created xsi:type="dcterms:W3CDTF">2026-09-18T18:04:15Z</dcterms:created>
  <dcterms:modified xsi:type="dcterms:W3CDTF">2026-09-18T18:04:15Z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