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50.png" ContentType="image/png"/>
  <Override PartName="/word/media/rId107.png" ContentType="image/png"/>
  <Override PartName="/word/media/rId11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1" w:name="X52e92c4d5ce47fca8279c91070b3b322e44de81"/>
    <w:p>
      <w:pPr>
        <w:pStyle w:val="Heading1"/>
      </w:pPr>
      <w:r>
        <w:t xml:space="preserve">How Does the Civil Engineering Industry Economy Change under an AI Shock? Evidence from a Cross-Country Stack</w:t>
      </w:r>
    </w:p>
    <w:p>
      <w:pPr>
        <w:pStyle w:val="FirstParagraph"/>
      </w:pPr>
      <w:r>
        <w:t xml:space="preserve">Yuxuan Chai · University of Strathclyde ·</w:t>
      </w:r>
      <w:r>
        <w:t xml:space="preserve"> </w:t>
      </w:r>
      <w:r>
        <w:rPr>
          <w:rStyle w:val="VerbatimChar"/>
        </w:rPr>
        <w:t xml:space="preserve">yuxuanchai98@outlook.com</w:t>
      </w:r>
      <w:r>
        <w:br/>
      </w:r>
      <w:r>
        <w:t xml:space="preserve">Working paper · 17 September 2026</w:t>
      </w:r>
    </w:p>
    <w:p>
      <w:pPr>
        <w:pStyle w:val="BodyText"/>
      </w:pPr>
      <w:r>
        <w:t xml:space="preserve">This article uses</w:t>
      </w:r>
      <w:r>
        <w:t xml:space="preserve"> </w:t>
      </w:r>
      <w:r>
        <w:rPr>
          <w:bCs/>
          <w:b/>
        </w:rPr>
        <w:t xml:space="preserve">only retrieved official series</w:t>
      </w:r>
      <w:r>
        <w:t xml:space="preserve">. No occupation, M71, or GDP cell is interpolated. It is</w:t>
      </w:r>
      <w:r>
        <w:t xml:space="preserve"> </w:t>
      </w:r>
      <w:r>
        <w:rPr>
          <w:bCs/>
          <w:b/>
        </w:rPr>
        <w:t xml:space="preserve">not</w:t>
      </w:r>
      <w:r>
        <w:t xml:space="preserve"> </w:t>
      </w:r>
      <w:r>
        <w:t xml:space="preserve">a reuse of the IJCM large-language-model occupation panel. Exposure is Eloundou et al.; UK employment is ONS APS (status A); the preferred shock is Eurostat</w:t>
      </w:r>
      <w:r>
        <w:t xml:space="preserve"> </w:t>
      </w:r>
      <w:r>
        <w:rPr>
          <w:rStyle w:val="VerbatimChar"/>
        </w:rPr>
        <w:t xml:space="preserve">E_AI_TNLG</w:t>
      </w:r>
      <w:r>
        <w:t xml:space="preserve">; industry outcomes are Eurostat NACE M71; trade is OECD–WTO BaTIS.</w:t>
      </w:r>
    </w:p>
    <w:p>
      <w:pPr>
        <w:pStyle w:val="BodyText"/>
      </w:pPr>
      <w:r>
        <w:rPr>
          <w:bCs/>
          <w:b/>
        </w:rPr>
        <w:t xml:space="preserve">Claim boundary.</w:t>
      </w:r>
      <w:r>
        <w:t xml:space="preserve"> </w:t>
      </w:r>
      <w:r>
        <w:t xml:space="preserve">A decline in UK SOC 2121 does</w:t>
      </w:r>
      <w:r>
        <w:t xml:space="preserve"> </w:t>
      </w:r>
      <w:r>
        <w:rPr>
          <w:bCs/>
          <w:b/>
        </w:rPr>
        <w:t xml:space="preserve">not</w:t>
      </w:r>
      <w:r>
        <w:t xml:space="preserve"> </w:t>
      </w:r>
      <w:r>
        <w:t xml:space="preserve">identify another country’s civil-engineer counts or GDP. ILO does not publish bilateral ISCO 2142.</w:t>
      </w:r>
    </w:p>
    <w:p>
      <w:r>
        <w:pict>
          <v:rect style="width:0;height:1.5pt" o:hralign="center" o:hrstd="t" o:hr="t"/>
        </w:pict>
      </w:r>
    </w:p>
    <w:bookmarkStart w:id="20" w:name="abstract"/>
    <w:p>
      <w:pPr>
        <w:pStyle w:val="Heading2"/>
      </w:pPr>
      <w:r>
        <w:t xml:space="preserve">Abstract</w:t>
      </w:r>
    </w:p>
    <w:p>
      <w:pPr>
        <w:pStyle w:val="FirstParagraph"/>
      </w:pPr>
      <w:r>
        <w:t xml:space="preserve">How does the</w:t>
      </w:r>
      <w:r>
        <w:t xml:space="preserve"> </w:t>
      </w:r>
      <w:r>
        <w:rPr>
          <w:iCs/>
          <w:i/>
        </w:rPr>
        <w:t xml:space="preserve">civil engineering industry economy</w:t>
      </w:r>
      <w:r>
        <w:t xml:space="preserve"> </w:t>
      </w:r>
      <w:r>
        <w:t xml:space="preserve">move when generative AI arrives, and does the movement stay inside one country? This paper answers with a civil-specific stack that other AI-labour papers do not combine: (i) task exposure</w:t>
      </w:r>
      <w:r>
        <w:t xml:space="preserve"> </w:t>
      </w:r>
      <w:r>
        <w:rPr>
          <w:iCs/>
          <w:i/>
        </w:rPr>
        <w:t xml:space="preserve">inside</w:t>
      </w:r>
      <w:r>
        <w:t xml:space="preserve"> </w:t>
      </w:r>
      <w:r>
        <w:t xml:space="preserve">civil occupations; (ii) a</w:t>
      </w:r>
      <w:r>
        <w:t xml:space="preserve"> </w:t>
      </w:r>
      <w:r>
        <w:rPr>
          <w:bCs/>
          <w:b/>
        </w:rPr>
        <w:t xml:space="preserve">generative</w:t>
      </w:r>
      <w:r>
        <w:t xml:space="preserve"> </w:t>
      </w:r>
      <w:r>
        <w:t xml:space="preserve">adoption shock (Eurostat natural-language generation, E_AI_TNLG), not generic</w:t>
      </w:r>
      <w:r>
        <w:t xml:space="preserve"> </w:t>
      </w:r>
      <w:r>
        <w:t xml:space="preserve">“</w:t>
      </w:r>
      <w:r>
        <w:t xml:space="preserve">any AI</w:t>
      </w:r>
      <w:r>
        <w:t xml:space="preserve">”</w:t>
      </w:r>
      <w:r>
        <w:t xml:space="preserve">; (iii) NACE</w:t>
      </w:r>
      <w:r>
        <w:t xml:space="preserve"> </w:t>
      </w:r>
      <w:r>
        <w:rPr>
          <w:bCs/>
          <w:b/>
        </w:rPr>
        <w:t xml:space="preserve">M71</w:t>
      </w:r>
      <w:r>
        <w:t xml:space="preserve"> </w:t>
      </w:r>
      <w:r>
        <w:t xml:space="preserve">architectural and engineering activities as the industry, distinct from on-site construction (NACE F); and (iv) GATS</w:t>
      </w:r>
      <w:r>
        <w:t xml:space="preserve"> </w:t>
      </w:r>
      <w:r>
        <w:rPr>
          <w:bCs/>
          <w:b/>
        </w:rPr>
        <w:t xml:space="preserve">Mode 1</w:t>
      </w:r>
      <w:r>
        <w:t xml:space="preserve"> </w:t>
      </w:r>
      <w:r>
        <w:t xml:space="preserve">versus</w:t>
      </w:r>
      <w:r>
        <w:t xml:space="preserve"> </w:t>
      </w:r>
      <w:r>
        <w:rPr>
          <w:bCs/>
          <w:b/>
        </w:rPr>
        <w:t xml:space="preserve">Mode 3</w:t>
      </w:r>
      <w:r>
        <w:t xml:space="preserve"> </w:t>
      </w:r>
      <w:r>
        <w:t xml:space="preserve">trade.</w:t>
      </w:r>
    </w:p>
    <w:p>
      <w:pPr>
        <w:pStyle w:val="BodyText"/>
      </w:pPr>
      <w:r>
        <w:t xml:space="preserve">Occupation data already disagree with a single</w:t>
      </w:r>
      <w:r>
        <w:t xml:space="preserve"> </w:t>
      </w:r>
      <w:r>
        <w:t xml:space="preserve">“</w:t>
      </w:r>
      <w:r>
        <w:t xml:space="preserve">civil engineers collapse</w:t>
      </w:r>
      <w:r>
        <w:t xml:space="preserve">”</w:t>
      </w:r>
      <w:r>
        <w:t xml:space="preserve"> </w:t>
      </w:r>
      <w:r>
        <w:t xml:space="preserve">story. Eloundou et al.’s human GPT-exposure score is 0.52 for architectural and civil drafters, 0.477 for civil engineering technologists, and 0.375 for civil engineers. In the UK Annual Population Survey, December 2021–September 2025, CAD/drawing technicians (SOC 3120) fell 23.9%, civil engineers (2121) fell 14.3%, and building and civil technicians (3114) rose 214.5%.</w:t>
      </w:r>
    </w:p>
    <w:p>
      <w:pPr>
        <w:pStyle w:val="BodyText"/>
      </w:pPr>
      <w:r>
        <w:t xml:space="preserve">Industry and trade data disagree with a domestic boom. EU-27 professional NLG use jumped from 4.55% of enterprises in 2023 to 11.51% in 2024 and 17.74% in 2025; construction NLG stayed at 0.58, 2.42 and 3.25. On 17 EU members, post-2024 × ΔTNLG (2023–24) is</w:t>
      </w:r>
      <w:r>
        <w:t xml:space="preserve"> </w:t>
      </w:r>
      <w:r>
        <w:rPr>
          <w:bCs/>
          <w:b/>
        </w:rPr>
        <w:t xml:space="preserve">−0.007</w:t>
      </w:r>
      <w:r>
        <w:t xml:space="preserve"> </w:t>
      </w:r>
      <w:r>
        <w:t xml:space="preserve">(s.e. 0.003) on log M71 net turnover and</w:t>
      </w:r>
      <w:r>
        <w:t xml:space="preserve"> </w:t>
      </w:r>
      <w:r>
        <w:rPr>
          <w:bCs/>
          <w:b/>
        </w:rPr>
        <w:t xml:space="preserve">−0.009</w:t>
      </w:r>
      <w:r>
        <w:t xml:space="preserve"> </w:t>
      </w:r>
      <w:r>
        <w:t xml:space="preserve">on log wages; M71 employment is a precise null. Construction turnover is also negative. By contrast, UK imports of BaTIS SJ3 (technical, trade-related and other business services) from India rose from USD 2.19 billion (2019) to 4.98 billion (2024). In the EU panel, post-2024 × ΔTNLG on log Mode-1 SJ3 is 0.007</w:t>
      </w:r>
      <w:r>
        <w:rPr>
          <w:bCs/>
          <w:b/>
        </w:rPr>
        <w:t xml:space="preserve">; the India corridor is 0.021</w:t>
      </w:r>
      <w:r>
        <w:t xml:space="preserve">*. Generic any-AI (E_AI_TANY) is 0.000 (0.006). Chinese Mode-3 construction services did not reallocate toward high-NLG importers.</w:t>
      </w:r>
    </w:p>
    <w:p>
      <w:pPr>
        <w:pStyle w:val="BodyText"/>
      </w:pPr>
      <w:r>
        <w:t xml:space="preserve">The civil engineering</w:t>
      </w:r>
      <w:r>
        <w:t xml:space="preserve"> </w:t>
      </w:r>
      <w:r>
        <w:rPr>
          <w:iCs/>
          <w:i/>
        </w:rPr>
        <w:t xml:space="preserve">industry</w:t>
      </w:r>
      <w:r>
        <w:t xml:space="preserve"> </w:t>
      </w:r>
      <w:r>
        <w:t xml:space="preserve">in high-NLG Europe did not expand with the shock. The corridor that moved is Mode-1 engineering-adjacent services from India, not domestic M71 output and not China Mode 3.</w:t>
      </w:r>
    </w:p>
    <w:p>
      <w:pPr>
        <w:pStyle w:val="BodyText"/>
      </w:pPr>
      <w:r>
        <w:rPr>
          <w:bCs/>
          <w:b/>
        </w:rPr>
        <w:t xml:space="preserve">Keywords:</w:t>
      </w:r>
      <w:r>
        <w:t xml:space="preserve"> </w:t>
      </w:r>
      <w:r>
        <w:t xml:space="preserve">generative AI; civil engineering; NACE M71; Mode 1; BaTIS; Eurostat; cross-country.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sits at an awkward joint in the AI-labour literature. On the occupation side, drawings, specifications and reports look like the text-and-code tasks that large language models handle (Eloundou, Manning, Mishkin and Rock 2023, 2024; Felten, Raj and Seamans 2021). On the industry side, most of the sector’s</w:t>
      </w:r>
      <w:r>
        <w:t xml:space="preserve"> </w:t>
      </w:r>
      <w:r>
        <w:rPr>
          <w:iCs/>
          <w:i/>
        </w:rPr>
        <w:t xml:space="preserve">output</w:t>
      </w:r>
      <w:r>
        <w:t xml:space="preserve"> </w:t>
      </w:r>
      <w:r>
        <w:t xml:space="preserve">is still delivered as buildings, roads and water systems—activities whose establishments barely use AI in the Eurostat enterprise survey. Treating</w:t>
      </w:r>
      <w:r>
        <w:t xml:space="preserve"> </w:t>
      </w:r>
      <w:r>
        <w:t xml:space="preserve">“</w:t>
      </w:r>
      <w:r>
        <w:t xml:space="preserve">construction</w:t>
      </w:r>
      <w:r>
        <w:t xml:space="preserve">”</w:t>
      </w:r>
      <w:r>
        <w:t xml:space="preserve"> </w:t>
      </w:r>
      <w:r>
        <w:t xml:space="preserve">and</w:t>
      </w:r>
      <w:r>
        <w:t xml:space="preserve"> </w:t>
      </w:r>
      <w:r>
        <w:t xml:space="preserve">“</w:t>
      </w:r>
      <w:r>
        <w:t xml:space="preserve">civil engineers</w:t>
      </w:r>
      <w:r>
        <w:t xml:space="preserve">”</w:t>
      </w:r>
      <w:r>
        <w:t xml:space="preserve"> </w:t>
      </w:r>
      <w:r>
        <w:t xml:space="preserve">as one object therefore mixes two markets.</w:t>
      </w:r>
    </w:p>
    <w:p>
      <w:pPr>
        <w:pStyle w:val="BodyText"/>
      </w:pPr>
      <w:r>
        <w:t xml:space="preserve">The research question is industry-level and cross-country:</w:t>
      </w:r>
      <w:r>
        <w:t xml:space="preserve"> </w:t>
      </w:r>
      <w:r>
        <w:rPr>
          <w:bCs/>
          <w:b/>
        </w:rPr>
        <w:t xml:space="preserve">when generative AI is adopted in country A, how does the civil engineering industry economy change—in A’s own architectural and engineering firms (NACE M71), and in engineering-related trade with country B?</w:t>
      </w:r>
      <w:r>
        <w:t xml:space="preserve"> </w:t>
      </w:r>
      <w:r>
        <w:t xml:space="preserve">The paper does not claim that UK headcount in SOC 2121 causes Indian GDP.</w:t>
      </w:r>
    </w:p>
    <w:p>
      <w:pPr>
        <w:pStyle w:val="BodyText"/>
      </w:pPr>
      <w:r>
        <w:t xml:space="preserve">Three design choices follow from the literature reviewed in Section 2. First, the shock must be</w:t>
      </w:r>
      <w:r>
        <w:t xml:space="preserve"> </w:t>
      </w:r>
      <w:r>
        <w:rPr>
          <w:iCs/>
          <w:i/>
        </w:rPr>
        <w:t xml:space="preserve">generative</w:t>
      </w:r>
      <w:r>
        <w:t xml:space="preserve">. Eurostat’s catch-all indicator E_AI_TANY mixes machine learning that existed before ChatGPT with language generation that did not. The preferred intensity is E_AI_TNLG in NACE M, 2024 minus 2023. Second, the industry must be</w:t>
      </w:r>
      <w:r>
        <w:t xml:space="preserve"> </w:t>
      </w:r>
      <w:r>
        <w:rPr>
          <w:iCs/>
          <w:i/>
        </w:rPr>
        <w:t xml:space="preserve">M71</w:t>
      </w:r>
      <w:r>
        <w:t xml:space="preserve">, not ISIC F construction and not all of professional services (NACE M). Third, cross-border delivery must respect GATS modes (WTO 1994; Francois and Hoekman 2010): India, the Philippines and Viet Nam as Mode-1 candidates for drawings and calculations; China as Mode-3 construction services (BaTIS SE).</w:t>
      </w:r>
    </w:p>
    <w:p>
      <w:pPr>
        <w:pStyle w:val="BodyText"/>
      </w:pPr>
      <w:r>
        <w:t xml:space="preserve">The contribution is empirical stacking, not a new theory of AI. Relative to occupation-exposure maps (Felten et al. 2021; Webb 2020; Eloundou et al. 2024; ILO and NASK 2023) the paper adds</w:t>
      </w:r>
      <w:r>
        <w:t xml:space="preserve"> </w:t>
      </w:r>
      <w:r>
        <w:rPr>
          <w:iCs/>
          <w:i/>
        </w:rPr>
        <w:t xml:space="preserve">realised</w:t>
      </w:r>
      <w:r>
        <w:t xml:space="preserve"> </w:t>
      </w:r>
      <w:r>
        <w:t xml:space="preserve">adoption and</w:t>
      </w:r>
      <w:r>
        <w:t xml:space="preserve"> </w:t>
      </w:r>
      <w:r>
        <w:rPr>
          <w:iCs/>
          <w:i/>
        </w:rPr>
        <w:t xml:space="preserve">industry</w:t>
      </w:r>
      <w:r>
        <w:t xml:space="preserve"> </w:t>
      </w:r>
      <w:r>
        <w:t xml:space="preserve">accounts. Relative to firm-level generative-AI experiments (Noy and Zhang 2023; Brynjolfsson, Li and Raymond 2025; Dell’Acqua et al. 2023) it adds a 17-country industry and trade panel. Relative to offshoring theory (Blinder 2006; Grossman and Rossi-Hansberg 2008; Baldwin 2016, 2019) it adds a civil-specific mode split and a placebo on computer services.</w:t>
      </w:r>
    </w:p>
    <w:p>
      <w:pPr>
        <w:pStyle w:val="BodyText"/>
      </w:pPr>
      <w:r>
        <w:t xml:space="preserve">Replication files are in</w:t>
      </w:r>
      <w:r>
        <w:t xml:space="preserve"> </w:t>
      </w:r>
      <w:r>
        <w:rPr>
          <w:rStyle w:val="VerbatimChar"/>
        </w:rPr>
        <w:t xml:space="preserve">Study4_COMPLETE_ENGLISH/</w:t>
      </w:r>
      <w:r>
        <w:t xml:space="preserve"> </w:t>
      </w:r>
      <w:r>
        <w:t xml:space="preserve">(English article, figures 1–21, tables, data, and the complete zip in the same folder). Missing series are catalogued in</w:t>
      </w:r>
      <w:r>
        <w:t xml:space="preserve"> </w:t>
      </w:r>
      <w:r>
        <w:rPr>
          <w:rStyle w:val="VerbatimChar"/>
        </w:rPr>
        <w:t xml:space="preserve">DATA_INVENTORY.md</w:t>
      </w:r>
      <w:r>
        <w:t xml:space="preserve">; their absence is part of the claim boundary.</w:t>
      </w:r>
    </w:p>
    <w:p>
      <w:r>
        <w:pict>
          <v:rect style="width:0;height:1.5pt" o:hralign="center" o:hrstd="t" o:hr="t"/>
        </w:pict>
      </w:r>
    </w:p>
    <w:bookmarkEnd w:id="21"/>
    <w:bookmarkStart w:id="28" w:name="literature-review"/>
    <w:p>
      <w:pPr>
        <w:pStyle w:val="Heading2"/>
      </w:pPr>
      <w:r>
        <w:t xml:space="preserve">2. Literature review</w:t>
      </w:r>
    </w:p>
    <w:bookmarkStart w:id="22" w:name="X73d50b3ec8079d6a9cfa5eb5d1f5152493db6f8"/>
    <w:p>
      <w:pPr>
        <w:pStyle w:val="Heading3"/>
      </w:pPr>
      <w:r>
        <w:t xml:space="preserve">2.1 Task-based technical change, not occupation disappearance</w:t>
      </w:r>
    </w:p>
    <w:p>
      <w:pPr>
        <w:pStyle w:val="FirstParagraph"/>
      </w:pPr>
      <w:r>
        <w:t xml:space="preserve">Autor, Levy and Murnane (2003) shifted empirical work from</w:t>
      </w:r>
      <w:r>
        <w:t xml:space="preserve"> </w:t>
      </w:r>
      <w:r>
        <w:t xml:space="preserve">“</w:t>
      </w:r>
      <w:r>
        <w:t xml:space="preserve">which occupations computers replace</w:t>
      </w:r>
      <w:r>
        <w:t xml:space="preserve">”</w:t>
      </w:r>
      <w:r>
        <w:t xml:space="preserve"> </w:t>
      </w:r>
      <w:r>
        <w:t xml:space="preserve">to</w:t>
      </w:r>
      <w:r>
        <w:t xml:space="preserve"> </w:t>
      </w:r>
      <w:r>
        <w:t xml:space="preserve">“</w:t>
      </w:r>
      <w:r>
        <w:t xml:space="preserve">which</w:t>
      </w:r>
      <w:r>
        <w:t xml:space="preserve"> </w:t>
      </w:r>
      <w:r>
        <w:rPr>
          <w:iCs/>
          <w:i/>
        </w:rPr>
        <w:t xml:space="preserve">tasks</w:t>
      </w:r>
      <w:r>
        <w:t xml:space="preserve"> </w:t>
      </w:r>
      <w:r>
        <w:t xml:space="preserve">are routine.</w:t>
      </w:r>
      <w:r>
        <w:t xml:space="preserve">”</w:t>
      </w:r>
      <w:r>
        <w:t xml:space="preserve"> </w:t>
      </w:r>
      <w:r>
        <w:t xml:space="preserve">Autor (2015) emphasised that automation often raises the value of complementary non-routine work. Acemoglu and Restrepo (2018, 2019, 2020) distinguish displacement from reinstatement: new tasks can offset lost ones, so industry employment need not fall when a technology arrives. That is the right prior for civil engineering. Draughting and clause-drafting are more exposed than site supervision and statutory sign-off; a fall in CAD technicians can coexist with stable or rising technician grades that interface with software (Section 4.1).</w:t>
      </w:r>
    </w:p>
    <w:p>
      <w:pPr>
        <w:pStyle w:val="BodyText"/>
      </w:pPr>
      <w:r>
        <w:t xml:space="preserve">Acemoglu, Autor, Hazell and Restrepo (2022) find, for the United States before ChatGPT, limited employment effects of AI-related vacancies outside a few exposed occupations. The implication for this paper is that</w:t>
      </w:r>
      <w:r>
        <w:t xml:space="preserve"> </w:t>
      </w:r>
      <w:r>
        <w:rPr>
          <w:bCs/>
          <w:b/>
        </w:rPr>
        <w:t xml:space="preserve">occupation exposure is not industry incidence</w:t>
      </w:r>
      <w:r>
        <w:t xml:space="preserve">. Felten industry scores (AIIE) for NAICS 23 construction are mostly negative (Table 12c, Figure 11), matching Eurostat: construction enterprises rarely use AI. The professional M71 story cannot be read off construction-robot papers.</w:t>
      </w:r>
    </w:p>
    <w:bookmarkEnd w:id="22"/>
    <w:bookmarkStart w:id="23" w:name="Xd1248fc801dbf5de2c3dfb8f6ffe4d9488657f2"/>
    <w:p>
      <w:pPr>
        <w:pStyle w:val="Heading3"/>
      </w:pPr>
      <w:r>
        <w:t xml:space="preserve">2.2 Measuring AI exposure: AIOE, Webb, Eloundou, ILO–NASK</w:t>
      </w:r>
    </w:p>
    <w:p>
      <w:pPr>
        <w:pStyle w:val="FirstParagraph"/>
      </w:pPr>
      <w:r>
        <w:t xml:space="preserve">Felten, Raj and Seamans (2018, 2021) overlap O</w:t>
      </w:r>
      <w:r>
        <w:rPr>
          <w:iCs/>
          <w:i/>
        </w:rPr>
        <w:t xml:space="preserve">NET abilities with AI progress (AIOE) and build industry scores (AIIE). Webb (2020) overlaps patents with occupation task text. Eloundou et al. (2023, 2024) score O</w:t>
      </w:r>
      <w:r>
        <w:t xml:space="preserve">NET tasks for GPT exposure with humans and with models; the occupation-level</w:t>
      </w:r>
      <w:r>
        <w:t xml:space="preserve"> </w:t>
      </w:r>
      <w:r>
        <w:rPr>
          <w:rStyle w:val="VerbatimChar"/>
        </w:rPr>
        <w:t xml:space="preserve">occ_level.csv</w:t>
      </w:r>
      <w:r>
        <w:t xml:space="preserve"> </w:t>
      </w:r>
      <w:r>
        <w:t xml:space="preserve">is the exposure file used here. ILO and NASK (2023) apply a similar logic to ISCO-08: civil engineers (2142) are classified</w:t>
      </w:r>
      <w:r>
        <w:t xml:space="preserve"> </w:t>
      </w:r>
      <w:r>
        <w:rPr>
          <w:bCs/>
          <w:b/>
        </w:rPr>
        <w:t xml:space="preserve">Not Exposed</w:t>
      </w:r>
      <w:r>
        <w:t xml:space="preserve">, with a mean score of 0.30 in their published summary—licensed judgement and site coordination dominate.</w:t>
      </w:r>
    </w:p>
    <w:p>
      <w:pPr>
        <w:pStyle w:val="BodyText"/>
      </w:pPr>
      <w:r>
        <w:t xml:space="preserve">These instruments</w:t>
      </w:r>
      <w:r>
        <w:t xml:space="preserve"> </w:t>
      </w:r>
      <w:r>
        <w:rPr>
          <w:bCs/>
          <w:b/>
        </w:rPr>
        <w:t xml:space="preserve">do not rank civil occupations the same way</w:t>
      </w:r>
      <w:r>
        <w:t xml:space="preserve">. In the files already in</w:t>
      </w:r>
      <w:r>
        <w:t xml:space="preserve"> </w:t>
      </w:r>
      <w:r>
        <w:rPr>
          <w:rStyle w:val="VerbatimChar"/>
        </w:rPr>
        <w:t xml:space="preserve">Data_IJCM/04_external_indices/</w:t>
      </w:r>
      <w:r>
        <w:t xml:space="preserve">, Felten AIOE (2021, pre-ChatGPT applications) scores civil engineers at 1.283, above drafters (0.923) and civil engineering technicians (0.932). Eloundou β_human, ONS automation probabilities (ONS 2019) and an earlier LLM panel reverse that ranking for CAD versus licensed engineers (Table 12). UK APS 2021–25 follows the</w:t>
      </w:r>
      <w:r>
        <w:t xml:space="preserve"> </w:t>
      </w:r>
      <w:r>
        <w:rPr>
          <w:iCs/>
          <w:i/>
        </w:rPr>
        <w:t xml:space="preserve">generative</w:t>
      </w:r>
      <w:r>
        <w:t xml:space="preserve"> </w:t>
      </w:r>
      <w:r>
        <w:t xml:space="preserve">ranking for CAD versus 2121, not 2021 AIOE. Technicians are high on Eloundou and ONS automation but</w:t>
      </w:r>
      <w:r>
        <w:t xml:space="preserve"> </w:t>
      </w:r>
      <w:r>
        <w:rPr>
          <w:iCs/>
          <w:i/>
        </w:rPr>
        <w:t xml:space="preserve">rose</w:t>
      </w:r>
      <w:r>
        <w:t xml:space="preserve"> </w:t>
      </w:r>
      <w:r>
        <w:t xml:space="preserve">214.5%—exposure is not incidence (Autor 2015).</w:t>
      </w:r>
    </w:p>
    <w:p>
      <w:pPr>
        <w:pStyle w:val="BodyText"/>
      </w:pPr>
      <w:r>
        <w:t xml:space="preserve">Goldfarb, Taska and Teodoridis (2023) and related vacancy studies show that AI skill demand is concentrated in a few firms and occupations. That cautions against using a national Copilot share as a civil-industry shock. Microsoft’s 2025–26 AI user-share snapshot is therefore kept as context, not as the 2015–24 DiD intensity (years do not overlap BaTIS).</w:t>
      </w:r>
    </w:p>
    <w:bookmarkEnd w:id="23"/>
    <w:bookmarkStart w:id="24" w:name="generative-ai-as-a-labour-market-shock"/>
    <w:p>
      <w:pPr>
        <w:pStyle w:val="Heading3"/>
      </w:pPr>
      <w:r>
        <w:t xml:space="preserve">2.3 Generative AI as a labour-market shock</w:t>
      </w:r>
    </w:p>
    <w:p>
      <w:pPr>
        <w:pStyle w:val="FirstParagraph"/>
      </w:pPr>
      <w: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t xml:space="preserve"> </w:t>
      </w:r>
      <w:r>
        <w:t xml:space="preserve">“</w:t>
      </w:r>
      <w:r>
        <w:t xml:space="preserve">jagged frontier</w:t>
      </w:r>
      <w:r>
        <w:t xml:space="preserve">”</w:t>
      </w:r>
      <w:r>
        <w:t xml:space="preserve">: AI helps some knowledge tasks and fails on others inside the same job. Hui, Reshef and Zhou (2024) study freelance coding after Copilot.</w:t>
      </w:r>
    </w:p>
    <w:p>
      <w:pPr>
        <w:pStyle w:val="BodyText"/>
      </w:pPr>
      <w:r>
        <w:t xml:space="preserve">Two lessons matter for civil engineering. First,</w:t>
      </w:r>
      <w:r>
        <w:t xml:space="preserve"> </w:t>
      </w:r>
      <w:r>
        <w:rPr>
          <w:bCs/>
          <w:b/>
        </w:rPr>
        <w:t xml:space="preserve">text and drawing tasks</w:t>
      </w:r>
      <w:r>
        <w:t xml:space="preserve"> </w:t>
      </w:r>
      <w:r>
        <w:t xml:space="preserve">(specifications, CAD annotation, quantity take-off assistance) sit on the helped side of the jagged frontier;</w:t>
      </w:r>
      <w:r>
        <w:t xml:space="preserve"> </w:t>
      </w:r>
      <w:r>
        <w:rPr>
          <w:bCs/>
          <w:b/>
        </w:rPr>
        <w:t xml:space="preserve">stamp, liability and site</w:t>
      </w:r>
      <w:r>
        <w:t xml:space="preserve"> </w:t>
      </w:r>
      <w:r>
        <w:t xml:space="preserve">sit on the other. Second,</w:t>
      </w:r>
      <w:r>
        <w:t xml:space="preserve"> </w:t>
      </w:r>
      <w:r>
        <w:rPr>
          <w:bCs/>
          <w:b/>
        </w:rPr>
        <w:t xml:space="preserve">firm experiments are not industry accounts</w:t>
      </w:r>
      <w:r>
        <w:t xml:space="preserve">. A draughtsman who finishes a drawing faster may reduce billed hours (turnover) without reducing headcount, which is exactly the SBS pattern in Section 4.4: wages and turnover grow more slowly where NLG jumped; employment does not.</w:t>
      </w:r>
    </w:p>
    <w:p>
      <w:pPr>
        <w:pStyle w:val="BodyText"/>
      </w:pPr>
      <w:r>
        <w:t xml:space="preserve">Agrawal, Gans and Goldfarb (2018, 2022) frame AI as cheaper prediction. Korinek and Stiglitz (2021) and Acemoglu (2025, policy writing on complementary AI) warn that the distribution of gains depends on whether AI automates or augments. This paper does not estimate welfare. It asks which</w:t>
      </w:r>
      <w:r>
        <w:t xml:space="preserve"> </w:t>
      </w:r>
      <w:r>
        <w:rPr>
          <w:iCs/>
          <w:i/>
        </w:rPr>
        <w:t xml:space="preserve">measured</w:t>
      </w:r>
      <w:r>
        <w:t xml:space="preserve"> </w:t>
      </w:r>
      <w:r>
        <w:t xml:space="preserve">industry aggregates moved.</w:t>
      </w:r>
    </w:p>
    <w:bookmarkEnd w:id="24"/>
    <w:bookmarkStart w:id="25" w:name="offshoring-tradable-tasks-and-gats-modes"/>
    <w:p>
      <w:pPr>
        <w:pStyle w:val="Heading3"/>
      </w:pPr>
      <w:r>
        <w:t xml:space="preserve">2.4 Offshoring, tradable tasks, and GATS modes</w:t>
      </w:r>
    </w:p>
    <w:p>
      <w:pPr>
        <w:pStyle w:val="FirstParagraph"/>
      </w:pPr>
      <w:r>
        <w:t xml:space="preserve">Blinder (2006) argued that whatever can be delivered down a wire is potentially offshorable. Grossman and Rossi-Hansberg (2008) model trade in</w:t>
      </w:r>
      <w:r>
        <w:t xml:space="preserve"> </w:t>
      </w:r>
      <w:r>
        <w:rPr>
          <w:iCs/>
          <w:i/>
        </w:rPr>
        <w:t xml:space="preserve">tasks</w:t>
      </w:r>
      <w: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pPr>
      <w:r>
        <w:t xml:space="preserve">For civil engineering the mode split is not a footnote.</w:t>
      </w:r>
      <w:r>
        <w:t xml:space="preserve"> </w:t>
      </w:r>
      <w:r>
        <w:rPr>
          <w:bCs/>
          <w:b/>
        </w:rPr>
        <w:t xml:space="preserve">Drawings and calculations</w:t>
      </w:r>
      <w:r>
        <w:t xml:space="preserve"> </w:t>
      </w:r>
      <w:r>
        <w:t xml:space="preserve">can move as Mode 1 from India.</w:t>
      </w:r>
      <w:r>
        <w:t xml:space="preserve"> </w:t>
      </w:r>
      <w:r>
        <w:rPr>
          <w:bCs/>
          <w:b/>
        </w:rPr>
        <w:t xml:space="preserve">Contracting on a site</w:t>
      </w:r>
      <w:r>
        <w:t xml:space="preserve"> </w:t>
      </w:r>
      <w:r>
        <w:t xml:space="preserve">is Mode 3 (or goods-plus-construction). Mixing them in</w:t>
      </w:r>
      <w:r>
        <w:t xml:space="preserve"> </w:t>
      </w:r>
      <w:r>
        <w:t xml:space="preserve">“</w:t>
      </w:r>
      <w:r>
        <w:t xml:space="preserve">construction AI</w:t>
      </w:r>
      <w:r>
        <w:t xml:space="preserve">”</w:t>
      </w:r>
      <w:r>
        <w:t xml:space="preserve"> </w:t>
      </w:r>
      <w:r>
        <w:t xml:space="preserve">regressions is a specification error. OECD–WTO BaTIS balanced statistics (Fortanier, Liberatore, Maurer and Pilgrim 2017; OECD–WTO documentation) provide bilateral EBOPS headings. The finest published heading that still covers engineering-adjacent professional work in this pull is</w:t>
      </w:r>
      <w:r>
        <w:t xml:space="preserve"> </w:t>
      </w:r>
      <w:r>
        <w:rPr>
          <w:bCs/>
          <w:b/>
        </w:rPr>
        <w:t xml:space="preserve">SJ3</w:t>
      </w:r>
      <w:r>
        <w:t xml:space="preserve"> </w:t>
      </w:r>
      <w:r>
        <w:t xml:space="preserve">(technical, trade-related and other business services).</w:t>
      </w:r>
      <w:r>
        <w:t xml:space="preserve"> </w:t>
      </w:r>
      <w:r>
        <w:rPr>
          <w:bCs/>
          <w:b/>
        </w:rPr>
        <w:t xml:space="preserve">SJ311/SJ312</w:t>
      </w:r>
      <w:r>
        <w:t xml:space="preserve"> </w:t>
      </w:r>
      <w:r>
        <w:t xml:space="preserve">(architectural and engineering services) are not in BaTIS (HTTP 404). SJ3 is therefore a ceiling, not a civil invoice.</w:t>
      </w:r>
    </w:p>
    <w:p>
      <w:pPr>
        <w:pStyle w:val="BodyText"/>
      </w:pPr>
      <w:r>
        <w:t xml:space="preserve">Computer services (SI) are the natural digital placebo: if the result is</w:t>
      </w:r>
      <w:r>
        <w:t xml:space="preserve"> </w:t>
      </w:r>
      <w:r>
        <w:t xml:space="preserve">“</w:t>
      </w:r>
      <w:r>
        <w:t xml:space="preserve">any remote professional work,</w:t>
      </w:r>
      <w:r>
        <w:t xml:space="preserve">”</w:t>
      </w:r>
      <w:r>
        <w:t xml:space="preserve"> </w:t>
      </w:r>
      <w:r>
        <w:t xml:space="preserve">SI should move with TNLG; it does not (Table 13). Consulting (SJ2) and R&amp;D (SJ1) are neighbouring professional placebos.</w:t>
      </w:r>
    </w:p>
    <w:bookmarkEnd w:id="25"/>
    <w:bookmarkStart w:id="26" w:name="X3559a0a6390b414caf7a0c25e996c1e7dec9dad"/>
    <w:p>
      <w:pPr>
        <w:pStyle w:val="Heading3"/>
      </w:pPr>
      <w:r>
        <w:t xml:space="preserve">2.5 Construction economics versus professional engineering</w:t>
      </w:r>
    </w:p>
    <w:p>
      <w:pPr>
        <w:pStyle w:val="FirstParagraph"/>
      </w:pPr>
      <w: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t xml:space="preserve"> </w:t>
      </w:r>
      <w:r>
        <w:rPr>
          <w:iCs/>
          <w:i/>
        </w:rPr>
        <w:t xml:space="preserve">design and coordination</w:t>
      </w:r>
      <w:r>
        <w:t xml:space="preserve">, which live in NACE M71 and related consultancies, not necessarily in NACE F. Whyte and colleagues on digital delivery similarly locate the information model in professional organisations.</w:t>
      </w:r>
    </w:p>
    <w:p>
      <w:pPr>
        <w:pStyle w:val="BodyText"/>
      </w:pPr>
      <w:r>
        <w:t xml:space="preserve">Eurostat confirms the split. In 2024, EU-27 E_AI_TANY was 42-ish percent in high-M countries’ professional services versus single digits on construction sites (Table 3). NLG is even more skewed (Table 15, Figures 12–13, 16). Felten AIIE for highway and heavy-civil contractors is negative.</w:t>
      </w:r>
      <w:r>
        <w:t xml:space="preserve"> </w:t>
      </w:r>
      <w:r>
        <w:rPr>
          <w:bCs/>
          <w:b/>
        </w:rPr>
        <w:t xml:space="preserve">On-site construction is the placebo industry, not the treatment industry.</w:t>
      </w:r>
    </w:p>
    <w:bookmarkEnd w:id="26"/>
    <w:bookmarkStart w:id="27" w:name="X3220a9eb3f56e35a7c39394853b2981663b2420"/>
    <w:p>
      <w:pPr>
        <w:pStyle w:val="Heading3"/>
      </w:pPr>
      <w:r>
        <w:t xml:space="preserve">2.6 What is missing in existing AI–construction papers</w:t>
      </w:r>
    </w:p>
    <w:p>
      <w:pPr>
        <w:pStyle w:val="FirstParagraph"/>
      </w:pPr>
      <w:r>
        <w:t xml:space="preserve">Most AI-and-construction papers are either (a) occupation checklists without trade or M71 accounts, or (b) case studies of BIM/ChatGPT on a project. Macro AI-and-growth papers (e.g. cross-country regressions of GDP on AI patents or internet use) do not isolate civil engineering. Vacancy studies do not observe Mode-1 SJ3. This paper’s gap is therefore:</w:t>
      </w:r>
      <w:r>
        <w:t xml:space="preserve"> </w:t>
      </w:r>
      <w:r>
        <w:rPr>
          <w:bCs/>
          <w:b/>
        </w:rPr>
        <w:t xml:space="preserve">a dated generative shock × M71 industry economy × mode-split trade × placebos</w:t>
      </w:r>
      <w:r>
        <w:t xml:space="preserve">, with an explicit list of series that statistical agencies do not publish (M71 AI survey; bilateral ISCO 2142; BaTIS SJ312; ILO M71 for China/India).</w:t>
      </w:r>
    </w:p>
    <w:p>
      <w:r>
        <w:pict>
          <v:rect style="width:0;height:1.5pt" o:hralign="center" o:hrstd="t" o:hr="t"/>
        </w:pict>
      </w:r>
    </w:p>
    <w:bookmarkEnd w:id="27"/>
    <w:bookmarkEnd w:id="28"/>
    <w:bookmarkStart w:id="33" w:name="data"/>
    <w:p>
      <w:pPr>
        <w:pStyle w:val="Heading2"/>
      </w:pPr>
      <w:r>
        <w:t xml:space="preserve">3. Data</w:t>
      </w:r>
    </w:p>
    <w:p>
      <w:pPr>
        <w:pStyle w:val="FirstParagraph"/>
      </w:pPr>
      <w:r>
        <w:t xml:space="preserve">All files are in</w:t>
      </w:r>
      <w:r>
        <w:t xml:space="preserve"> </w:t>
      </w:r>
      <w:r>
        <w:rPr>
          <w:rStyle w:val="VerbatimChar"/>
        </w:rPr>
        <w:t xml:space="preserve">data/</w:t>
      </w:r>
      <w:r>
        <w:t xml:space="preserve"> </w:t>
      </w:r>
      <w:r>
        <w:t xml:space="preserve">of the replication package. Retrieval dates are in</w:t>
      </w:r>
      <w:r>
        <w:t xml:space="preserve"> </w:t>
      </w:r>
      <w:r>
        <w:rPr>
          <w:rStyle w:val="VerbatimChar"/>
        </w:rPr>
        <w:t xml:space="preserve">DATA_SOURCES.md</w:t>
      </w:r>
      <w:r>
        <w:t xml:space="preserve">. Table A in the inventory file records failed pulls (OWID ChatGPT CSVs, IMF AIPI empty JSON, OECD ICT_BUS 404, ILO M71 404). Failed pulls are not filled.</w:t>
      </w:r>
    </w:p>
    <w:bookmarkStart w:id="29" w:name="occupation-exposure-and-uk-employment"/>
    <w:p>
      <w:pPr>
        <w:pStyle w:val="Heading3"/>
      </w:pPr>
      <w:r>
        <w:t xml:space="preserve">3.1 Occupation exposure and UK employment</w:t>
      </w:r>
    </w:p>
    <w:p>
      <w:pPr>
        <w:pStyle w:val="FirstParagraph"/>
      </w:pPr>
      <w:r>
        <w:t xml:space="preserve">Eloundou occupation scores:</w:t>
      </w:r>
      <w:r>
        <w:t xml:space="preserve"> </w:t>
      </w:r>
      <w:r>
        <w:rPr>
          <w:rStyle w:val="VerbatimChar"/>
        </w:rPr>
        <w:t xml:space="preserve">eloundou_occ_level.csv</w:t>
      </w:r>
      <w:r>
        <w:t xml:space="preserve">. Matches used: SOC 2121 → O*NET 17-2051; 3114 → 17-3022; 3120 → 17-3011 (Table 1). Other APS civil-adjacent unit groups are reported unmatched (Table 2).</w:t>
      </w:r>
    </w:p>
    <w:p>
      <w:pPr>
        <w:pStyle w:val="BodyText"/>
      </w:pPr>
      <w:r>
        <w:t xml:space="preserve">ONS APS SOC 2020 employment, status A only, December 2021–September 2025, from the extract already in</w:t>
      </w:r>
      <w:r>
        <w:t xml:space="preserve"> </w:t>
      </w:r>
      <w:r>
        <w:rPr>
          <w:rStyle w:val="VerbatimChar"/>
        </w:rPr>
        <w:t xml:space="preserve">Data_IJCM/04_external_indices/</w:t>
      </w:r>
      <w:r>
        <w:t xml:space="preserve">. Felten AIOE/AIIE workbooks and ONS automation probabilities are copied to</w:t>
      </w:r>
      <w:r>
        <w:t xml:space="preserve"> </w:t>
      </w:r>
      <w:r>
        <w:rPr>
          <w:rStyle w:val="VerbatimChar"/>
        </w:rPr>
        <w:t xml:space="preserve">data/from_legacy_study4/</w:t>
      </w:r>
      <w:r>
        <w:t xml:space="preserve"> </w:t>
      </w:r>
      <w:r>
        <w:t xml:space="preserve">and used as</w:t>
      </w:r>
      <w:r>
        <w:t xml:space="preserve"> </w:t>
      </w:r>
      <w:r>
        <w:rPr>
          <w:bCs/>
          <w:b/>
        </w:rPr>
        <w:t xml:space="preserve">additional instruments</w:t>
      </w:r>
      <w:r>
        <w:t xml:space="preserve"> </w:t>
      </w:r>
      <w:r>
        <w:t xml:space="preserve">(Table 12, Figures 10–11), not as the DiD shock.</w:t>
      </w:r>
    </w:p>
    <w:bookmarkEnd w:id="29"/>
    <w:bookmarkStart w:id="30" w:name="ai-shock"/>
    <w:p>
      <w:pPr>
        <w:pStyle w:val="Heading3"/>
      </w:pPr>
      <w:r>
        <w:t xml:space="preserve">3.2 AI shock</w:t>
      </w:r>
    </w:p>
    <w:p>
      <w:pPr>
        <w:pStyle w:val="FirstParagraph"/>
      </w:pPr>
      <w:r>
        <w:t xml:space="preserve">Eurostat</w:t>
      </w:r>
      <w:r>
        <w:t xml:space="preserve"> </w:t>
      </w:r>
      <w:r>
        <w:rPr>
          <w:rStyle w:val="VerbatimChar"/>
        </w:rPr>
        <w:t xml:space="preserve">isoc_eb_ain2</w:t>
      </w:r>
      <w:r>
        <w:t xml:space="preserve">, enterprises with 10+ persons, percent using AI:</w:t>
      </w:r>
    </w:p>
    <w:p>
      <w:pPr>
        <w:numPr>
          <w:ilvl w:val="0"/>
          <w:numId w:val="1001"/>
        </w:numPr>
        <w:pStyle w:val="Compact"/>
      </w:pPr>
      <w:r>
        <w:t xml:space="preserve">E_AI_TANY, NACE F and M: generic comparison (</w:t>
      </w:r>
      <w:r>
        <w:rPr>
          <w:rStyle w:val="VerbatimChar"/>
        </w:rPr>
        <w:t xml:space="preserve">eurostat_ai_raw.csv</w:t>
      </w:r>
      <w:r>
        <w:t xml:space="preserve">).</w:t>
      </w:r>
    </w:p>
    <w:p>
      <w:pPr>
        <w:numPr>
          <w:ilvl w:val="0"/>
          <w:numId w:val="1001"/>
        </w:numPr>
        <w:pStyle w:val="Compact"/>
      </w:pPr>
      <w:r>
        <w:t xml:space="preserve">E_AI_TNLG, TML, TTM, TIR, TPVSG, NACE F and M: generative and technology placebos (</w:t>
      </w:r>
      <w:r>
        <w:rPr>
          <w:rStyle w:val="VerbatimChar"/>
        </w:rPr>
        <w:t xml:space="preserve">eurostat_ai_genai_types.csv</w:t>
      </w:r>
      <w:r>
        <w:t xml:space="preserve">). TPVSG (pictures/video/sound) exists for</w:t>
      </w:r>
      <w:r>
        <w:t xml:space="preserve"> </w:t>
      </w:r>
      <w:r>
        <w:rPr>
          <w:bCs/>
          <w:b/>
        </w:rPr>
        <w:t xml:space="preserve">2025 only</w:t>
      </w:r>
      <w:r>
        <w:t xml:space="preserve">.</w:t>
      </w:r>
    </w:p>
    <w:p>
      <w:pPr>
        <w:numPr>
          <w:ilvl w:val="0"/>
          <w:numId w:val="1001"/>
        </w:numPr>
        <w:pStyle w:val="Compact"/>
      </w:pPr>
      <w:r>
        <w:t xml:space="preserve">Same indicators, NACE C, J, N: sector placebos (</w:t>
      </w:r>
      <w:r>
        <w:rPr>
          <w:rStyle w:val="VerbatimChar"/>
        </w:rPr>
        <w:t xml:space="preserve">eurostat_ai_nace_placebos.csv</w:t>
      </w:r>
      <w:r>
        <w:t xml:space="preserve">). NACE K (finance) is empty.</w:t>
      </w:r>
      <w:r>
        <w:t xml:space="preserve"> </w:t>
      </w:r>
      <w:r>
        <w:rPr>
          <w:bCs/>
          <w:b/>
        </w:rPr>
        <w:t xml:space="preserve">NACE M71 is not in the survey</w:t>
      </w:r>
      <w:r>
        <w:t xml:space="preserve"> </w:t>
      </w:r>
      <w:r>
        <w:t xml:space="preserve">(HTTP 400). NACE M is the finest cell that contains M71 firms.</w:t>
      </w:r>
    </w:p>
    <w:p>
      <w:pPr>
        <w:pStyle w:val="FirstParagraph"/>
      </w:pPr>
      <w:r>
        <w:rPr>
          <w:bCs/>
          <w:b/>
        </w:rPr>
        <w:t xml:space="preserve">Preferred shock:</w:t>
      </w:r>
      <w:r>
        <w:t xml:space="preserve"> </w:t>
      </w:r>
      <w:r>
        <w:t xml:space="preserve">ΔTNLG in NACE M, 2024 minus 2023. EU-27 M: 2.60 (2021), 4.55 (2023), 11.51 (2024), 17.74 (2025). Construction: 0.99, 0.58, 2.42, 3.25.</w:t>
      </w:r>
    </w:p>
    <w:bookmarkEnd w:id="30"/>
    <w:bookmarkStart w:id="31" w:name="civil-industry-economy"/>
    <w:p>
      <w:pPr>
        <w:pStyle w:val="Heading3"/>
      </w:pPr>
      <w:r>
        <w:t xml:space="preserve">3.3 Civil industry economy</w:t>
      </w:r>
    </w:p>
    <w:p>
      <w:pPr>
        <w:numPr>
          <w:ilvl w:val="0"/>
          <w:numId w:val="1002"/>
        </w:numPr>
        <w:pStyle w:val="Compact"/>
      </w:pPr>
      <w:r>
        <w:t xml:space="preserve">National accounts</w:t>
      </w:r>
      <w:r>
        <w:t xml:space="preserve"> </w:t>
      </w:r>
      <w:r>
        <w:rPr>
          <w:rStyle w:val="VerbatimChar"/>
        </w:rPr>
        <w:t xml:space="preserve">nama_10_a64</w:t>
      </w:r>
      <w:r>
        <w:t xml:space="preserve"> </w:t>
      </w:r>
      <w:r>
        <w:t xml:space="preserve">/</w:t>
      </w:r>
      <w:r>
        <w:t xml:space="preserve"> </w:t>
      </w:r>
      <w:r>
        <w:rPr>
          <w:rStyle w:val="VerbatimChar"/>
        </w:rPr>
        <w:t xml:space="preserve">_e</w:t>
      </w:r>
      <w:r>
        <w:t xml:space="preserve">: GVA, employment, compensation (D1), output (P1) for M71, F, M. UK M71 GVA/D1 stop in</w:t>
      </w:r>
      <w:r>
        <w:t xml:space="preserve"> </w:t>
      </w:r>
      <w:r>
        <w:rPr>
          <w:bCs/>
          <w:b/>
        </w:rPr>
        <w:t xml:space="preserve">2018</w:t>
      </w:r>
      <w:r>
        <w:t xml:space="preserve">.</w:t>
      </w:r>
    </w:p>
    <w:p>
      <w:pPr>
        <w:numPr>
          <w:ilvl w:val="0"/>
          <w:numId w:val="1002"/>
        </w:numPr>
        <w:pStyle w:val="Compact"/>
      </w:pPr>
      <w:r>
        <w:t xml:space="preserve">Structural business statistics</w:t>
      </w:r>
      <w:r>
        <w:t xml:space="preserve"> </w:t>
      </w:r>
      <w:r>
        <w:rPr>
          <w:rStyle w:val="VerbatimChar"/>
        </w:rPr>
        <w:t xml:space="preserve">sbs_ovw_act</w:t>
      </w:r>
      <w:r>
        <w:t xml:space="preserve"> </w:t>
      </w:r>
      <w:r>
        <w:t xml:space="preserve">and</w:t>
      </w:r>
      <w:r>
        <w:t xml:space="preserve"> </w:t>
      </w:r>
      <w:r>
        <w:rPr>
          <w:rStyle w:val="VerbatimChar"/>
        </w:rPr>
        <w:t xml:space="preserve">sbs_sc_ovw</w:t>
      </w:r>
      <w:r>
        <w:t xml:space="preserve">: M71 vs F vs M, 2021–</w:t>
      </w:r>
      <w:r>
        <w:rPr>
          <w:bCs/>
          <w:b/>
        </w:rPr>
        <w:t xml:space="preserve">2024</w:t>
      </w:r>
      <w:r>
        <w:t xml:space="preserve">, net turnover, persons employed, wages, value added, GOS. This is the industry-economy file that overlaps the 2024 NLG year.</w:t>
      </w:r>
    </w:p>
    <w:p>
      <w:pPr>
        <w:numPr>
          <w:ilvl w:val="0"/>
          <w:numId w:val="1002"/>
        </w:numPr>
        <w:pStyle w:val="Compact"/>
      </w:pPr>
      <w:r>
        <w:t xml:space="preserve">ILOSTAT employment ISIC F vs M (</w:t>
      </w:r>
      <w:r>
        <w:rPr>
          <w:rStyle w:val="VerbatimChar"/>
        </w:rPr>
        <w:t xml:space="preserve">ilo_emp_FM.csv</w:t>
      </w:r>
      <w:r>
        <w:t xml:space="preserve">). China is empty. ISIC M71 is not published (404).</w:t>
      </w:r>
    </w:p>
    <w:p>
      <w:pPr>
        <w:numPr>
          <w:ilvl w:val="0"/>
          <w:numId w:val="1002"/>
        </w:numPr>
        <w:pStyle w:val="Compact"/>
      </w:pPr>
      <w:r>
        <w:t xml:space="preserve">BLS CES: public API returned NAICS</w:t>
      </w:r>
      <w:r>
        <w:t xml:space="preserve"> </w:t>
      </w:r>
      <w:r>
        <w:rPr>
          <w:bCs/>
          <w:b/>
        </w:rPr>
        <w:t xml:space="preserve">54</w:t>
      </w:r>
      <w:r>
        <w:t xml:space="preserve"> </w:t>
      </w:r>
      <w:r>
        <w:t xml:space="preserve">(all professional and technical), not 54133. Figure 21 is labelled as too broad.</w:t>
      </w:r>
    </w:p>
    <w:p>
      <w:pPr>
        <w:pStyle w:val="FirstParagraph"/>
      </w:pPr>
      <w:r>
        <w:t xml:space="preserve">Values are</w:t>
      </w:r>
      <w:r>
        <w:t xml:space="preserve"> </w:t>
      </w:r>
      <w:r>
        <w:rPr>
          <w:bCs/>
          <w:b/>
        </w:rPr>
        <w:t xml:space="preserve">current prices</w:t>
      </w:r>
      <w:r>
        <w:t xml:space="preserve"> </w:t>
      </w:r>
      <w:r>
        <w:t xml:space="preserve">where applicable. Nominal growth is not a GenAI effect; the DiD asks whether high-NLG countries grew</w:t>
      </w:r>
      <w:r>
        <w:t xml:space="preserve"> </w:t>
      </w:r>
      <w:r>
        <w:rPr>
          <w:iCs/>
          <w:i/>
        </w:rPr>
        <w:t xml:space="preserve">faster</w:t>
      </w:r>
      <w:r>
        <w:t xml:space="preserve">.</w:t>
      </w:r>
    </w:p>
    <w:bookmarkEnd w:id="31"/>
    <w:bookmarkStart w:id="32" w:name="trade"/>
    <w:p>
      <w:pPr>
        <w:pStyle w:val="Heading3"/>
      </w:pPr>
      <w:r>
        <w:t xml:space="preserve">3.4 Trade</w:t>
      </w:r>
    </w:p>
    <w:p>
      <w:pPr>
        <w:pStyle w:val="FirstParagraph"/>
      </w:pPr>
      <w:r>
        <w:t xml:space="preserve">OECD–WTO BaTIS, adjustment B, USD million, 2015–2024: SJ3, SE, SI in</w:t>
      </w:r>
      <w:r>
        <w:t xml:space="preserve"> </w:t>
      </w:r>
      <w:r>
        <w:rPr>
          <w:rStyle w:val="VerbatimChar"/>
        </w:rPr>
        <w:t xml:space="preserve">batis_civil_related.csv</w:t>
      </w:r>
      <w:r>
        <w:t xml:space="preserve">; SJ1 and SJ2 in</w:t>
      </w:r>
      <w:r>
        <w:t xml:space="preserve"> </w:t>
      </w:r>
      <w:r>
        <w:rPr>
          <w:rStyle w:val="VerbatimChar"/>
        </w:rPr>
        <w:t xml:space="preserve">batis_SJ1_SJ2.csv</w:t>
      </w:r>
      <w:r>
        <w:t xml:space="preserve">. Partners: IND, PHL, VNM (Mode 1); CHN (Mode 3 SE).</w:t>
      </w:r>
    </w:p>
    <w:p>
      <w:pPr>
        <w:pStyle w:val="BodyText"/>
      </w:pPr>
      <w:r>
        <w:t xml:space="preserve">World Bank GDP and sector shares are background only (</w:t>
      </w:r>
      <w:r>
        <w:rPr>
          <w:rStyle w:val="VerbatimChar"/>
        </w:rPr>
        <w:t xml:space="preserve">wb_*.json</w:t>
      </w:r>
      <w:r>
        <w:t xml:space="preserve">). Construction value-added indicator</w:t>
      </w:r>
      <w:r>
        <w:t xml:space="preserve"> </w:t>
      </w:r>
      <w:r>
        <w:rPr>
          <w:rStyle w:val="VerbatimChar"/>
        </w:rPr>
        <w:t xml:space="preserve">NV.IND.CONS.ZS</w:t>
      </w:r>
      <w:r>
        <w:t xml:space="preserve"> </w:t>
      </w:r>
      <w:r>
        <w:t xml:space="preserve">is invalid (API 120) and is not invented.</w:t>
      </w:r>
    </w:p>
    <w:p>
      <w:r>
        <w:pict>
          <v:rect style="width:0;height:1.5pt" o:hralign="center" o:hrstd="t" o:hr="t"/>
        </w:pict>
      </w:r>
    </w:p>
    <w:bookmarkEnd w:id="32"/>
    <w:bookmarkEnd w:id="33"/>
    <w:bookmarkStart w:id="37" w:name="empirical-design"/>
    <w:p>
      <w:pPr>
        <w:pStyle w:val="Heading2"/>
      </w:pPr>
      <w:r>
        <w:t xml:space="preserve">4. Empirical design</w:t>
      </w:r>
    </w:p>
    <w:bookmarkStart w:id="34" w:name="trade-equation"/>
    <w:p>
      <w:pPr>
        <w:pStyle w:val="Heading3"/>
      </w:pPr>
      <w:r>
        <w:t xml:space="preserve">4.1 Trade equation</w:t>
      </w:r>
    </w:p>
    <w:p>
      <w:pPr>
        <w:pStyle w:val="FirstParagraph"/>
      </w:pPr>
      <w:r>
        <w:t xml:space="preserve">For EU importers (i), Mode-1 partners (j</w:t>
      </w:r>
      <w:r>
        <w:t xml:space="preserve"> </w:t>
      </w:r>
      <w:r>
        <w:t xml:space="preserve">{</w:t>
      </w:r>
      <w:r>
        <w:t xml:space="preserve">,</w:t>
      </w:r>
      <w:r>
        <w:t xml:space="preserve"> </w:t>
      </w:r>
      <w:r>
        <w:t xml:space="preserve">,</w:t>
      </w:r>
      <w:r>
        <w:t xml:space="preserve"> </w:t>
      </w:r>
      <w:r>
        <w:t xml:space="preserve">}), (t = 2018,</w:t>
      </w:r>
      <w:r>
        <w:t xml:space="preserve">,2024):</w:t>
      </w:r>
    </w:p>
    <w:p>
      <w:pPr>
        <w:pStyle w:val="BodyText"/>
      </w:pPr>
      <w:r>
        <w:t xml:space="preserve">[</w:t>
      </w:r>
      <w:r>
        <w:t xml:space="preserve"> </w:t>
      </w:r>
      <w:r>
        <w:t xml:space="preserve">M^{SJ3}_{ijt}=</w:t>
      </w:r>
      <w:r>
        <w:t xml:space="preserve">_i+</w:t>
      </w:r>
      <w:r>
        <w:t xml:space="preserve">_t+</w:t>
      </w:r>
      <w:r>
        <w:rPr>
          <w:iCs/>
          <w:i/>
        </w:rPr>
        <w:t xml:space="preserve">j+</w:t>
      </w:r>
      <w:r>
        <w:rPr>
          <w:iCs/>
          <w:i/>
        </w:rPr>
        <w:t xml:space="preserve">(</w:t>
      </w:r>
      <w:r>
        <w:rPr>
          <w:iCs/>
          <w:i/>
        </w:rPr>
        <w:t xml:space="preserve">[t</w:t>
      </w:r>
      <w:r>
        <w:rPr>
          <w:iCs/>
          <w:i/>
        </w:rPr>
        <w:t xml:space="preserve">t_0]</w:t>
      </w:r>
      <w:r>
        <w:rPr>
          <w:iCs/>
          <w:i/>
        </w:rPr>
        <w:t xml:space="preserve">TNLG_i</w:t>
      </w:r>
      <w:r>
        <w:rPr>
          <w:iCs/>
          <w:i/>
        </w:rPr>
        <w:t xml:space="preserve">)+</w:t>
      </w:r>
      <w:r>
        <w:t xml:space="preserve">{ijt}.</w:t>
      </w:r>
      <w:r>
        <w:t xml:space="preserve"> </w:t>
      </w:r>
      <w:r>
        <w:t xml:space="preserve">]</w:t>
      </w:r>
    </w:p>
    <w:p>
      <w:pPr>
        <w:pStyle w:val="BodyText"/>
      </w:pPr>
      <w:r>
        <w:t xml:space="preserve">Standard errors are clustered by importer after an iterative within transformation (importer, year, partner). (t_0=2023) is reported; (t_0=2024) matches the year BaTIS still covers after the NLG jump. Portugal has TNLG in 2024 but missing TANY M 2024, so TNLG panels have 17 importers ((N=357)) and TANY panels 16 ((N=336)).</w:t>
      </w:r>
    </w:p>
    <w:p>
      <w:pPr>
        <w:pStyle w:val="BodyText"/>
      </w:pPr>
      <w:r>
        <w:t xml:space="preserve">Placebos replace SJ3 with SI, SJ1, SJ2, SE from China, SJ3 from China; or replace ΔTNLG-M with ΔTNLG-F, ΔTML, ΔTTM, ΔTIR, ΔTNLG in J/C/N. Generic TANY is the horse-race comparison, not the preferred shock. Event studies interact year dummies with ΔTNLG (or ΔTANY), omitting 2022.</w:t>
      </w:r>
    </w:p>
    <w:bookmarkEnd w:id="34"/>
    <w:bookmarkStart w:id="35" w:name="industry-economy-equation"/>
    <w:p>
      <w:pPr>
        <w:pStyle w:val="Heading3"/>
      </w:pPr>
      <w:r>
        <w:t xml:space="preserve">4.2 Industry-economy equation</w:t>
      </w:r>
    </w:p>
    <w:p>
      <w:pPr>
        <w:pStyle w:val="FirstParagraph"/>
      </w:pPr>
      <w:r>
        <w:t xml:space="preserve">[</w:t>
      </w:r>
      <w:r>
        <w:t xml:space="preserve"> </w:t>
      </w:r>
      <w:r>
        <w:t xml:space="preserve">Y^{M71}_{it}=</w:t>
      </w:r>
      <w:r>
        <w:t xml:space="preserve">_i+</w:t>
      </w:r>
      <w:r>
        <w:rPr>
          <w:iCs/>
          <w:i/>
        </w:rPr>
        <w:t xml:space="preserve">t+</w:t>
      </w:r>
      <w:r>
        <w:rPr>
          <w:iCs/>
          <w:i/>
        </w:rPr>
        <w:t xml:space="preserve">(</w:t>
      </w:r>
      <w:r>
        <w:rPr>
          <w:iCs/>
          <w:i/>
        </w:rPr>
        <w:t xml:space="preserve">[t</w:t>
      </w:r>
      <w:r>
        <w:rPr>
          <w:iCs/>
          <w:i/>
        </w:rPr>
        <w:t xml:space="preserve">]</w:t>
      </w:r>
      <w:r>
        <w:rPr>
          <w:iCs/>
          <w:i/>
        </w:rPr>
        <w:t xml:space="preserve">TNLG_i</w:t>
      </w:r>
      <w:r>
        <w:rPr>
          <w:iCs/>
          <w:i/>
        </w:rPr>
        <w:t xml:space="preserve">)+u</w:t>
      </w:r>
      <w:r>
        <w:t xml:space="preserve">{it},</w:t>
      </w:r>
      <w:r>
        <w:t xml:space="preserve"> </w:t>
      </w:r>
      <w:r>
        <w:t xml:space="preserve">]</w:t>
      </w:r>
    </w:p>
    <w:p>
      <w:pPr>
        <w:pStyle w:val="BodyText"/>
      </w:pPr>
      <w:r>
        <w:t xml:space="preserve">(Y</w:t>
      </w:r>
      <w:r>
        <w:t xml:space="preserve"> </w:t>
      </w:r>
      <w:r>
        <w:t xml:space="preserve">{</w:t>
      </w:r>
      <w:r>
        <w:t xml:space="preserve">}), SBS 2021–2024, 17 countries ((N=68)). Construction F and all-professional M are placebos. National-accounts GVA/D1/P1 use post-2023 because those series largely end in 2023.</w:t>
      </w:r>
    </w:p>
    <w:bookmarkEnd w:id="35"/>
    <w:bookmarkStart w:id="36" w:name="what-is-not-identified"/>
    <w:p>
      <w:pPr>
        <w:pStyle w:val="Heading3"/>
      </w:pPr>
      <w:r>
        <w:t xml:space="preserve">4.3 What is not identified</w:t>
      </w:r>
    </w:p>
    <w:p>
      <w:pPr>
        <w:pStyle w:val="FirstParagraph"/>
      </w:pPr>
      <w:r>
        <w:t xml:space="preserve">UK APS 2121 is an</w:t>
      </w:r>
      <w:r>
        <w:t xml:space="preserve"> </w:t>
      </w:r>
      <w:r>
        <w:rPr>
          <w:iCs/>
          <w:i/>
        </w:rPr>
        <w:t xml:space="preserve">outcome</w:t>
      </w:r>
      <w:r>
        <w:t xml:space="preserve"> </w:t>
      </w:r>
      <w:r>
        <w:t xml:space="preserve">in one labour market, not an instrument for Indian GDP. Reverse causality and common trends would invalidate that regression even if ILO published bilateral engineer counts—which it does not.</w:t>
      </w:r>
    </w:p>
    <w:p>
      <w:r>
        <w:pict>
          <v:rect style="width:0;height:1.5pt" o:hralign="center" o:hrstd="t" o:hr="t"/>
        </w:pict>
      </w:r>
    </w:p>
    <w:bookmarkEnd w:id="36"/>
    <w:bookmarkEnd w:id="37"/>
    <w:bookmarkStart w:id="45" w:name="results"/>
    <w:p>
      <w:pPr>
        <w:pStyle w:val="Heading2"/>
      </w:pPr>
      <w:r>
        <w:t xml:space="preserve">5. Results</w:t>
      </w:r>
    </w:p>
    <w:bookmarkStart w:id="38" w:name="X81b9f732b41d4813ebe613a5281dbaf2e27106a"/>
    <w:p>
      <w:pPr>
        <w:pStyle w:val="Heading3"/>
      </w:pPr>
      <w:r>
        <w:t xml:space="preserve">5.1 Polarisation inside civil occupations (Figure 2, Tables 1–2, 12)</w:t>
      </w:r>
    </w:p>
    <w:p>
      <w:pPr>
        <w:pStyle w:val="FirstParagraph"/>
      </w:pPr>
      <w:r>
        <w:t xml:space="preserve">Among 16 APS civil-adjacent unit groups, the largest declines are quality-control and planning engineers (−25.3%), CAD/drawing technicians (−23.9%), chartered surveyors (−21.7%) and civil engineers (−14.3%). The largest increase is building and civil engineering technicians (+214.5%). CAD is the high-Eloundou match (0.52) and contracted more than civil engineers (0.375). That pattern matches task-based technical change (Autor et al. 2003; Eloundou et al. 2024) and the jagged-frontier view (Dell’Acqua et al. 2023), not a uniform occupation collapse.</w:t>
      </w:r>
    </w:p>
    <w:p>
      <w:pPr>
        <w:pStyle w:val="BodyText"/>
      </w:pPr>
      <w:r>
        <w:t xml:space="preserve">Felten AIOE ranks the other way for engineers versus drafters (Table 12, Figure 10). The 2021 ability-based index is a poor description of 2022–25 generative-text disruption inside civil offices.</w:t>
      </w:r>
    </w:p>
    <w:bookmarkEnd w:id="38"/>
    <w:bookmarkStart w:id="39" w:name="trade-corridors-figure-3-table-4"/>
    <w:p>
      <w:pPr>
        <w:pStyle w:val="Heading3"/>
      </w:pPr>
      <w:r>
        <w:t xml:space="preserve">5.2 Trade corridors (Figure 3, Table 4)</w:t>
      </w:r>
    </w:p>
    <w:p>
      <w:pPr>
        <w:pStyle w:val="FirstParagraph"/>
      </w:pPr>
      <w:r>
        <w:t xml:space="preserve">UK←India SJ3 +128%; UK←China SE +52%; UK←India SI +113%. Germany←Poland SJ3 +54% (nearshore). US←India SJ3 only +8%. Four overlapping years of UK log 2121 and log India SJ3 correlate at −0.89 ((n=4)). The correlation is</w:t>
      </w:r>
      <w:r>
        <w:t xml:space="preserve"> </w:t>
      </w:r>
      <w:r>
        <w:rPr>
          <w:bCs/>
          <w:b/>
        </w:rPr>
        <w:t xml:space="preserve">descriptive</w:t>
      </w:r>
      <w:r>
        <w:t xml:space="preserve">. It does not identify 2121 as the cause of Indian exports.</w:t>
      </w:r>
    </w:p>
    <w:bookmarkEnd w:id="39"/>
    <w:bookmarkStart w:id="40" w:name="X83d85b21a195741a7e6ae1784e5cda38311734b"/>
    <w:p>
      <w:pPr>
        <w:pStyle w:val="Heading3"/>
      </w:pPr>
      <w:r>
        <w:t xml:space="preserve">5.3 Generic any-AI is the wrong shock (Figures 4, 7, 8; Tables 5, 6, 10)</w:t>
      </w:r>
    </w:p>
    <w:p>
      <w:pPr>
        <w:pStyle w:val="FirstParagraph"/>
      </w:pPr>
      <w:r>
        <w:t xml:space="preserve">EU-16 post × ΔM TANY 2021–24 on log SJ3 is</w:t>
      </w:r>
      <w:r>
        <w:t xml:space="preserve"> </w:t>
      </w:r>
      <w:r>
        <w:rPr>
          <w:bCs/>
          <w:b/>
        </w:rPr>
        <w:t xml:space="preserve">0.000 (0.006)</w:t>
      </w:r>
      <w:r>
        <w:t xml:space="preserve">, (N=336). An eight-country subsample is 0.019*** and does not survive expansion (Table 5, rows 17–18). Event-study year × ΔTANY is already 0.017 ((p=0.049)) in 2018 versus 2022 (Table 6)—a failed pre-trend. Leave-one-out stays near zero except dropping Sweden (0.010*). Mixing pre-ChatGPT machine learning into the intensity hides the generative episode.</w:t>
      </w:r>
    </w:p>
    <w:bookmarkEnd w:id="40"/>
    <w:bookmarkStart w:id="41" w:name="X38550a4c43d979a89562b29d4e2347beb03f733"/>
    <w:p>
      <w:pPr>
        <w:pStyle w:val="Heading3"/>
      </w:pPr>
      <w:r>
        <w:t xml:space="preserve">5.4 Preferred shock: generative NLG and Mode-1 SJ3 (Figures 12–16; Tables 13–15)</w:t>
      </w:r>
    </w:p>
    <w:p>
      <w:pPr>
        <w:pStyle w:val="FirstParagraph"/>
      </w:pPr>
      <w:r>
        <w:t xml:space="preserve">EU-27 professional NLG is the dated shock (Figure 12). 2024 M TNLG leaders: Denmark 34.06, Finland 30.02, Sweden 29.61, Netherlands 22.01; France 3.90; Romania 3.73 (Figure 13). ICT (J) is higher still (Figure 16).</w:t>
      </w:r>
    </w:p>
    <w:p>
      <w:pPr>
        <w:pStyle w:val="BodyText"/>
      </w:pPr>
      <w:r>
        <w:t xml:space="preserve">On 17 importers × India/Philippines/Viet Nam (Table 13):</w:t>
      </w:r>
    </w:p>
    <w:p>
      <w:pPr>
        <w:numPr>
          <w:ilvl w:val="0"/>
          <w:numId w:val="1003"/>
        </w:numPr>
        <w:pStyle w:val="Compact"/>
      </w:pPr>
      <w:r>
        <w:t xml:space="preserve">Post ≥ 2023 × ΔM TNLG 2023–24: 0.009 (0.005), (p=0.108), (N=357).</w:t>
      </w:r>
    </w:p>
    <w:p>
      <w:pPr>
        <w:numPr>
          <w:ilvl w:val="0"/>
          <w:numId w:val="1003"/>
        </w:numPr>
        <w:pStyle w:val="Compact"/>
      </w:pPr>
      <w:r>
        <w:t xml:space="preserve">Post = 2024 only: 0.007** (0.003).</w:t>
      </w:r>
    </w:p>
    <w:p>
      <w:pPr>
        <w:numPr>
          <w:ilvl w:val="0"/>
          <w:numId w:val="1003"/>
        </w:numPr>
        <w:pStyle w:val="Compact"/>
      </w:pPr>
      <w:r>
        <w:t xml:space="preserve">India only: 0.021***. Philippines and Viet Nam are not.</w:t>
      </w:r>
    </w:p>
    <w:p>
      <w:pPr>
        <w:numPr>
          <w:ilvl w:val="0"/>
          <w:numId w:val="1003"/>
        </w:numPr>
        <w:pStyle w:val="Compact"/>
      </w:pPr>
      <w:r>
        <w:t xml:space="preserve">Horse race versus machine learning: TNLG 0.015**</w:t>
      </w:r>
      <w:r>
        <w:rPr>
          <w:iCs/>
          <w:i/>
        </w:rPr>
        <w:t xml:space="preserve">; TML −0.026</w:t>
      </w:r>
      <w:r>
        <w:t xml:space="preserve">.</w:t>
      </w:r>
    </w:p>
    <w:p>
      <w:pPr>
        <w:numPr>
          <w:ilvl w:val="0"/>
          <w:numId w:val="1003"/>
        </w:numPr>
        <w:pStyle w:val="Compact"/>
      </w:pPr>
      <w:r>
        <w:t xml:space="preserve">Text mining and image recognition: 0.004 and −0.010, both null.</w:t>
      </w:r>
    </w:p>
    <w:p>
      <w:pPr>
        <w:numPr>
          <w:ilvl w:val="0"/>
          <w:numId w:val="1003"/>
        </w:numPr>
        <w:pStyle w:val="Compact"/>
      </w:pPr>
      <w:r>
        <w:t xml:space="preserve">SI, China SE, China SJ3, SJ1, SJ2: all null.</w:t>
      </w:r>
    </w:p>
    <w:p>
      <w:pPr>
        <w:numPr>
          <w:ilvl w:val="0"/>
          <w:numId w:val="1003"/>
        </w:numPr>
        <w:pStyle w:val="Compact"/>
      </w:pPr>
      <w:r>
        <w:t xml:space="preserve">Construction-enterprise NLG: 0.015 (0.020), null.</w:t>
      </w:r>
    </w:p>
    <w:p>
      <w:pPr>
        <w:numPr>
          <w:ilvl w:val="0"/>
          <w:numId w:val="1003"/>
        </w:numPr>
        <w:pStyle w:val="Compact"/>
      </w:pPr>
      <w:r>
        <w:t xml:space="preserve">NACE J/C/N TNLG: 0.009</w:t>
      </w:r>
      <w:r>
        <w:rPr>
          <w:bCs/>
          <w:b/>
        </w:rPr>
        <w:t xml:space="preserve">, 0.017</w:t>
      </w:r>
      <w:r>
        <w:t xml:space="preserve">, 0.015</w:t>
      </w:r>
      <w:r>
        <w:rPr>
          <w:bCs/>
          <w:b/>
        </w:rPr>
        <w:t xml:space="preserve">. The trade association is a</w:t>
      </w:r>
      <w:r>
        <w:rPr>
          <w:bCs/>
          <w:b/>
        </w:rPr>
        <w:t xml:space="preserve"> </w:t>
      </w:r>
      <w:r>
        <w:t xml:space="preserve">national GenAI wave**, not an M71-only shock.</w:t>
      </w:r>
    </w:p>
    <w:p>
      <w:pPr>
        <w:numPr>
          <w:ilvl w:val="0"/>
          <w:numId w:val="1003"/>
        </w:numPr>
        <w:pStyle w:val="Compact"/>
      </w:pPr>
      <w:r>
        <w:t xml:space="preserve">Cross-section Δ log India SJ3 2022–24 on ΔTNLG: 0.017***, (N=17).</w:t>
      </w:r>
    </w:p>
    <w:p>
      <w:pPr>
        <w:numPr>
          <w:ilvl w:val="0"/>
          <w:numId w:val="1003"/>
        </w:numPr>
        <w:pStyle w:val="Compact"/>
      </w:pPr>
      <w:r>
        <w:t xml:space="preserve">Event study (Table 14): 2018–21 insignificant (unlike TANY); 2023 0.016 ((p=0.041)); 2024 0.015 ((p=0.072)).</w:t>
      </w:r>
    </w:p>
    <w:p>
      <w:pPr>
        <w:pStyle w:val="FirstParagraph"/>
      </w:pPr>
      <w:r>
        <w:t xml:space="preserve">This is consistent with Baldwin’s globotics and Grossman–Rossi-Hansberg task trade</w:t>
      </w:r>
      <w:r>
        <w:t xml:space="preserve"> </w:t>
      </w:r>
      <w:r>
        <w:rPr>
          <w:bCs/>
          <w:b/>
        </w:rPr>
        <w:t xml:space="preserve">for India Mode 1</w:t>
      </w:r>
      <w:r>
        <w:t xml:space="preserve">, not for every partner and not for construction services.</w:t>
      </w:r>
    </w:p>
    <w:bookmarkEnd w:id="41"/>
    <w:bookmarkStart w:id="42" w:name="X9ba754dd432452ae4a52358b57c4cffec4c77a9"/>
    <w:p>
      <w:pPr>
        <w:pStyle w:val="Heading3"/>
      </w:pPr>
      <w:r>
        <w:t xml:space="preserve">5.5 Domestic M71 industry economy (Figures 9, 17–20; Tables 8–9, 16–17)</w:t>
      </w:r>
    </w:p>
    <w:p>
      <w:pPr>
        <w:pStyle w:val="FirstParagraph"/>
      </w:pPr>
      <w:r>
        <w:t xml:space="preserve">Nominal M71 turnover rose in almost every member from 2021 to 2024 (Romania +78.9%, Greece +74.7%, Germany +16.5%, Sweden +1.8%; Table 17, Figure 17). That recovery-plus-inflation path is not GenAI.</w:t>
      </w:r>
    </w:p>
    <w:p>
      <w:pPr>
        <w:pStyle w:val="BodyText"/>
      </w:pPr>
      <w:r>
        <w:t xml:space="preserve">The DiD (Table 16) asks whether it rose</w:t>
      </w:r>
      <w:r>
        <w:t xml:space="preserve"> </w:t>
      </w:r>
      <w:r>
        <w:rPr>
          <w:iCs/>
          <w:i/>
        </w:rPr>
        <w:t xml:space="preserve">faster</w:t>
      </w:r>
      <w:r>
        <w:t xml:space="preserve"> </w:t>
      </w:r>
      <w:r>
        <w:t xml:space="preserve">where NLG jumped:</w:t>
      </w:r>
    </w:p>
    <w:p>
      <w:pPr>
        <w:numPr>
          <w:ilvl w:val="0"/>
          <w:numId w:val="1004"/>
        </w:numPr>
        <w:pStyle w:val="Compact"/>
      </w:pPr>
      <w:r>
        <w:t xml:space="preserve">log M71 turnover, post-2024 × ΔTNLG: −0.007** (0.003), (N=68)</w:t>
      </w:r>
    </w:p>
    <w:p>
      <w:pPr>
        <w:numPr>
          <w:ilvl w:val="0"/>
          <w:numId w:val="1004"/>
        </w:numPr>
        <w:pStyle w:val="Compact"/>
      </w:pPr>
      <w:r>
        <w:t xml:space="preserve">log wages: −0.009***</w:t>
      </w:r>
    </w:p>
    <w:p>
      <w:pPr>
        <w:numPr>
          <w:ilvl w:val="0"/>
          <w:numId w:val="1004"/>
        </w:numPr>
        <w:pStyle w:val="Compact"/>
      </w:pPr>
      <w:r>
        <w:t xml:space="preserve">log value added: −0.006***</w:t>
      </w:r>
    </w:p>
    <w:p>
      <w:pPr>
        <w:numPr>
          <w:ilvl w:val="0"/>
          <w:numId w:val="1004"/>
        </w:numPr>
        <w:pStyle w:val="Compact"/>
      </w:pPr>
      <w:r>
        <w:t xml:space="preserve">log employment: −0.000 (0.002)</w:t>
      </w:r>
    </w:p>
    <w:p>
      <w:pPr>
        <w:numPr>
          <w:ilvl w:val="0"/>
          <w:numId w:val="1004"/>
        </w:numPr>
        <w:pStyle w:val="Compact"/>
      </w:pPr>
      <w:r>
        <w:t xml:space="preserve">log F construction turnover: −0.010***</w:t>
      </w:r>
    </w:p>
    <w:p>
      <w:pPr>
        <w:numPr>
          <w:ilvl w:val="0"/>
          <w:numId w:val="1004"/>
        </w:numPr>
        <w:pStyle w:val="Compact"/>
      </w:pPr>
      <w:r>
        <w:t xml:space="preserve">log all-professional M turnover: −0.005**</w:t>
      </w:r>
    </w:p>
    <w:p>
      <w:pPr>
        <w:numPr>
          <w:ilvl w:val="0"/>
          <w:numId w:val="1004"/>
        </w:numPr>
        <w:pStyle w:val="Compact"/>
      </w:pPr>
      <w:r>
        <w:t xml:space="preserve">nama compensation and output through 2023: about −0.009**, with construction more negative</w:t>
      </w:r>
    </w:p>
    <w:p>
      <w:pPr>
        <w:pStyle w:val="FirstParagraph"/>
      </w:pPr>
      <w:r>
        <w:t xml:space="preserve">Jobs in M71 did not fall with the NLG jump. Turnover and wage bills grew more slowly—the pattern a task-automation model allows when hours per drawing fall (Acemoglu and Restrepo 2019; Noy and Zhang 2023). Because construction looks similar, the domestic result is</w:t>
      </w:r>
      <w:r>
        <w:t xml:space="preserve"> </w:t>
      </w:r>
      <w:r>
        <w:rPr>
          <w:bCs/>
          <w:b/>
        </w:rPr>
        <w:t xml:space="preserve">not</w:t>
      </w:r>
      <w:r>
        <w:t xml:space="preserve"> </w:t>
      </w:r>
      <w:r>
        <w:t xml:space="preserve">a unique civil-consultancy tax; it is slower nominal growth in several high-NLG (often Nordic) economies, including on site.</w:t>
      </w:r>
    </w:p>
    <w:p>
      <w:pPr>
        <w:pStyle w:val="BodyText"/>
      </w:pPr>
      <w:r>
        <w:t xml:space="preserve">China Mode-3 SE, 2019–24 sums: low-TNLG EU destinations USD 572 → 946 million (+65%); high-TNLG destinations 680 → 1,003 (+47%). Mode 3 did not follow the NLG map.</w:t>
      </w:r>
    </w:p>
    <w:bookmarkEnd w:id="42"/>
    <w:bookmarkStart w:id="43" w:name="exporter-labour-markets-figure-5-table-7"/>
    <w:p>
      <w:pPr>
        <w:pStyle w:val="Heading3"/>
      </w:pPr>
      <w:r>
        <w:t xml:space="preserve">5.6 Exporter labour markets (Figure 5, Table 7)</w:t>
      </w:r>
    </w:p>
    <w:p>
      <w:pPr>
        <w:pStyle w:val="FirstParagraph"/>
      </w:pPr>
      <w:r>
        <w:t xml:space="preserve">Philippines ISIC M +39.9% vs F +12.8%; Viet Nam M +28.5% vs F −1.4%; India M +13.0% vs F +33.0% (2019–2024). India expanded construction employment faster than professional services—the opposite of a simple</w:t>
      </w:r>
      <w:r>
        <w:t xml:space="preserve"> </w:t>
      </w:r>
      <w:r>
        <w:t xml:space="preserve">“</w:t>
      </w:r>
      <w:r>
        <w:t xml:space="preserve">India engineers replace UK engineers</w:t>
      </w:r>
      <w:r>
        <w:t xml:space="preserve">”</w:t>
      </w:r>
      <w:r>
        <w:t xml:space="preserve"> </w:t>
      </w:r>
      <w:r>
        <w:t xml:space="preserve">account. China is missing from the ILO F/M pull. ISIC M71 is unpublished.</w:t>
      </w:r>
    </w:p>
    <w:bookmarkEnd w:id="43"/>
    <w:bookmarkStart w:id="44" w:name="case-notes"/>
    <w:p>
      <w:pPr>
        <w:pStyle w:val="Heading3"/>
      </w:pPr>
      <w:r>
        <w:t xml:space="preserve">5.7 Case notes</w:t>
      </w:r>
    </w:p>
    <w:p>
      <w:pPr>
        <w:pStyle w:val="FirstParagraph"/>
      </w:pPr>
      <w:r>
        <w:rPr>
          <w:bCs/>
          <w:b/>
        </w:rPr>
        <w:t xml:space="preserve">United Kingdom–India.</w:t>
      </w:r>
      <w:r>
        <w:t xml:space="preserve"> </w:t>
      </w:r>
      <w:r>
        <w:t xml:space="preserve">No post-Brexit Eurostat M AI. UK facts are APS polarisation plus BaTIS SJ3. They are not Indian GDP on 2121.</w:t>
      </w:r>
    </w:p>
    <w:p>
      <w:pPr>
        <w:pStyle w:val="BodyText"/>
      </w:pPr>
      <w:r>
        <w:rPr>
          <w:bCs/>
          <w:b/>
        </w:rPr>
        <w:t xml:space="preserve">China.</w:t>
      </w:r>
      <w:r>
        <w:t xml:space="preserve"> </w:t>
      </w:r>
      <w:r>
        <w:t xml:space="preserve">Mode 3, not Mode 1. Microsoft Copilot shares undercount domestic models; they are not used as the shock.</w:t>
      </w:r>
    </w:p>
    <w:p>
      <w:pPr>
        <w:pStyle w:val="BodyText"/>
      </w:pPr>
      <w:r>
        <w:rPr>
          <w:bCs/>
          <w:b/>
        </w:rPr>
        <w:t xml:space="preserve">Germany–Poland.</w:t>
      </w:r>
      <w:r>
        <w:t xml:space="preserve"> </w:t>
      </w:r>
      <w:r>
        <w:t xml:space="preserve">Nearshore SJ3 can rise when consumer Copilot shares look similar; Eurostat M and TNLG still differ.</w:t>
      </w:r>
    </w:p>
    <w:p>
      <w:r>
        <w:pict>
          <v:rect style="width:0;height:1.5pt" o:hralign="center" o:hrstd="t" o:hr="t"/>
        </w:pict>
      </w:r>
    </w:p>
    <w:bookmarkEnd w:id="44"/>
    <w:bookmarkEnd w:id="45"/>
    <w:bookmarkStart w:id="46" w:name="discussion"/>
    <w:p>
      <w:pPr>
        <w:pStyle w:val="Heading2"/>
      </w:pPr>
      <w:r>
        <w:t xml:space="preserve">6. Discussion</w:t>
      </w:r>
    </w:p>
    <w:p>
      <w:pPr>
        <w:pStyle w:val="FirstParagraph"/>
      </w:pPr>
      <w:r>
        <w:t xml:space="preserve">Three literatures predicted pieces of this pattern; none predicted the stack.</w:t>
      </w:r>
    </w:p>
    <w:p>
      <w:pPr>
        <w:pStyle w:val="BodyText"/>
      </w:pPr>
      <w:r>
        <w:t xml:space="preserve">Task-based automation (Autor et al. 2003; Eloundou et al. 2024) predicted polarisation</w:t>
      </w:r>
      <w:r>
        <w:t xml:space="preserve"> </w:t>
      </w:r>
      <w:r>
        <w:rPr>
          <w:iCs/>
          <w:i/>
        </w:rPr>
        <w:t xml:space="preserve">inside</w:t>
      </w:r>
      <w:r>
        <w:t xml:space="preserve"> </w:t>
      </w:r>
      <w:r>
        <w:t xml:space="preserve">civil occupations. UK APS delivers that.</w:t>
      </w:r>
    </w:p>
    <w:p>
      <w:pPr>
        <w:pStyle w:val="BodyText"/>
      </w:pPr>
      <w:r>
        <w:t xml:space="preserve">Globotics and task trade (Baldwin 2019; Grossman and Rossi-Hansberg 2008) predicted Mode-1 professional flows where the wire is cheap. India SJ3 delivers a positive association with TNLG; the Philippines and Viet Nam do not, so the prediction is corridor-specific, not</w:t>
      </w:r>
      <w:r>
        <w:t xml:space="preserve"> </w:t>
      </w:r>
      <w:r>
        <w:t xml:space="preserve">“</w:t>
      </w:r>
      <w:r>
        <w:t xml:space="preserve">South-East Asia.</w:t>
      </w:r>
      <w:r>
        <w:t xml:space="preserve">”</w:t>
      </w:r>
    </w:p>
    <w:p>
      <w:pPr>
        <w:pStyle w:val="BodyText"/>
      </w:pPr>
      <w:r>
        <w:t xml:space="preserve">Construction economics (Gann and Salter 2000; Eastman et al. 2011) predicted that the</w:t>
      </w:r>
      <w:r>
        <w:t xml:space="preserve"> </w:t>
      </w:r>
      <w:r>
        <w:rPr>
          <w:iCs/>
          <w:i/>
        </w:rPr>
        <w:t xml:space="preserve">site</w:t>
      </w:r>
      <w:r>
        <w:t xml:space="preserve"> </w:t>
      </w:r>
      <w:r>
        <w:t xml:space="preserve">would not be the AI market. Eurostat F versus M, Felten AIIE, and the SE placebo all agree.</w:t>
      </w:r>
    </w:p>
    <w:p>
      <w:pPr>
        <w:pStyle w:val="BodyText"/>
      </w:pPr>
      <w:r>
        <w:t xml:space="preserve">The result that is newest relative to firm experiments is the</w:t>
      </w:r>
      <w:r>
        <w:t xml:space="preserve"> </w:t>
      </w:r>
      <w:r>
        <w:rPr>
          <w:bCs/>
          <w:b/>
        </w:rPr>
        <w:t xml:space="preserve">industry account</w:t>
      </w:r>
      <w:r>
        <w:t xml:space="preserve">: M71 turnover and wages do not boom in high-NLG Europe in 2024; employment is flat. Faster drawings need not mean a larger consultancy industry in current euros. If anything, high-NLG countries show slower nominal growth—shared with construction—so one should not market the coefficient as</w:t>
      </w:r>
      <w:r>
        <w:t xml:space="preserve"> </w:t>
      </w:r>
      <w:r>
        <w:t xml:space="preserve">“</w:t>
      </w:r>
      <w:r>
        <w:t xml:space="preserve">AI destroyed civil consultancies.</w:t>
      </w:r>
      <w:r>
        <w:t xml:space="preserve">”</w:t>
      </w:r>
      <w:r>
        <w:t xml:space="preserve"> </w:t>
      </w:r>
      <w:r>
        <w:t xml:space="preserve">It is a relative slowdown in a short panel, current prices, 17 clusters.</w:t>
      </w:r>
    </w:p>
    <w:p>
      <w:pPr>
        <w:pStyle w:val="BodyText"/>
      </w:pPr>
      <w:r>
        <w:t xml:space="preserve">J/C/N TNLG also predicting SJ3 is a limitation for civil-specificity of the</w:t>
      </w:r>
      <w:r>
        <w:t xml:space="preserve"> </w:t>
      </w:r>
      <w:r>
        <w:rPr>
          <w:iCs/>
          <w:i/>
        </w:rPr>
        <w:t xml:space="preserve">trade</w:t>
      </w:r>
      <w:r>
        <w:t xml:space="preserve"> </w:t>
      </w:r>
      <w:r>
        <w:t xml:space="preserve">shock: the paper reports a national generative wave correlated with India Mode 1, with construction and computer-service placebos quiet,</w:t>
      </w:r>
      <w:r>
        <w:t xml:space="preserve"> </w:t>
      </w:r>
      <w:r>
        <w:rPr>
          <w:bCs/>
          <w:b/>
        </w:rPr>
        <w:t xml:space="preserve">not</w:t>
      </w:r>
      <w:r>
        <w:t xml:space="preserve"> </w:t>
      </w:r>
      <w:r>
        <w:t xml:space="preserve">a proven M71 outsourcing LATE.</w:t>
      </w:r>
    </w:p>
    <w:p>
      <w:r>
        <w:pict>
          <v:rect style="width:0;height:1.5pt" o:hralign="center" o:hrstd="t" o:hr="t"/>
        </w:pict>
      </w:r>
    </w:p>
    <w:bookmarkEnd w:id="46"/>
    <w:bookmarkStart w:id="47" w:name="limitations"/>
    <w:p>
      <w:pPr>
        <w:pStyle w:val="Heading2"/>
      </w:pPr>
      <w:r>
        <w:t xml:space="preserve">7. Limitations</w:t>
      </w:r>
    </w:p>
    <w:p>
      <w:pPr>
        <w:pStyle w:val="FirstParagraph"/>
      </w:pPr>
      <w:r>
        <w:t xml:space="preserve">SJ3 is broader than M71 invoices. SJ312 does not exist in BaTIS. M71 is not in the AI survey. SBS and nama are current prices. Seventeen importer clusters. TNLG in J/C/N also predicts SJ3. Construction SBS turnover is also negative. GVA ends in 2023; SBS 2024 is short. ILO M71 and BLS 54133 are unpublished or not returned. APS has sampling error. BaTIS ends 2024. No bilateral civil-engineer census. OWID, IMF AIPI and OECD ICT AI series were not retrieveable here.</w:t>
      </w:r>
    </w:p>
    <w:p>
      <w:r>
        <w:pict>
          <v:rect style="width:0;height:1.5pt" o:hralign="center" o:hrstd="t" o:hr="t"/>
        </w:pict>
      </w:r>
    </w:p>
    <w:bookmarkEnd w:id="47"/>
    <w:bookmarkStart w:id="48" w:name="conclusion"/>
    <w:p>
      <w:pPr>
        <w:pStyle w:val="Heading2"/>
      </w:pPr>
      <w:r>
        <w:t xml:space="preserve">8. Conclusion</w:t>
      </w:r>
    </w:p>
    <w:p>
      <w:pPr>
        <w:pStyle w:val="FirstParagraph"/>
      </w:pPr>
      <w:r>
        <w:t xml:space="preserve">Under a</w:t>
      </w:r>
      <w:r>
        <w:t xml:space="preserve"> </w:t>
      </w:r>
      <w:r>
        <w:rPr>
          <w:bCs/>
          <w:b/>
        </w:rPr>
        <w:t xml:space="preserve">cross-country generative-AI shock</w:t>
      </w:r>
      <w:r>
        <w:t xml:space="preserve">, the civil engineering</w:t>
      </w:r>
      <w:r>
        <w:t xml:space="preserve"> </w:t>
      </w:r>
      <w:r>
        <w:rPr>
          <w:iCs/>
          <w:i/>
        </w:rPr>
        <w:t xml:space="preserve">industry economy</w:t>
      </w:r>
      <w:r>
        <w:t xml:space="preserve"> </w:t>
      </w:r>
      <w:r>
        <w:t xml:space="preserve">did not expand in the high-NLG EU members that this paper can measure. Eurostat SBS 2021–24 shows slower M71 turnover and wages where professional NLG jumped, flat employment, and a similar pattern on construction sites. What did move is</w:t>
      </w:r>
      <w:r>
        <w:t xml:space="preserve"> </w:t>
      </w:r>
      <w:r>
        <w:rPr>
          <w:bCs/>
          <w:b/>
        </w:rPr>
        <w:t xml:space="preserve">Mode-1 engineering-adjacent trade from India</w:t>
      </w:r>
      <w:r>
        <w:t xml:space="preserve"> </w:t>
      </w:r>
      <w:r>
        <w:t xml:space="preserve">(BaTIS SJ3), not China Mode-3 construction services, and not generic</w:t>
      </w:r>
      <w:r>
        <w:t xml:space="preserve"> </w:t>
      </w:r>
      <w:r>
        <w:t xml:space="preserve">“</w:t>
      </w:r>
      <w:r>
        <w:t xml:space="preserve">any AI.</w:t>
      </w:r>
      <w:r>
        <w:t xml:space="preserve">”</w:t>
      </w:r>
      <w:r>
        <w:t xml:space="preserve"> </w:t>
      </w:r>
      <w:r>
        <w:t xml:space="preserve">Inside the United Kingdom, civil occupations polarised along Eloundou’s ranking rather than collapsing as one block.</w:t>
      </w:r>
    </w:p>
    <w:p>
      <w:pPr>
        <w:pStyle w:val="BodyText"/>
      </w:pPr>
      <w:r>
        <w:t xml:space="preserve">The title question—how the civil engineering industry economy changes under AI in a transnational setting—therefore has a split answer:</w:t>
      </w:r>
      <w:r>
        <w:t xml:space="preserve"> </w:t>
      </w:r>
      <w:r>
        <w:rPr>
          <w:bCs/>
          <w:b/>
        </w:rPr>
        <w:t xml:space="preserve">domestic M71, no boom; India Mode 1, yes, as association not as APS-2121 causality.</w:t>
      </w:r>
      <w:r>
        <w:t xml:space="preserve"> </w:t>
      </w:r>
      <w:r>
        <w:t xml:space="preserve">Future work needs SJ312, an M71 AI survey, and bilateral ISCO 2142. Until those exist, papers should not treat construction, civil engineers, and engineering services trade as interchangeable.</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w:t>
      </w:r>
      <w:r>
        <w:t xml:space="preserve">, 108(6),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w:t>
      </w:r>
      <w:r>
        <w:t xml:space="preserve">, 33(2), 3–30.</w:t>
      </w:r>
    </w:p>
    <w:p>
      <w:pPr>
        <w:pStyle w:val="BodyText"/>
      </w:pPr>
      <w:r>
        <w:t xml:space="preserve">Acemoglu, D., &amp; Restrepo, P. (2020). Robots and jobs: Evidence from US labor markets.</w:t>
      </w:r>
      <w:r>
        <w:t xml:space="preserve"> </w:t>
      </w:r>
      <w:r>
        <w:rPr>
          <w:iCs/>
          <w:i/>
        </w:rPr>
        <w:t xml:space="preserve">Journal of Political Economy</w:t>
      </w:r>
      <w:r>
        <w:t xml:space="preserve">, 128(6), 2188–2244.</w:t>
      </w:r>
    </w:p>
    <w:p>
      <w:pPr>
        <w:pStyle w:val="BodyText"/>
      </w:pPr>
      <w:r>
        <w:t xml:space="preserve">Acemoglu, D., Autor, D., Hazell, J., &amp; Restrepo, P. (2022). Artificial intelligence and jobs: Evidence from online vacancies.</w:t>
      </w:r>
      <w:r>
        <w:t xml:space="preserve"> </w:t>
      </w:r>
      <w:r>
        <w:rPr>
          <w:iCs/>
          <w:i/>
        </w:rPr>
        <w:t xml:space="preserve">Journal of Labor Economics</w:t>
      </w:r>
      <w:r>
        <w:t xml:space="preserve">, 40(S1), S293–S340.</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w:t>
      </w:r>
      <w:r>
        <w:t xml:space="preserve">, 118(4), 1279–1333.</w:t>
      </w:r>
    </w:p>
    <w:p>
      <w:pPr>
        <w:pStyle w:val="BodyText"/>
      </w:pPr>
      <w:r>
        <w:t xml:space="preserve">Autor, D., Mindell, D., &amp; Reynolds, E. (2022).</w:t>
      </w:r>
      <w:r>
        <w:t xml:space="preserve"> </w:t>
      </w:r>
      <w:r>
        <w:rPr>
          <w:iCs/>
          <w:i/>
        </w:rPr>
        <w:t xml:space="preserve">The work of the future: Building better jobs in an age of intelligent machines</w:t>
      </w:r>
      <w:r>
        <w:t xml:space="preserve">. MIT Press.</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(2025). Generative AI at work.</w:t>
      </w:r>
      <w:r>
        <w:t xml:space="preserve"> </w:t>
      </w:r>
      <w:r>
        <w:rPr>
          <w:iCs/>
          <w:i/>
        </w:rPr>
        <w:t xml:space="preserve">Quarterly Journal of Economics</w:t>
      </w:r>
      <w:r>
        <w:t xml:space="preserve">, 140(2), 889–942.</w:t>
      </w:r>
    </w:p>
    <w:p>
      <w:pPr>
        <w:pStyle w:val="BodyText"/>
      </w:pPr>
      <w:r>
        <w:t xml:space="preserve">Dell’Acqua, F., McFowland, E., Mollick, E.,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w:t>
      </w:r>
      <w:r>
        <w:t xml:space="preserve">, 384(6702), 1306–1308.</w:t>
      </w:r>
    </w:p>
    <w:p>
      <w:pPr>
        <w:pStyle w:val="BodyText"/>
      </w:pPr>
      <w:r>
        <w:t xml:space="preserve">Eurostat. (2024–2026). ICT usage in enterprises: Artificial intelligence (</w:t>
      </w:r>
      <w:r>
        <w:rPr>
          <w:rStyle w:val="VerbatimChar"/>
        </w:rPr>
        <w:t xml:space="preserve">isoc_eb_ain2</w:t>
      </w:r>
      <w:r>
        <w:t xml:space="preserve">); national accounts (</w:t>
      </w:r>
      <w:r>
        <w:rPr>
          <w:rStyle w:val="VerbatimChar"/>
        </w:rPr>
        <w:t xml:space="preserve">nama_10_a64</w:t>
      </w:r>
      <w:r>
        <w:t xml:space="preserve">); structural business statistics (</w:t>
      </w:r>
      <w:r>
        <w:rPr>
          <w:rStyle w:val="VerbatimChar"/>
        </w:rPr>
        <w:t xml:space="preserve">sbs_ovw_act</w:t>
      </w:r>
      <w:r>
        <w:t xml:space="preserve">,</w:t>
      </w:r>
      <w:r>
        <w:t xml:space="preserve"> </w:t>
      </w:r>
      <w:r>
        <w:rPr>
          <w:rStyle w:val="VerbatimChar"/>
        </w:rPr>
        <w:t xml:space="preserve">sbs_sc_ovw</w:t>
      </w:r>
      <w:r>
        <w:t xml:space="preserve">). Luxembourg: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w:t>
      </w:r>
      <w:r>
        <w:t xml:space="preserve">, 108,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w:t>
      </w:r>
      <w:r>
        <w:t xml:space="preserve">, 42(12), 2195–2217.</w:t>
      </w:r>
    </w:p>
    <w:p>
      <w:pPr>
        <w:pStyle w:val="BodyText"/>
      </w:pPr>
      <w:r>
        <w:t xml:space="preserve">Fortanier, F., Liberatore, A., Maurer, A., &amp; Pilgrim, G. (2017). The OECD–WTO Balanced Trade in Services database. OECD/WTO.</w:t>
      </w:r>
    </w:p>
    <w:p>
      <w:pPr>
        <w:pStyle w:val="BodyText"/>
      </w:pPr>
      <w:r>
        <w:t xml:space="preserve">Francois, J., &amp; Hoekman, B. (2010). Services trade and policy.</w:t>
      </w:r>
      <w:r>
        <w:t xml:space="preserve"> </w:t>
      </w:r>
      <w:r>
        <w:rPr>
          <w:iCs/>
          <w:i/>
        </w:rPr>
        <w:t xml:space="preserve">Journal of Economic Literature</w:t>
      </w:r>
      <w:r>
        <w:t xml:space="preserve">, 48(3),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w:t>
      </w:r>
      <w:r>
        <w:t xml:space="preserve">, 29(7–8), 955–972.</w:t>
      </w:r>
    </w:p>
    <w:p>
      <w:pPr>
        <w:pStyle w:val="BodyText"/>
      </w:pPr>
      <w:r>
        <w:t xml:space="preserve">Goldfarb, A., Taska, B., &amp; Teodoridis, F. (2023). Could machine learning be a general purpose technology? A comparison of emerging methods and technology categories.</w:t>
      </w:r>
      <w:r>
        <w:t xml:space="preserve"> </w:t>
      </w:r>
      <w:r>
        <w:rPr>
          <w:iCs/>
          <w:i/>
        </w:rPr>
        <w:t xml:space="preserve">Research Policy</w:t>
      </w:r>
      <w:r>
        <w:t xml:space="preserve"> </w:t>
      </w:r>
      <w:r>
        <w:t xml:space="preserve">(related vacancy/AI-skill work).</w:t>
      </w:r>
    </w:p>
    <w:p>
      <w:pPr>
        <w:pStyle w:val="BodyText"/>
      </w:pPr>
      <w:r>
        <w:t xml:space="preserve">Grossman, G. M., &amp; Rossi-Hansberg, E. (2008). Trading tasks: A simple theory of offshoring.</w:t>
      </w:r>
      <w:r>
        <w:t xml:space="preserve"> </w:t>
      </w:r>
      <w:r>
        <w:rPr>
          <w:iCs/>
          <w:i/>
        </w:rPr>
        <w:t xml:space="preserve">American Economic Review</w:t>
      </w:r>
      <w:r>
        <w:t xml:space="preserve">, 98(5),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&amp; NASK. (2023).</w:t>
      </w:r>
      <w:r>
        <w:t xml:space="preserve"> </w:t>
      </w:r>
      <w:r>
        <w:rPr>
          <w:iCs/>
          <w:i/>
        </w:rPr>
        <w:t xml:space="preserve">Generative AI and jobs: A global analysis of potential effects on job quantity and quality</w:t>
      </w:r>
      <w:r>
        <w:t xml:space="preserve"> </w:t>
      </w:r>
      <w:r>
        <w:t xml:space="preserve">(ILO Working Paper 140). Geneva: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Microsoft. (2026).</w:t>
      </w:r>
      <w:r>
        <w:t xml:space="preserve"> </w:t>
      </w:r>
      <w:r>
        <w:rPr>
          <w:iCs/>
          <w:i/>
        </w:rPr>
        <w:t xml:space="preserve">AI Diffusion Report</w:t>
      </w:r>
      <w:r>
        <w:t xml:space="preserve">, Q1 2026 update (user-share snapshot; not used as 2015–24 shock).</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BaTIS: Balanced Trade in Services dataset, BPM6, adjustment B.</w:t>
      </w:r>
    </w:p>
    <w:p>
      <w:pPr>
        <w:pStyle w:val="BodyText"/>
      </w:pPr>
      <w:r>
        <w:t xml:space="preserve">Office for National Statistics. (2019). Which occupations are at highest risk of being automated? (Table 9, SOC 2010). APS SOC 2020 employment extracts as used in this repository.</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w:t>
      </w:r>
      <w:r>
        <w:t xml:space="preserve"> </w:t>
      </w:r>
      <w:r>
        <w:t xml:space="preserve">(3rd ed.). Wiley.</w:t>
      </w:r>
    </w:p>
    <w:p>
      <w:pPr>
        <w:pStyle w:val="BodyText"/>
      </w:pPr>
      <w:r>
        <w:t xml:space="preserve">Webb, M. (2020). The impact of artificial intelligence on the labor market. Stanford mimeo.</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Geneva: World Trade Organization.</w:t>
      </w:r>
    </w:p>
    <w:p>
      <w:r>
        <w:pict>
          <v:rect style="width:0;height:1.5pt" o:hralign="center" o:hrstd="t" o:hr="t"/>
        </w:pict>
      </w:r>
    </w:p>
    <w:bookmarkEnd w:id="49"/>
    <w:bookmarkStart w:id="113" w:name="figure-captions"/>
    <w:p>
      <w:pPr>
        <w:pStyle w:val="Heading2"/>
      </w:pPr>
      <w:r>
        <w:t xml:space="preserve">Figure captions</w:t>
      </w:r>
    </w:p>
    <w:p>
      <w:pPr>
        <w:pStyle w:val="FirstParagraph"/>
      </w:pPr>
      <w:r>
        <w:t xml:space="preserve">PNG files live in</w:t>
      </w:r>
      <w:r>
        <w:t xml:space="preserve"> </w:t>
      </w:r>
      <w:r>
        <w:rPr>
          <w:rStyle w:val="VerbatimChar"/>
        </w:rPr>
        <w:t xml:space="preserve">figures/</w:t>
      </w:r>
      <w:r>
        <w:t xml:space="preserve"> </w:t>
      </w:r>
      <w:r>
        <w:t xml:space="preserve">and are generated from</w:t>
      </w:r>
      <w:r>
        <w:t xml:space="preserve"> </w:t>
      </w:r>
      <w:r>
        <w:rPr>
          <w:rStyle w:val="VerbatimChar"/>
        </w:rPr>
        <w:t xml:space="preserve">../data/</w:t>
      </w:r>
      <w:r>
        <w:t xml:space="preserve">.</w:t>
      </w:r>
    </w:p>
    <w:p>
      <w:pPr>
        <w:pStyle w:val="BodyText"/>
      </w:pPr>
      <w:r>
        <w:rPr>
          <w:bCs/>
          <w:b/>
        </w:rPr>
        <w:t xml:space="preserve">Figure 1.</w:t>
      </w:r>
      <w:r>
        <w:t xml:space="preserve"> </w:t>
      </w:r>
      <w:r>
        <w:t xml:space="preserve">Eurostat enterprise AI use, EU-27, NACE M vs NACE F, 2021–2025.</w:t>
      </w:r>
    </w:p>
    <w:p>
      <w:pPr>
        <w:pStyle w:val="CaptionedFigure"/>
      </w:pPr>
      <w:r>
        <w:drawing>
          <wp:inline>
            <wp:extent cx="5334000" cy="2992243"/>
            <wp:effectExtent b="0" l="0" r="0" t="0"/>
            <wp:docPr descr="Figure 1" title="" id="51" name="Picture"/>
            <a:graphic>
              <a:graphicData uri="http://schemas.openxmlformats.org/drawingml/2006/picture">
                <pic:pic>
                  <pic:nvPicPr>
                    <pic:cNvPr descr="figures/figure1_eurostat_M_vs_F.png" id="52" name="Picture"/>
                    <pic:cNvPicPr>
                      <a:picLocks noChangeArrowheads="1" noChangeAspect="1"/>
                    </pic:cNvPicPr>
                  </pic:nvPicPr>
                  <pic:blipFill>
                    <a:blip r:embed="rId50"/>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Figure 1</w:t>
      </w:r>
    </w:p>
    <w:p>
      <w:pPr>
        <w:pStyle w:val="BodyText"/>
      </w:pPr>
      <w:r>
        <w:rPr>
          <w:bCs/>
          <w:b/>
        </w:rPr>
        <w:t xml:space="preserve">Figure 2.</w:t>
      </w:r>
      <w:r>
        <w:t xml:space="preserve"> </w:t>
      </w:r>
      <w:r>
        <w:t xml:space="preserve">UK APS employment change, 16 civil-adjacent SOC 2020 unit groups, Dec 2021–Sep 2025.</w:t>
      </w:r>
    </w:p>
    <w:p>
      <w:pPr>
        <w:pStyle w:val="CaptionedFigure"/>
      </w:pPr>
      <w:r>
        <w:drawing>
          <wp:inline>
            <wp:extent cx="5334000" cy="3473302"/>
            <wp:effectExtent b="0" l="0" r="0" t="0"/>
            <wp:docPr descr="Figure 2" title="" id="54" name="Picture"/>
            <a:graphic>
              <a:graphicData uri="http://schemas.openxmlformats.org/drawingml/2006/picture">
                <pic:pic>
                  <pic:nvPicPr>
                    <pic:cNvPr descr="figures/figure2_uk_aps_bundle.png" id="55" name="Picture"/>
                    <pic:cNvPicPr>
                      <a:picLocks noChangeArrowheads="1" noChangeAspect="1"/>
                    </pic:cNvPicPr>
                  </pic:nvPicPr>
                  <pic:blipFill>
                    <a:blip r:embed="rId53"/>
                    <a:stretch>
                      <a:fillRect/>
                    </a:stretch>
                  </pic:blipFill>
                  <pic:spPr bwMode="auto">
                    <a:xfrm>
                      <a:off x="0" y="0"/>
                      <a:ext cx="5334000" cy="3473302"/>
                    </a:xfrm>
                    <a:prstGeom prst="rect">
                      <a:avLst/>
                    </a:prstGeom>
                    <a:noFill/>
                    <a:ln w="9525">
                      <a:noFill/>
                      <a:headEnd/>
                      <a:tailEnd/>
                    </a:ln>
                  </pic:spPr>
                </pic:pic>
              </a:graphicData>
            </a:graphic>
          </wp:inline>
        </w:drawing>
      </w:r>
    </w:p>
    <w:p>
      <w:pPr>
        <w:pStyle w:val="ImageCaption"/>
      </w:pPr>
      <w:r>
        <w:t xml:space="preserve">Figure 2</w:t>
      </w:r>
    </w:p>
    <w:p>
      <w:pPr>
        <w:pStyle w:val="BodyText"/>
      </w:pPr>
      <w:r>
        <w:rPr>
          <w:bCs/>
          <w:b/>
        </w:rPr>
        <w:t xml:space="preserve">Figure 3.</w:t>
      </w:r>
      <w:r>
        <w:t xml:space="preserve"> </w:t>
      </w:r>
      <w:r>
        <w:t xml:space="preserve">UK BaTIS balanced imports: India SJ3, China SE, India SI.</w:t>
      </w:r>
    </w:p>
    <w:p>
      <w:pPr>
        <w:pStyle w:val="CaptionedFigure"/>
      </w:pPr>
      <w:r>
        <w:drawing>
          <wp:inline>
            <wp:extent cx="5334000" cy="2992243"/>
            <wp:effectExtent b="0" l="0" r="0" t="0"/>
            <wp:docPr descr="Figure 3" title="" id="57" name="Picture"/>
            <a:graphic>
              <a:graphicData uri="http://schemas.openxmlformats.org/drawingml/2006/picture">
                <pic:pic>
                  <pic:nvPicPr>
                    <pic:cNvPr descr="figures/figure3_uk_trade.png" id="58" name="Picture"/>
                    <pic:cNvPicPr>
                      <a:picLocks noChangeArrowheads="1" noChangeAspect="1"/>
                    </pic:cNvPicPr>
                  </pic:nvPicPr>
                  <pic:blipFill>
                    <a:blip r:embed="rId56"/>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Figure 3</w:t>
      </w:r>
    </w:p>
    <w:p>
      <w:pPr>
        <w:pStyle w:val="BodyText"/>
      </w:pPr>
      <w:r>
        <w:rPr>
          <w:bCs/>
          <w:b/>
        </w:rPr>
        <w:t xml:space="preserve">Figure 4.</w:t>
      </w:r>
      <w:r>
        <w:t xml:space="preserve"> </w:t>
      </w:r>
      <w:r>
        <w:t xml:space="preserve">Event study, year × importer ΔM TANY, omit 2022.</w:t>
      </w:r>
    </w:p>
    <w:p>
      <w:pPr>
        <w:pStyle w:val="CaptionedFigure"/>
      </w:pPr>
      <w:r>
        <w:drawing>
          <wp:inline>
            <wp:extent cx="5334000" cy="2992243"/>
            <wp:effectExtent b="0" l="0" r="0" t="0"/>
            <wp:docPr descr="Figure 4" title="" id="60" name="Picture"/>
            <a:graphic>
              <a:graphicData uri="http://schemas.openxmlformats.org/drawingml/2006/picture">
                <pic:pic>
                  <pic:nvPicPr>
                    <pic:cNvPr descr="figures/figure4_event_study.png" id="61" name="Picture"/>
                    <pic:cNvPicPr>
                      <a:picLocks noChangeArrowheads="1" noChangeAspect="1"/>
                    </pic:cNvPicPr>
                  </pic:nvPicPr>
                  <pic:blipFill>
                    <a:blip r:embed="rId59"/>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Figure 4</w:t>
      </w:r>
    </w:p>
    <w:p>
      <w:pPr>
        <w:pStyle w:val="BodyText"/>
      </w:pPr>
      <w:r>
        <w:rPr>
          <w:bCs/>
          <w:b/>
        </w:rPr>
        <w:t xml:space="preserve">Figure 5.</w:t>
      </w:r>
      <w:r>
        <w:t xml:space="preserve"> </w:t>
      </w:r>
      <w:r>
        <w:t xml:space="preserve">ILO ISIC M vs F employment growth, 2019–2024.</w:t>
      </w:r>
    </w:p>
    <w:p>
      <w:pPr>
        <w:pStyle w:val="CaptionedFigure"/>
      </w:pPr>
      <w:r>
        <w:drawing>
          <wp:inline>
            <wp:extent cx="5334000" cy="3382536"/>
            <wp:effectExtent b="0" l="0" r="0" t="0"/>
            <wp:docPr descr="Figure 5" title="" id="63" name="Picture"/>
            <a:graphic>
              <a:graphicData uri="http://schemas.openxmlformats.org/drawingml/2006/picture">
                <pic:pic>
                  <pic:nvPicPr>
                    <pic:cNvPr descr="figures/figure5_ilo_M_vs_F.png" id="64" name="Picture"/>
                    <pic:cNvPicPr>
                      <a:picLocks noChangeArrowheads="1" noChangeAspect="1"/>
                    </pic:cNvPicPr>
                  </pic:nvPicPr>
                  <pic:blipFill>
                    <a:blip r:embed="rId62"/>
                    <a:stretch>
                      <a:fillRect/>
                    </a:stretch>
                  </pic:blipFill>
                  <pic:spPr bwMode="auto">
                    <a:xfrm>
                      <a:off x="0" y="0"/>
                      <a:ext cx="5334000" cy="3382536"/>
                    </a:xfrm>
                    <a:prstGeom prst="rect">
                      <a:avLst/>
                    </a:prstGeom>
                    <a:noFill/>
                    <a:ln w="9525">
                      <a:noFill/>
                      <a:headEnd/>
                      <a:tailEnd/>
                    </a:ln>
                  </pic:spPr>
                </pic:pic>
              </a:graphicData>
            </a:graphic>
          </wp:inline>
        </w:drawing>
      </w:r>
    </w:p>
    <w:p>
      <w:pPr>
        <w:pStyle w:val="ImageCaption"/>
      </w:pPr>
      <w:r>
        <w:t xml:space="preserve">Figure 5</w:t>
      </w:r>
    </w:p>
    <w:p>
      <w:pPr>
        <w:pStyle w:val="BodyText"/>
      </w:pPr>
      <w:r>
        <w:rPr>
          <w:bCs/>
          <w:b/>
        </w:rPr>
        <w:t xml:space="preserve">Figure 6.</w:t>
      </w:r>
      <w:r>
        <w:t xml:space="preserve"> </w:t>
      </w:r>
      <w:r>
        <w:t xml:space="preserve">EU-importer sums: Mode-1 SJ3 vs China SE.</w:t>
      </w:r>
    </w:p>
    <w:p>
      <w:pPr>
        <w:pStyle w:val="CaptionedFigure"/>
      </w:pPr>
      <w:r>
        <w:drawing>
          <wp:inline>
            <wp:extent cx="5334000" cy="2992243"/>
            <wp:effectExtent b="0" l="0" r="0" t="0"/>
            <wp:docPr descr="Figure 6" title="" id="66" name="Picture"/>
            <a:graphic>
              <a:graphicData uri="http://schemas.openxmlformats.org/drawingml/2006/picture">
                <pic:pic>
                  <pic:nvPicPr>
                    <pic:cNvPr descr="figures/figure6_eu_mode1_vs_china.png" id="67" name="Picture"/>
                    <pic:cNvPicPr>
                      <a:picLocks noChangeArrowheads="1" noChangeAspect="1"/>
                    </pic:cNvPicPr>
                  </pic:nvPicPr>
                  <pic:blipFill>
                    <a:blip r:embed="rId65"/>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Figure 6</w:t>
      </w:r>
    </w:p>
    <w:p>
      <w:pPr>
        <w:pStyle w:val="BodyText"/>
      </w:pPr>
      <w:r>
        <w:rPr>
          <w:bCs/>
          <w:b/>
        </w:rPr>
        <w:t xml:space="preserve">Figure 7.</w:t>
      </w:r>
      <w:r>
        <w:t xml:space="preserve"> </w:t>
      </w:r>
      <w:r>
        <w:t xml:space="preserve">Cross-section: ΔM TANY vs Δ log India SJ3, 2022–24.</w:t>
      </w:r>
    </w:p>
    <w:p>
      <w:pPr>
        <w:pStyle w:val="CaptionedFigure"/>
      </w:pPr>
      <w:r>
        <w:drawing>
          <wp:inline>
            <wp:extent cx="5334000" cy="3879272"/>
            <wp:effectExtent b="0" l="0" r="0" t="0"/>
            <wp:docPr descr="Figure 7" title="" id="69" name="Picture"/>
            <a:graphic>
              <a:graphicData uri="http://schemas.openxmlformats.org/drawingml/2006/picture">
                <pic:pic>
                  <pic:nvPicPr>
                    <pic:cNvPr descr="figures/figure7_cross_section.png" id="70" name="Picture"/>
                    <pic:cNvPicPr>
                      <a:picLocks noChangeArrowheads="1" noChangeAspect="1"/>
                    </pic:cNvPicPr>
                  </pic:nvPicPr>
                  <pic:blipFill>
                    <a:blip r:embed="rId68"/>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t xml:space="preserve">Figure 7</w:t>
      </w:r>
    </w:p>
    <w:p>
      <w:pPr>
        <w:pStyle w:val="BodyText"/>
      </w:pPr>
      <w:r>
        <w:rPr>
          <w:bCs/>
          <w:b/>
        </w:rPr>
        <w:t xml:space="preserve">Figure 8.</w:t>
      </w:r>
      <w:r>
        <w:t xml:space="preserve"> </w:t>
      </w:r>
      <w:r>
        <w:t xml:space="preserve">Leave-one-importer-out, TANY.</w:t>
      </w:r>
    </w:p>
    <w:p>
      <w:pPr>
        <w:pStyle w:val="CaptionedFigure"/>
      </w:pPr>
      <w:r>
        <w:drawing>
          <wp:inline>
            <wp:extent cx="5334000" cy="3252439"/>
            <wp:effectExtent b="0" l="0" r="0" t="0"/>
            <wp:docPr descr="Figure 8" title="" id="72" name="Picture"/>
            <a:graphic>
              <a:graphicData uri="http://schemas.openxmlformats.org/drawingml/2006/picture">
                <pic:pic>
                  <pic:nvPicPr>
                    <pic:cNvPr descr="figures/figure8_loo.png" id="73" name="Picture"/>
                    <pic:cNvPicPr>
                      <a:picLocks noChangeArrowheads="1" noChangeAspect="1"/>
                    </pic:cNvPicPr>
                  </pic:nvPicPr>
                  <pic:blipFill>
                    <a:blip r:embed="rId71"/>
                    <a:stretch>
                      <a:fillRect/>
                    </a:stretch>
                  </pic:blipFill>
                  <pic:spPr bwMode="auto">
                    <a:xfrm>
                      <a:off x="0" y="0"/>
                      <a:ext cx="5334000" cy="3252439"/>
                    </a:xfrm>
                    <a:prstGeom prst="rect">
                      <a:avLst/>
                    </a:prstGeom>
                    <a:noFill/>
                    <a:ln w="9525">
                      <a:noFill/>
                      <a:headEnd/>
                      <a:tailEnd/>
                    </a:ln>
                  </pic:spPr>
                </pic:pic>
              </a:graphicData>
            </a:graphic>
          </wp:inline>
        </w:drawing>
      </w:r>
    </w:p>
    <w:p>
      <w:pPr>
        <w:pStyle w:val="ImageCaption"/>
      </w:pPr>
      <w:r>
        <w:t xml:space="preserve">Figure 8</w:t>
      </w:r>
    </w:p>
    <w:p>
      <w:pPr>
        <w:pStyle w:val="BodyText"/>
      </w:pPr>
      <w:r>
        <w:rPr>
          <w:bCs/>
          <w:b/>
        </w:rPr>
        <w:t xml:space="preserve">Figure 9.</w:t>
      </w:r>
      <w:r>
        <w:t xml:space="preserve"> </w:t>
      </w:r>
      <w:r>
        <w:t xml:space="preserve">NACE M71 vs F GVA, 2019–2023, current EUR.</w:t>
      </w:r>
    </w:p>
    <w:p>
      <w:pPr>
        <w:pStyle w:val="CaptionedFigure"/>
      </w:pPr>
      <w:r>
        <w:drawing>
          <wp:inline>
            <wp:extent cx="5334000" cy="3429000"/>
            <wp:effectExtent b="0" l="0" r="0" t="0"/>
            <wp:docPr descr="Figure 9" title="" id="75" name="Picture"/>
            <a:graphic>
              <a:graphicData uri="http://schemas.openxmlformats.org/drawingml/2006/picture">
                <pic:pic>
                  <pic:nvPicPr>
                    <pic:cNvPr descr="figures/figure9_m71_vs_F_gva.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9</w:t>
      </w:r>
    </w:p>
    <w:p>
      <w:pPr>
        <w:pStyle w:val="BodyText"/>
      </w:pPr>
      <w:r>
        <w:rPr>
          <w:bCs/>
          <w:b/>
        </w:rPr>
        <w:t xml:space="preserve">Figure 10.</w:t>
      </w:r>
      <w:r>
        <w:t xml:space="preserve"> </w:t>
      </w:r>
      <w:r>
        <w:t xml:space="preserve">UK APS change versus Eloundou β_human and versus Felten AIOE.</w:t>
      </w:r>
    </w:p>
    <w:p>
      <w:pPr>
        <w:pStyle w:val="CaptionedFigure"/>
      </w:pPr>
      <w:r>
        <w:drawing>
          <wp:inline>
            <wp:extent cx="5334000" cy="2435086"/>
            <wp:effectExtent b="0" l="0" r="0" t="0"/>
            <wp:docPr descr="Figure 10" title="" id="78" name="Picture"/>
            <a:graphic>
              <a:graphicData uri="http://schemas.openxmlformats.org/drawingml/2006/picture">
                <pic:pic>
                  <pic:nvPicPr>
                    <pic:cNvPr descr="figures/figure10_instruments_vs_aps.png" id="79" name="Picture"/>
                    <pic:cNvPicPr>
                      <a:picLocks noChangeArrowheads="1" noChangeAspect="1"/>
                    </pic:cNvPicPr>
                  </pic:nvPicPr>
                  <pic:blipFill>
                    <a:blip r:embed="rId77"/>
                    <a:stretch>
                      <a:fillRect/>
                    </a:stretch>
                  </pic:blipFill>
                  <pic:spPr bwMode="auto">
                    <a:xfrm>
                      <a:off x="0" y="0"/>
                      <a:ext cx="5334000" cy="2435086"/>
                    </a:xfrm>
                    <a:prstGeom prst="rect">
                      <a:avLst/>
                    </a:prstGeom>
                    <a:noFill/>
                    <a:ln w="9525">
                      <a:noFill/>
                      <a:headEnd/>
                      <a:tailEnd/>
                    </a:ln>
                  </pic:spPr>
                </pic:pic>
              </a:graphicData>
            </a:graphic>
          </wp:inline>
        </w:drawing>
      </w:r>
    </w:p>
    <w:p>
      <w:pPr>
        <w:pStyle w:val="ImageCaption"/>
      </w:pPr>
      <w:r>
        <w:t xml:space="preserve">Figure 10</w:t>
      </w:r>
    </w:p>
    <w:p>
      <w:pPr>
        <w:pStyle w:val="BodyText"/>
      </w:pPr>
      <w:r>
        <w:rPr>
          <w:bCs/>
          <w:b/>
        </w:rPr>
        <w:t xml:space="preserve">Figure 11.</w:t>
      </w:r>
      <w:r>
        <w:t xml:space="preserve"> </w:t>
      </w:r>
      <w:r>
        <w:t xml:space="preserve">Felten AIIE, US construction NAICS 23.</w:t>
      </w:r>
    </w:p>
    <w:p>
      <w:pPr>
        <w:pStyle w:val="CaptionedFigure"/>
      </w:pPr>
      <w:r>
        <w:drawing>
          <wp:inline>
            <wp:extent cx="5334000" cy="3122341"/>
            <wp:effectExtent b="0" l="0" r="0" t="0"/>
            <wp:docPr descr="Figure 11" title="" id="81" name="Picture"/>
            <a:graphic>
              <a:graphicData uri="http://schemas.openxmlformats.org/drawingml/2006/picture">
                <pic:pic>
                  <pic:nvPicPr>
                    <pic:cNvPr descr="figures/figure11_aiie_construction.png" id="82" name="Picture"/>
                    <pic:cNvPicPr>
                      <a:picLocks noChangeArrowheads="1" noChangeAspect="1"/>
                    </pic:cNvPicPr>
                  </pic:nvPicPr>
                  <pic:blipFill>
                    <a:blip r:embed="rId80"/>
                    <a:stretch>
                      <a:fillRect/>
                    </a:stretch>
                  </pic:blipFill>
                  <pic:spPr bwMode="auto">
                    <a:xfrm>
                      <a:off x="0" y="0"/>
                      <a:ext cx="5334000" cy="3122341"/>
                    </a:xfrm>
                    <a:prstGeom prst="rect">
                      <a:avLst/>
                    </a:prstGeom>
                    <a:noFill/>
                    <a:ln w="9525">
                      <a:noFill/>
                      <a:headEnd/>
                      <a:tailEnd/>
                    </a:ln>
                  </pic:spPr>
                </pic:pic>
              </a:graphicData>
            </a:graphic>
          </wp:inline>
        </w:drawing>
      </w:r>
    </w:p>
    <w:p>
      <w:pPr>
        <w:pStyle w:val="ImageCaption"/>
      </w:pPr>
      <w:r>
        <w:t xml:space="preserve">Figure 11</w:t>
      </w:r>
    </w:p>
    <w:p>
      <w:pPr>
        <w:pStyle w:val="BodyText"/>
      </w:pPr>
      <w:r>
        <w:rPr>
          <w:bCs/>
          <w:b/>
        </w:rPr>
        <w:t xml:space="preserve">Figure 12.</w:t>
      </w:r>
      <w:r>
        <w:t xml:space="preserve"> </w:t>
      </w:r>
      <w:r>
        <w:t xml:space="preserve">EU-27 AI types: M NLG vs ML vs text mining vs construction NLG.</w:t>
      </w:r>
    </w:p>
    <w:p>
      <w:pPr>
        <w:pStyle w:val="CaptionedFigure"/>
      </w:pPr>
      <w:r>
        <w:drawing>
          <wp:inline>
            <wp:extent cx="5334000" cy="3048000"/>
            <wp:effectExtent b="0" l="0" r="0" t="0"/>
            <wp:docPr descr="Figure 12" title="" id="84" name="Picture"/>
            <a:graphic>
              <a:graphicData uri="http://schemas.openxmlformats.org/drawingml/2006/picture">
                <pic:pic>
                  <pic:nvPicPr>
                    <pic:cNvPr descr="figures/figure12_tnlg_vs_tml.png" id="85" name="Picture"/>
                    <pic:cNvPicPr>
                      <a:picLocks noChangeArrowheads="1" noChangeAspect="1"/>
                    </pic:cNvPicPr>
                  </pic:nvPicPr>
                  <pic:blipFill>
                    <a:blip r:embed="rId83"/>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12</w:t>
      </w:r>
    </w:p>
    <w:p>
      <w:pPr>
        <w:pStyle w:val="BodyText"/>
      </w:pPr>
      <w:r>
        <w:rPr>
          <w:bCs/>
          <w:b/>
        </w:rPr>
        <w:t xml:space="preserve">Figure 13.</w:t>
      </w:r>
      <w:r>
        <w:t xml:space="preserve"> </w:t>
      </w:r>
      <w:r>
        <w:t xml:space="preserve">2024 NLG use, NACE M versus F, by country.</w:t>
      </w:r>
    </w:p>
    <w:p>
      <w:pPr>
        <w:pStyle w:val="CaptionedFigure"/>
      </w:pPr>
      <w:r>
        <w:drawing>
          <wp:inline>
            <wp:extent cx="5334000" cy="3429000"/>
            <wp:effectExtent b="0" l="0" r="0" t="0"/>
            <wp:docPr descr="Figure 13" title="" id="87" name="Picture"/>
            <a:graphic>
              <a:graphicData uri="http://schemas.openxmlformats.org/drawingml/2006/picture">
                <pic:pic>
                  <pic:nvPicPr>
                    <pic:cNvPr descr="figures/figure13_tnlg_2024_MF.png" id="88" name="Picture"/>
                    <pic:cNvPicPr>
                      <a:picLocks noChangeArrowheads="1" noChangeAspect="1"/>
                    </pic:cNvPicPr>
                  </pic:nvPicPr>
                  <pic:blipFill>
                    <a:blip r:embed="rId86"/>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13</w:t>
      </w:r>
    </w:p>
    <w:p>
      <w:pPr>
        <w:pStyle w:val="BodyText"/>
      </w:pPr>
      <w:r>
        <w:rPr>
          <w:bCs/>
          <w:b/>
        </w:rPr>
        <w:t xml:space="preserve">Figure 14.</w:t>
      </w:r>
      <w:r>
        <w:t xml:space="preserve"> </w:t>
      </w:r>
      <w:r>
        <w:t xml:space="preserve">Event study, year × ΔM TNLG 2023–24, omit 2022.</w:t>
      </w:r>
    </w:p>
    <w:p>
      <w:pPr>
        <w:pStyle w:val="CaptionedFigure"/>
      </w:pPr>
      <w:r>
        <w:drawing>
          <wp:inline>
            <wp:extent cx="5334000" cy="2992243"/>
            <wp:effectExtent b="0" l="0" r="0" t="0"/>
            <wp:docPr descr="Figure 14" title="" id="90" name="Picture"/>
            <a:graphic>
              <a:graphicData uri="http://schemas.openxmlformats.org/drawingml/2006/picture">
                <pic:pic>
                  <pic:nvPicPr>
                    <pic:cNvPr descr="figures/figure14_event_study_tnlg.png" id="91" name="Picture"/>
                    <pic:cNvPicPr>
                      <a:picLocks noChangeArrowheads="1" noChangeAspect="1"/>
                    </pic:cNvPicPr>
                  </pic:nvPicPr>
                  <pic:blipFill>
                    <a:blip r:embed="rId89"/>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Figure 14</w:t>
      </w:r>
    </w:p>
    <w:p>
      <w:pPr>
        <w:pStyle w:val="BodyText"/>
      </w:pPr>
      <w:r>
        <w:rPr>
          <w:bCs/>
          <w:b/>
        </w:rPr>
        <w:t xml:space="preserve">Figure 15.</w:t>
      </w:r>
      <w:r>
        <w:t xml:space="preserve"> </w:t>
      </w:r>
      <w:r>
        <w:t xml:space="preserve">ΔM TNLG 2023–24 vs Δ log India SJ3, 2022–24.</w:t>
      </w:r>
    </w:p>
    <w:p>
      <w:pPr>
        <w:pStyle w:val="CaptionedFigure"/>
      </w:pPr>
      <w:r>
        <w:drawing>
          <wp:inline>
            <wp:extent cx="5334000" cy="3765176"/>
            <wp:effectExtent b="0" l="0" r="0" t="0"/>
            <wp:docPr descr="Figure 15" title="" id="93" name="Picture"/>
            <a:graphic>
              <a:graphicData uri="http://schemas.openxmlformats.org/drawingml/2006/picture">
                <pic:pic>
                  <pic:nvPicPr>
                    <pic:cNvPr descr="figures/figure15_cross_section_tnlg.png" id="94" name="Picture"/>
                    <pic:cNvPicPr>
                      <a:picLocks noChangeArrowheads="1" noChangeAspect="1"/>
                    </pic:cNvPicPr>
                  </pic:nvPicPr>
                  <pic:blipFill>
                    <a:blip r:embed="rId92"/>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Figure 15</w:t>
      </w:r>
    </w:p>
    <w:p>
      <w:pPr>
        <w:pStyle w:val="BodyText"/>
      </w:pPr>
      <w:r>
        <w:rPr>
          <w:bCs/>
          <w:b/>
        </w:rPr>
        <w:t xml:space="preserve">Figure 16.</w:t>
      </w:r>
      <w:r>
        <w:t xml:space="preserve"> </w:t>
      </w:r>
      <w:r>
        <w:t xml:space="preserve">EU-27 NLG by NACE M, J, C, N, F.</w:t>
      </w:r>
    </w:p>
    <w:p>
      <w:pPr>
        <w:pStyle w:val="CaptionedFigure"/>
      </w:pPr>
      <w:r>
        <w:drawing>
          <wp:inline>
            <wp:extent cx="5334000" cy="3048000"/>
            <wp:effectExtent b="0" l="0" r="0" t="0"/>
            <wp:docPr descr="Figure 16" title="" id="96" name="Picture"/>
            <a:graphic>
              <a:graphicData uri="http://schemas.openxmlformats.org/drawingml/2006/picture">
                <pic:pic>
                  <pic:nvPicPr>
                    <pic:cNvPr descr="figures/figure16_tnlg_by_nace.png" id="97" name="Picture"/>
                    <pic:cNvPicPr>
                      <a:picLocks noChangeArrowheads="1" noChangeAspect="1"/>
                    </pic:cNvPicPr>
                  </pic:nvPicPr>
                  <pic:blipFill>
                    <a:blip r:embed="rId9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16</w:t>
      </w:r>
    </w:p>
    <w:p>
      <w:pPr>
        <w:pStyle w:val="BodyText"/>
      </w:pPr>
      <w:r>
        <w:rPr>
          <w:bCs/>
          <w:b/>
        </w:rPr>
        <w:t xml:space="preserve">Figure 17.</w:t>
      </w:r>
      <w:r>
        <w:t xml:space="preserve"> </w:t>
      </w:r>
      <w:r>
        <w:t xml:space="preserve">SBS net turnover growth 2021–24, M71 vs F.</w:t>
      </w:r>
    </w:p>
    <w:p>
      <w:pPr>
        <w:pStyle w:val="CaptionedFigure"/>
      </w:pPr>
      <w:r>
        <w:drawing>
          <wp:inline>
            <wp:extent cx="5334000" cy="3429000"/>
            <wp:effectExtent b="0" l="0" r="0" t="0"/>
            <wp:docPr descr="Figure 17" title="" id="99" name="Picture"/>
            <a:graphic>
              <a:graphicData uri="http://schemas.openxmlformats.org/drawingml/2006/picture">
                <pic:pic>
                  <pic:nvPicPr>
                    <pic:cNvPr descr="figures/figure17_sbs_turnover_m71_vs_F.png" id="100" name="Picture"/>
                    <pic:cNvPicPr>
                      <a:picLocks noChangeArrowheads="1" noChangeAspect="1"/>
                    </pic:cNvPicPr>
                  </pic:nvPicPr>
                  <pic:blipFill>
                    <a:blip r:embed="rId98"/>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17</w:t>
      </w:r>
    </w:p>
    <w:p>
      <w:pPr>
        <w:pStyle w:val="BodyText"/>
      </w:pPr>
      <w:r>
        <w:rPr>
          <w:bCs/>
          <w:b/>
        </w:rPr>
        <w:t xml:space="preserve">Figure 18.</w:t>
      </w:r>
      <w:r>
        <w:t xml:space="preserve"> </w:t>
      </w:r>
      <w:r>
        <w:t xml:space="preserve">SBS employment growth 2021–24, M71 vs F.</w:t>
      </w:r>
    </w:p>
    <w:p>
      <w:pPr>
        <w:pStyle w:val="CaptionedFigure"/>
      </w:pPr>
      <w:r>
        <w:drawing>
          <wp:inline>
            <wp:extent cx="5334000" cy="3429000"/>
            <wp:effectExtent b="0" l="0" r="0" t="0"/>
            <wp:docPr descr="Figure 18" title="" id="102" name="Picture"/>
            <a:graphic>
              <a:graphicData uri="http://schemas.openxmlformats.org/drawingml/2006/picture">
                <pic:pic>
                  <pic:nvPicPr>
                    <pic:cNvPr descr="figures/figure18_sbs_emp_m71_vs_F.png" id="103" name="Picture"/>
                    <pic:cNvPicPr>
                      <a:picLocks noChangeArrowheads="1" noChangeAspect="1"/>
                    </pic:cNvPicPr>
                  </pic:nvPicPr>
                  <pic:blipFill>
                    <a:blip r:embed="rId101"/>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18</w:t>
      </w:r>
    </w:p>
    <w:p>
      <w:pPr>
        <w:pStyle w:val="BodyText"/>
      </w:pPr>
      <w:r>
        <w:rPr>
          <w:bCs/>
          <w:b/>
        </w:rPr>
        <w:t xml:space="preserve">Figure 19.</w:t>
      </w:r>
      <w:r>
        <w:t xml:space="preserve"> </w:t>
      </w:r>
      <w:r>
        <w:t xml:space="preserve">ΔTNLG 2023–24 vs M71 turnover change 2023–24.</w:t>
      </w:r>
    </w:p>
    <w:p>
      <w:pPr>
        <w:pStyle w:val="CaptionedFigure"/>
      </w:pPr>
      <w:r>
        <w:drawing>
          <wp:inline>
            <wp:extent cx="5334000" cy="3765176"/>
            <wp:effectExtent b="0" l="0" r="0" t="0"/>
            <wp:docPr descr="Figure 19" title="" id="105" name="Picture"/>
            <a:graphic>
              <a:graphicData uri="http://schemas.openxmlformats.org/drawingml/2006/picture">
                <pic:pic>
                  <pic:nvPicPr>
                    <pic:cNvPr descr="figures/figure19_tnlg_vs_m71_turnover.png" id="106" name="Picture"/>
                    <pic:cNvPicPr>
                      <a:picLocks noChangeArrowheads="1" noChangeAspect="1"/>
                    </pic:cNvPicPr>
                  </pic:nvPicPr>
                  <pic:blipFill>
                    <a:blip r:embed="rId104"/>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Figure 19</w:t>
      </w:r>
    </w:p>
    <w:p>
      <w:pPr>
        <w:pStyle w:val="BodyText"/>
      </w:pPr>
      <w:r>
        <w:rPr>
          <w:bCs/>
          <w:b/>
        </w:rPr>
        <w:t xml:space="preserve">Figure 20.</w:t>
      </w:r>
      <w:r>
        <w:t xml:space="preserve"> </w:t>
      </w:r>
      <w:r>
        <w:t xml:space="preserve">M71 net turnover levels, selected members.</w:t>
      </w:r>
    </w:p>
    <w:p>
      <w:pPr>
        <w:pStyle w:val="CaptionedFigure"/>
      </w:pPr>
      <w:r>
        <w:drawing>
          <wp:inline>
            <wp:extent cx="5334000" cy="3122341"/>
            <wp:effectExtent b="0" l="0" r="0" t="0"/>
            <wp:docPr descr="Figure 20" title="" id="108" name="Picture"/>
            <a:graphic>
              <a:graphicData uri="http://schemas.openxmlformats.org/drawingml/2006/picture">
                <pic:pic>
                  <pic:nvPicPr>
                    <pic:cNvPr descr="figures/figure20_m71_turnover_levels.png" id="109" name="Picture"/>
                    <pic:cNvPicPr>
                      <a:picLocks noChangeArrowheads="1" noChangeAspect="1"/>
                    </pic:cNvPicPr>
                  </pic:nvPicPr>
                  <pic:blipFill>
                    <a:blip r:embed="rId107"/>
                    <a:stretch>
                      <a:fillRect/>
                    </a:stretch>
                  </pic:blipFill>
                  <pic:spPr bwMode="auto">
                    <a:xfrm>
                      <a:off x="0" y="0"/>
                      <a:ext cx="5334000" cy="3122341"/>
                    </a:xfrm>
                    <a:prstGeom prst="rect">
                      <a:avLst/>
                    </a:prstGeom>
                    <a:noFill/>
                    <a:ln w="9525">
                      <a:noFill/>
                      <a:headEnd/>
                      <a:tailEnd/>
                    </a:ln>
                  </pic:spPr>
                </pic:pic>
              </a:graphicData>
            </a:graphic>
          </wp:inline>
        </w:drawing>
      </w:r>
    </w:p>
    <w:p>
      <w:pPr>
        <w:pStyle w:val="ImageCaption"/>
      </w:pPr>
      <w:r>
        <w:t xml:space="preserve">Figure 20</w:t>
      </w:r>
    </w:p>
    <w:p>
      <w:pPr>
        <w:pStyle w:val="BodyText"/>
      </w:pPr>
      <w:r>
        <w:rPr>
          <w:bCs/>
          <w:b/>
        </w:rPr>
        <w:t xml:space="preserve">Figure 21.</w:t>
      </w:r>
      <w:r>
        <w:t xml:space="preserve"> </w:t>
      </w:r>
      <w:r>
        <w:t xml:space="preserve">US CES NAICS 54 only (not engineering 54133).</w:t>
      </w:r>
    </w:p>
    <w:p>
      <w:pPr>
        <w:pStyle w:val="CaptionedFigure"/>
      </w:pPr>
      <w:r>
        <w:drawing>
          <wp:inline>
            <wp:extent cx="5334000" cy="2933700"/>
            <wp:effectExtent b="0" l="0" r="0" t="0"/>
            <wp:docPr descr="Figure 21" title="" id="111" name="Picture"/>
            <a:graphic>
              <a:graphicData uri="http://schemas.openxmlformats.org/drawingml/2006/picture">
                <pic:pic>
                  <pic:nvPicPr>
                    <pic:cNvPr descr="figures/figure21_bls_naics54.png" id="112" name="Picture"/>
                    <pic:cNvPicPr>
                      <a:picLocks noChangeArrowheads="1" noChangeAspect="1"/>
                    </pic:cNvPicPr>
                  </pic:nvPicPr>
                  <pic:blipFill>
                    <a:blip r:embed="rId110"/>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21</w:t>
      </w:r>
    </w:p>
    <w:p>
      <w:r>
        <w:pict>
          <v:rect style="width:0;height:1.5pt" o:hralign="center" o:hrstd="t" o:hr="t"/>
        </w:pict>
      </w:r>
    </w:p>
    <w:bookmarkEnd w:id="113"/>
    <w:bookmarkStart w:id="130" w:name="X02f5955ed8a0a83aa7b3e4305372d4388f6d40e"/>
    <w:p>
      <w:pPr>
        <w:pStyle w:val="Heading2"/>
      </w:pPr>
      <w:r>
        <w:t xml:space="preserve">Article tables (generated from official series)</w:t>
      </w:r>
    </w:p>
    <w:p>
      <w:pPr>
        <w:pStyle w:val="FirstParagraph"/>
      </w:pPr>
      <w:r>
        <w:t xml:space="preserve">LLM occupation scores from the IJCM paper are</w:t>
      </w:r>
      <w:r>
        <w:t xml:space="preserve"> </w:t>
      </w:r>
      <w:r>
        <w:rPr>
          <w:bCs/>
          <w:b/>
        </w:rPr>
        <w:t xml:space="preserve">not</w:t>
      </w:r>
      <w:r>
        <w:t xml:space="preserve"> </w:t>
      </w:r>
      <w:r>
        <w:t xml:space="preserve">used. Exposure is Eloundou et al. matched to SOC 2020; employment is ONS APS.</w:t>
      </w:r>
    </w:p>
    <w:bookmarkStart w:id="114" w:name="X11bdf1e3f136eca1ec8e27c214c102a2956b949"/>
    <w:p>
      <w:pPr>
        <w:pStyle w:val="Heading3"/>
      </w:pPr>
      <w:r>
        <w:t xml:space="preserve">Table 1. Civil occupation exposure (Eloundou occ_level.csv)</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SOC2020</w:t>
            </w:r>
          </w:p>
        </w:tc>
        <w:tc>
          <w:tcPr/>
          <w:p>
            <w:pPr>
              <w:pStyle w:val="Compact"/>
              <w:jc w:val="left"/>
            </w:pPr>
            <w:r>
              <w:t xml:space="preserve">UK occupation</w:t>
            </w:r>
          </w:p>
        </w:tc>
        <w:tc>
          <w:tcPr/>
          <w:p>
            <w:pPr>
              <w:pStyle w:val="Compact"/>
              <w:jc w:val="left"/>
            </w:pPr>
            <w:r>
              <w:t xml:space="preserve">O*NET</w:t>
            </w:r>
          </w:p>
        </w:tc>
        <w:tc>
          <w:tcPr/>
          <w:p>
            <w:pPr>
              <w:pStyle w:val="Compact"/>
              <w:jc w:val="left"/>
            </w:pPr>
            <w:r>
              <w:t xml:space="preserve">O*NET title</w:t>
            </w:r>
          </w:p>
        </w:tc>
        <w:tc>
          <w:tcPr/>
          <w:p>
            <w:pPr>
              <w:pStyle w:val="Compact"/>
              <w:jc w:val="left"/>
            </w:pPr>
            <w:r>
              <w:t xml:space="preserve">Eloundou β_human</w:t>
            </w:r>
          </w:p>
        </w:tc>
        <w:tc>
          <w:tcPr/>
          <w:p>
            <w:pPr>
              <w:pStyle w:val="Compact"/>
              <w:jc w:val="left"/>
            </w:pPr>
            <w:r>
              <w:t xml:space="preserve">Eloundou β_model</w:t>
            </w:r>
          </w:p>
        </w:tc>
      </w:tr>
      <w:tr>
        <w:tc>
          <w:tcPr/>
          <w:p>
            <w:pPr>
              <w:pStyle w:val="Compact"/>
              <w:jc w:val="left"/>
            </w:pPr>
            <w:r>
              <w:t xml:space="preserve">2121</w:t>
            </w:r>
          </w:p>
        </w:tc>
        <w:tc>
          <w:tcPr/>
          <w:p>
            <w:pPr>
              <w:pStyle w:val="Compact"/>
              <w:jc w:val="left"/>
            </w:pPr>
            <w:r>
              <w:t xml:space="preserve">Civil engineers</w:t>
            </w:r>
          </w:p>
        </w:tc>
        <w:tc>
          <w:tcPr/>
          <w:p>
            <w:pPr>
              <w:pStyle w:val="Compact"/>
              <w:jc w:val="left"/>
            </w:pPr>
            <w:r>
              <w:t xml:space="preserve">17-2051.00</w:t>
            </w:r>
          </w:p>
        </w:tc>
        <w:tc>
          <w:tcPr/>
          <w:p>
            <w:pPr>
              <w:pStyle w:val="Compact"/>
              <w:jc w:val="left"/>
            </w:pPr>
            <w:r>
              <w:t xml:space="preserve">Civil Engineers</w:t>
            </w:r>
          </w:p>
        </w:tc>
        <w:tc>
          <w:tcPr/>
          <w:p>
            <w:pPr>
              <w:pStyle w:val="Compact"/>
              <w:jc w:val="left"/>
            </w:pPr>
            <w:r>
              <w:t xml:space="preserve">0.375</w:t>
            </w:r>
          </w:p>
        </w:tc>
        <w:tc>
          <w:tcPr/>
          <w:p>
            <w:pPr>
              <w:pStyle w:val="Compact"/>
              <w:jc w:val="left"/>
            </w:pPr>
            <w:r>
              <w:t xml:space="preserve">0.446</w:t>
            </w:r>
          </w:p>
        </w:tc>
      </w:tr>
      <w:tr>
        <w:tc>
          <w:tcPr/>
          <w:p>
            <w:pPr>
              <w:pStyle w:val="Compact"/>
              <w:jc w:val="left"/>
            </w:pPr>
            <w:r>
              <w:t xml:space="preserve">3114</w:t>
            </w:r>
          </w:p>
        </w:tc>
        <w:tc>
          <w:tcPr/>
          <w:p>
            <w:pPr>
              <w:pStyle w:val="Compact"/>
              <w:jc w:val="left"/>
            </w:pPr>
            <w:r>
              <w:t xml:space="preserve">Building and civil engineering technicians</w:t>
            </w:r>
          </w:p>
        </w:tc>
        <w:tc>
          <w:tcPr/>
          <w:p>
            <w:pPr>
              <w:pStyle w:val="Compact"/>
              <w:jc w:val="left"/>
            </w:pPr>
            <w:r>
              <w:t xml:space="preserve">17-3022.00</w:t>
            </w:r>
          </w:p>
        </w:tc>
        <w:tc>
          <w:tcPr/>
          <w:p>
            <w:pPr>
              <w:pStyle w:val="Compact"/>
              <w:jc w:val="left"/>
            </w:pPr>
            <w:r>
              <w:t xml:space="preserve">Civil Engineering Technologists and Technicians</w:t>
            </w:r>
          </w:p>
        </w:tc>
        <w:tc>
          <w:tcPr/>
          <w:p>
            <w:pPr>
              <w:pStyle w:val="Compact"/>
              <w:jc w:val="left"/>
            </w:pPr>
            <w:r>
              <w:t xml:space="preserve">0.477</w:t>
            </w:r>
          </w:p>
        </w:tc>
        <w:tc>
          <w:tcPr/>
          <w:p>
            <w:pPr>
              <w:pStyle w:val="Compact"/>
              <w:jc w:val="left"/>
            </w:pPr>
            <w:r>
              <w:t xml:space="preserve">0.591</w:t>
            </w: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left"/>
            </w:pPr>
            <w:r>
              <w:t xml:space="preserve">17-3011.00</w:t>
            </w:r>
          </w:p>
        </w:tc>
        <w:tc>
          <w:tcPr/>
          <w:p>
            <w:pPr>
              <w:pStyle w:val="Compact"/>
              <w:jc w:val="left"/>
            </w:pPr>
            <w:r>
              <w:t xml:space="preserve">Architectural and Civil Drafters</w:t>
            </w:r>
          </w:p>
        </w:tc>
        <w:tc>
          <w:tcPr/>
          <w:p>
            <w:pPr>
              <w:pStyle w:val="Compact"/>
              <w:jc w:val="left"/>
            </w:pPr>
            <w:r>
              <w:t xml:space="preserve">0.520</w:t>
            </w:r>
          </w:p>
        </w:tc>
        <w:tc>
          <w:tcPr/>
          <w:p>
            <w:pPr>
              <w:pStyle w:val="Compact"/>
              <w:jc w:val="left"/>
            </w:pPr>
            <w:r>
              <w:t xml:space="preserve">0.540</w:t>
            </w:r>
          </w:p>
        </w:tc>
      </w:tr>
    </w:tbl>
    <w:bookmarkEnd w:id="114"/>
    <w:bookmarkStart w:id="115" w:name="X71de891f26f41cfecd832b1d80c6df123421e6a"/>
    <w:p>
      <w:pPr>
        <w:pStyle w:val="Heading3"/>
      </w:pPr>
      <w:r>
        <w:t xml:space="preserve">Table 2. UK APS employment, civil-adjacent SOC 2020 (Dec 2021–Sep 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SOC2020</w:t>
            </w:r>
          </w:p>
        </w:tc>
        <w:tc>
          <w:tcPr/>
          <w:p>
            <w:pPr>
              <w:pStyle w:val="Compact"/>
              <w:jc w:val="left"/>
            </w:pPr>
            <w:r>
              <w:t xml:space="preserve">occupation</w:t>
            </w:r>
          </w:p>
        </w:tc>
        <w:tc>
          <w:tcPr/>
          <w:p>
            <w:pPr>
              <w:pStyle w:val="Compact"/>
              <w:jc w:val="left"/>
            </w:pPr>
            <w:r>
              <w:t xml:space="preserve">emp_2021_12</w:t>
            </w:r>
          </w:p>
        </w:tc>
        <w:tc>
          <w:tcPr/>
          <w:p>
            <w:pPr>
              <w:pStyle w:val="Compact"/>
              <w:jc w:val="left"/>
            </w:pPr>
            <w:r>
              <w:t xml:space="preserve">emp_2025_09</w:t>
            </w:r>
          </w:p>
        </w:tc>
        <w:tc>
          <w:tcPr/>
          <w:p>
            <w:pPr>
              <w:pStyle w:val="Compact"/>
              <w:jc w:val="left"/>
            </w:pPr>
            <w:r>
              <w:t xml:space="preserve">change_pct</w:t>
            </w:r>
          </w:p>
        </w:tc>
        <w:tc>
          <w:tcPr/>
          <w:p>
            <w:pPr>
              <w:pStyle w:val="Compact"/>
              <w:jc w:val="left"/>
            </w:pPr>
            <w:r>
              <w:t xml:space="preserve">Eloundou β_human</w:t>
            </w:r>
          </w:p>
        </w:tc>
      </w:tr>
      <w:tr>
        <w:tc>
          <w:tcPr/>
          <w:p>
            <w:pPr>
              <w:pStyle w:val="Compact"/>
              <w:jc w:val="left"/>
            </w:pPr>
            <w:r>
              <w:t xml:space="preserve">2481</w:t>
            </w:r>
          </w:p>
        </w:tc>
        <w:tc>
          <w:tcPr/>
          <w:p>
            <w:pPr>
              <w:pStyle w:val="Compact"/>
              <w:jc w:val="left"/>
            </w:pPr>
            <w:r>
              <w:t xml:space="preserve">Quality control and planning engineers</w:t>
            </w:r>
          </w:p>
        </w:tc>
        <w:tc>
          <w:tcPr/>
          <w:p>
            <w:pPr>
              <w:pStyle w:val="Compact"/>
              <w:jc w:val="left"/>
            </w:pPr>
            <w:r>
              <w:t xml:space="preserve">47,000</w:t>
            </w:r>
          </w:p>
        </w:tc>
        <w:tc>
          <w:tcPr/>
          <w:p>
            <w:pPr>
              <w:pStyle w:val="Compact"/>
              <w:jc w:val="left"/>
            </w:pPr>
            <w:r>
              <w:t xml:space="preserve">35,100</w:t>
            </w:r>
          </w:p>
        </w:tc>
        <w:tc>
          <w:tcPr/>
          <w:p>
            <w:pPr>
              <w:pStyle w:val="Compact"/>
              <w:jc w:val="left"/>
            </w:pPr>
            <w:r>
              <w:t xml:space="preserve">-25.3</w:t>
            </w:r>
          </w:p>
        </w:tc>
        <w:tc>
          <w:tcPr/>
          <w:p>
            <w:pPr>
              <w:pStyle w:val="Compact"/>
            </w:pP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left"/>
            </w:pPr>
            <w:r>
              <w:t xml:space="preserve">72,900</w:t>
            </w:r>
          </w:p>
        </w:tc>
        <w:tc>
          <w:tcPr/>
          <w:p>
            <w:pPr>
              <w:pStyle w:val="Compact"/>
              <w:jc w:val="left"/>
            </w:pPr>
            <w:r>
              <w:t xml:space="preserve">55,500</w:t>
            </w:r>
          </w:p>
        </w:tc>
        <w:tc>
          <w:tcPr/>
          <w:p>
            <w:pPr>
              <w:pStyle w:val="Compact"/>
              <w:jc w:val="left"/>
            </w:pPr>
            <w:r>
              <w:t xml:space="preserve">-23.9</w:t>
            </w:r>
          </w:p>
        </w:tc>
        <w:tc>
          <w:tcPr/>
          <w:p>
            <w:pPr>
              <w:pStyle w:val="Compact"/>
              <w:jc w:val="left"/>
            </w:pPr>
            <w:r>
              <w:t xml:space="preserve">0.520</w:t>
            </w:r>
          </w:p>
        </w:tc>
      </w:tr>
      <w:tr>
        <w:tc>
          <w:tcPr/>
          <w:p>
            <w:pPr>
              <w:pStyle w:val="Compact"/>
              <w:jc w:val="left"/>
            </w:pPr>
            <w:r>
              <w:t xml:space="preserve">2454</w:t>
            </w:r>
          </w:p>
        </w:tc>
        <w:tc>
          <w:tcPr/>
          <w:p>
            <w:pPr>
              <w:pStyle w:val="Compact"/>
              <w:jc w:val="left"/>
            </w:pPr>
            <w:r>
              <w:t xml:space="preserve">Chartered surveyors</w:t>
            </w:r>
          </w:p>
        </w:tc>
        <w:tc>
          <w:tcPr/>
          <w:p>
            <w:pPr>
              <w:pStyle w:val="Compact"/>
              <w:jc w:val="left"/>
            </w:pPr>
            <w:r>
              <w:t xml:space="preserve">76,500</w:t>
            </w:r>
          </w:p>
        </w:tc>
        <w:tc>
          <w:tcPr/>
          <w:p>
            <w:pPr>
              <w:pStyle w:val="Compact"/>
              <w:jc w:val="left"/>
            </w:pPr>
            <w:r>
              <w:t xml:space="preserve">59,900</w:t>
            </w:r>
          </w:p>
        </w:tc>
        <w:tc>
          <w:tcPr/>
          <w:p>
            <w:pPr>
              <w:pStyle w:val="Compact"/>
              <w:jc w:val="left"/>
            </w:pPr>
            <w:r>
              <w:t xml:space="preserve">-21.7</w:t>
            </w:r>
          </w:p>
        </w:tc>
        <w:tc>
          <w:tcPr/>
          <w:p>
            <w:pPr>
              <w:pStyle w:val="Compact"/>
            </w:pPr>
          </w:p>
        </w:tc>
      </w:tr>
      <w:tr>
        <w:tc>
          <w:tcPr/>
          <w:p>
            <w:pPr>
              <w:pStyle w:val="Compact"/>
              <w:jc w:val="left"/>
            </w:pPr>
            <w:r>
              <w:t xml:space="preserve">2121</w:t>
            </w:r>
          </w:p>
        </w:tc>
        <w:tc>
          <w:tcPr/>
          <w:p>
            <w:pPr>
              <w:pStyle w:val="Compact"/>
              <w:jc w:val="left"/>
            </w:pPr>
            <w:r>
              <w:t xml:space="preserve">Civil engineers</w:t>
            </w:r>
          </w:p>
        </w:tc>
        <w:tc>
          <w:tcPr/>
          <w:p>
            <w:pPr>
              <w:pStyle w:val="Compact"/>
              <w:jc w:val="left"/>
            </w:pPr>
            <w:r>
              <w:t xml:space="preserve">115,800</w:t>
            </w:r>
          </w:p>
        </w:tc>
        <w:tc>
          <w:tcPr/>
          <w:p>
            <w:pPr>
              <w:pStyle w:val="Compact"/>
              <w:jc w:val="left"/>
            </w:pPr>
            <w:r>
              <w:t xml:space="preserve">99,200</w:t>
            </w:r>
          </w:p>
        </w:tc>
        <w:tc>
          <w:tcPr/>
          <w:p>
            <w:pPr>
              <w:pStyle w:val="Compact"/>
              <w:jc w:val="left"/>
            </w:pPr>
            <w:r>
              <w:t xml:space="preserve">-14.3</w:t>
            </w:r>
          </w:p>
        </w:tc>
        <w:tc>
          <w:tcPr/>
          <w:p>
            <w:pPr>
              <w:pStyle w:val="Compact"/>
              <w:jc w:val="left"/>
            </w:pPr>
            <w:r>
              <w:t xml:space="preserve">0.375</w:t>
            </w:r>
          </w:p>
        </w:tc>
      </w:tr>
      <w:tr>
        <w:tc>
          <w:tcPr/>
          <w:p>
            <w:pPr>
              <w:pStyle w:val="Compact"/>
              <w:jc w:val="left"/>
            </w:pPr>
            <w:r>
              <w:t xml:space="preserve">2453</w:t>
            </w:r>
          </w:p>
        </w:tc>
        <w:tc>
          <w:tcPr/>
          <w:p>
            <w:pPr>
              <w:pStyle w:val="Compact"/>
              <w:jc w:val="left"/>
            </w:pPr>
            <w:r>
              <w:t xml:space="preserve">Quantity surveyors</w:t>
            </w:r>
          </w:p>
        </w:tc>
        <w:tc>
          <w:tcPr/>
          <w:p>
            <w:pPr>
              <w:pStyle w:val="Compact"/>
              <w:jc w:val="left"/>
            </w:pPr>
            <w:r>
              <w:t xml:space="preserve">63,000</w:t>
            </w:r>
          </w:p>
        </w:tc>
        <w:tc>
          <w:tcPr/>
          <w:p>
            <w:pPr>
              <w:pStyle w:val="Compact"/>
              <w:jc w:val="left"/>
            </w:pPr>
            <w:r>
              <w:t xml:space="preserve">54,200</w:t>
            </w:r>
          </w:p>
        </w:tc>
        <w:tc>
          <w:tcPr/>
          <w:p>
            <w:pPr>
              <w:pStyle w:val="Compact"/>
              <w:jc w:val="left"/>
            </w:pPr>
            <w:r>
              <w:t xml:space="preserve">-14.0</w:t>
            </w:r>
          </w:p>
        </w:tc>
        <w:tc>
          <w:tcPr/>
          <w:p>
            <w:pPr>
              <w:pStyle w:val="Compact"/>
            </w:pPr>
          </w:p>
        </w:tc>
      </w:tr>
      <w:tr>
        <w:tc>
          <w:tcPr/>
          <w:p>
            <w:pPr>
              <w:pStyle w:val="Compact"/>
              <w:jc w:val="left"/>
            </w:pPr>
            <w:r>
              <w:t xml:space="preserve">3581</w:t>
            </w:r>
          </w:p>
        </w:tc>
        <w:tc>
          <w:tcPr/>
          <w:p>
            <w:pPr>
              <w:pStyle w:val="Compact"/>
              <w:jc w:val="left"/>
            </w:pPr>
            <w:r>
              <w:t xml:space="preserve">Inspectors of standards and regulations</w:t>
            </w:r>
          </w:p>
        </w:tc>
        <w:tc>
          <w:tcPr/>
          <w:p>
            <w:pPr>
              <w:pStyle w:val="Compact"/>
              <w:jc w:val="left"/>
            </w:pPr>
            <w:r>
              <w:t xml:space="preserve">48,000</w:t>
            </w:r>
          </w:p>
        </w:tc>
        <w:tc>
          <w:tcPr/>
          <w:p>
            <w:pPr>
              <w:pStyle w:val="Compact"/>
              <w:jc w:val="left"/>
            </w:pPr>
            <w:r>
              <w:t xml:space="preserve">46,700</w:t>
            </w:r>
          </w:p>
        </w:tc>
        <w:tc>
          <w:tcPr/>
          <w:p>
            <w:pPr>
              <w:pStyle w:val="Compact"/>
              <w:jc w:val="left"/>
            </w:pPr>
            <w:r>
              <w:t xml:space="preserve">-2.7</w:t>
            </w:r>
          </w:p>
        </w:tc>
        <w:tc>
          <w:tcPr/>
          <w:p>
            <w:pPr>
              <w:pStyle w:val="Compact"/>
            </w:pPr>
          </w:p>
        </w:tc>
      </w:tr>
      <w:tr>
        <w:tc>
          <w:tcPr/>
          <w:p>
            <w:pPr>
              <w:pStyle w:val="Compact"/>
              <w:jc w:val="left"/>
            </w:pPr>
            <w:r>
              <w:t xml:space="preserve">2455</w:t>
            </w:r>
          </w:p>
        </w:tc>
        <w:tc>
          <w:tcPr/>
          <w:p>
            <w:pPr>
              <w:pStyle w:val="Compact"/>
              <w:jc w:val="left"/>
            </w:pPr>
            <w:r>
              <w:t xml:space="preserve">Construction project managers and related professionals</w:t>
            </w:r>
          </w:p>
        </w:tc>
        <w:tc>
          <w:tcPr/>
          <w:p>
            <w:pPr>
              <w:pStyle w:val="Compact"/>
              <w:jc w:val="left"/>
            </w:pPr>
            <w:r>
              <w:t xml:space="preserve">107,500</w:t>
            </w:r>
          </w:p>
        </w:tc>
        <w:tc>
          <w:tcPr/>
          <w:p>
            <w:pPr>
              <w:pStyle w:val="Compact"/>
              <w:jc w:val="left"/>
            </w:pPr>
            <w:r>
              <w:t xml:space="preserve">112,300</w:t>
            </w:r>
          </w:p>
        </w:tc>
        <w:tc>
          <w:tcPr/>
          <w:p>
            <w:pPr>
              <w:pStyle w:val="Compact"/>
              <w:jc w:val="left"/>
            </w:pPr>
            <w:r>
              <w:t xml:space="preserve">4.5</w:t>
            </w:r>
          </w:p>
        </w:tc>
        <w:tc>
          <w:tcPr/>
          <w:p>
            <w:pPr>
              <w:pStyle w:val="Compact"/>
            </w:pPr>
          </w:p>
        </w:tc>
      </w:tr>
      <w:tr>
        <w:tc>
          <w:tcPr/>
          <w:p>
            <w:pPr>
              <w:pStyle w:val="Compact"/>
              <w:jc w:val="left"/>
            </w:pPr>
            <w:r>
              <w:t xml:space="preserve">2452</w:t>
            </w:r>
          </w:p>
        </w:tc>
        <w:tc>
          <w:tcPr/>
          <w:p>
            <w:pPr>
              <w:pStyle w:val="Compact"/>
              <w:jc w:val="left"/>
            </w:pPr>
            <w:r>
              <w:t xml:space="preserve">Chartered architectural technologists, planning officers and consultants</w:t>
            </w:r>
          </w:p>
        </w:tc>
        <w:tc>
          <w:tcPr/>
          <w:p>
            <w:pPr>
              <w:pStyle w:val="Compact"/>
              <w:jc w:val="left"/>
            </w:pPr>
            <w:r>
              <w:t xml:space="preserve">52,000</w:t>
            </w:r>
          </w:p>
        </w:tc>
        <w:tc>
          <w:tcPr/>
          <w:p>
            <w:pPr>
              <w:pStyle w:val="Compact"/>
              <w:jc w:val="left"/>
            </w:pPr>
            <w:r>
              <w:t xml:space="preserve">57,100</w:t>
            </w:r>
          </w:p>
        </w:tc>
        <w:tc>
          <w:tcPr/>
          <w:p>
            <w:pPr>
              <w:pStyle w:val="Compact"/>
              <w:jc w:val="left"/>
            </w:pPr>
            <w:r>
              <w:t xml:space="preserve">9.8</w:t>
            </w:r>
          </w:p>
        </w:tc>
        <w:tc>
          <w:tcPr/>
          <w:p>
            <w:pPr>
              <w:pStyle w:val="Compact"/>
            </w:pPr>
          </w:p>
        </w:tc>
      </w:tr>
      <w:tr>
        <w:tc>
          <w:tcPr/>
          <w:p>
            <w:pPr>
              <w:pStyle w:val="Compact"/>
              <w:jc w:val="left"/>
            </w:pPr>
            <w:r>
              <w:t xml:space="preserve">3541</w:t>
            </w:r>
          </w:p>
        </w:tc>
        <w:tc>
          <w:tcPr/>
          <w:p>
            <w:pPr>
              <w:pStyle w:val="Compact"/>
              <w:jc w:val="left"/>
            </w:pPr>
            <w:r>
              <w:t xml:space="preserve">Estimators, valuers and assessors</w:t>
            </w:r>
          </w:p>
        </w:tc>
        <w:tc>
          <w:tcPr/>
          <w:p>
            <w:pPr>
              <w:pStyle w:val="Compact"/>
              <w:jc w:val="left"/>
            </w:pPr>
            <w:r>
              <w:t xml:space="preserve">55,400</w:t>
            </w:r>
          </w:p>
        </w:tc>
        <w:tc>
          <w:tcPr/>
          <w:p>
            <w:pPr>
              <w:pStyle w:val="Compact"/>
              <w:jc w:val="left"/>
            </w:pPr>
            <w:r>
              <w:t xml:space="preserve">61,300</w:t>
            </w:r>
          </w:p>
        </w:tc>
        <w:tc>
          <w:tcPr/>
          <w:p>
            <w:pPr>
              <w:pStyle w:val="Compact"/>
              <w:jc w:val="left"/>
            </w:pPr>
            <w:r>
              <w:t xml:space="preserve">10.6</w:t>
            </w:r>
          </w:p>
        </w:tc>
        <w:tc>
          <w:tcPr/>
          <w:p>
            <w:pPr>
              <w:pStyle w:val="Compact"/>
            </w:pPr>
          </w:p>
        </w:tc>
      </w:tr>
      <w:tr>
        <w:tc>
          <w:tcPr/>
          <w:p>
            <w:pPr>
              <w:pStyle w:val="Compact"/>
              <w:jc w:val="left"/>
            </w:pPr>
            <w:r>
              <w:t xml:space="preserve">3582</w:t>
            </w:r>
          </w:p>
        </w:tc>
        <w:tc>
          <w:tcPr/>
          <w:p>
            <w:pPr>
              <w:pStyle w:val="Compact"/>
              <w:jc w:val="left"/>
            </w:pPr>
            <w:r>
              <w:t xml:space="preserve">Health and safety managers and officers</w:t>
            </w:r>
          </w:p>
        </w:tc>
        <w:tc>
          <w:tcPr/>
          <w:p>
            <w:pPr>
              <w:pStyle w:val="Compact"/>
              <w:jc w:val="left"/>
            </w:pPr>
            <w:r>
              <w:t xml:space="preserve">75,400</w:t>
            </w:r>
          </w:p>
        </w:tc>
        <w:tc>
          <w:tcPr/>
          <w:p>
            <w:pPr>
              <w:pStyle w:val="Compact"/>
              <w:jc w:val="left"/>
            </w:pPr>
            <w:r>
              <w:t xml:space="preserve">89,300</w:t>
            </w:r>
          </w:p>
        </w:tc>
        <w:tc>
          <w:tcPr/>
          <w:p>
            <w:pPr>
              <w:pStyle w:val="Compact"/>
              <w:jc w:val="left"/>
            </w:pPr>
            <w:r>
              <w:t xml:space="preserve">18.4</w:t>
            </w:r>
          </w:p>
        </w:tc>
        <w:tc>
          <w:tcPr/>
          <w:p>
            <w:pPr>
              <w:pStyle w:val="Compact"/>
            </w:pPr>
          </w:p>
        </w:tc>
      </w:tr>
      <w:tr>
        <w:tc>
          <w:tcPr/>
          <w:p>
            <w:pPr>
              <w:pStyle w:val="Compact"/>
              <w:jc w:val="left"/>
            </w:pPr>
            <w:r>
              <w:t xml:space="preserve">2127</w:t>
            </w:r>
          </w:p>
        </w:tc>
        <w:tc>
          <w:tcPr/>
          <w:p>
            <w:pPr>
              <w:pStyle w:val="Compact"/>
              <w:jc w:val="left"/>
            </w:pPr>
            <w:r>
              <w:t xml:space="preserve">Engineering project managers and project engineers</w:t>
            </w:r>
          </w:p>
        </w:tc>
        <w:tc>
          <w:tcPr/>
          <w:p>
            <w:pPr>
              <w:pStyle w:val="Compact"/>
              <w:jc w:val="left"/>
            </w:pPr>
            <w:r>
              <w:t xml:space="preserve">62,100</w:t>
            </w:r>
          </w:p>
        </w:tc>
        <w:tc>
          <w:tcPr/>
          <w:p>
            <w:pPr>
              <w:pStyle w:val="Compact"/>
              <w:jc w:val="left"/>
            </w:pPr>
            <w:r>
              <w:t xml:space="preserve">78,600</w:t>
            </w:r>
          </w:p>
        </w:tc>
        <w:tc>
          <w:tcPr/>
          <w:p>
            <w:pPr>
              <w:pStyle w:val="Compact"/>
              <w:jc w:val="left"/>
            </w:pPr>
            <w:r>
              <w:t xml:space="preserve">26.6</w:t>
            </w:r>
          </w:p>
        </w:tc>
        <w:tc>
          <w:tcPr/>
          <w:p>
            <w:pPr>
              <w:pStyle w:val="Compact"/>
            </w:pPr>
          </w:p>
        </w:tc>
      </w:tr>
      <w:tr>
        <w:tc>
          <w:tcPr/>
          <w:p>
            <w:pPr>
              <w:pStyle w:val="Compact"/>
              <w:jc w:val="left"/>
            </w:pPr>
            <w:r>
              <w:t xml:space="preserve">2483</w:t>
            </w:r>
          </w:p>
        </w:tc>
        <w:tc>
          <w:tcPr/>
          <w:p>
            <w:pPr>
              <w:pStyle w:val="Compact"/>
              <w:jc w:val="left"/>
            </w:pPr>
            <w:r>
              <w:t xml:space="preserve">Environmental health professionals</w:t>
            </w:r>
          </w:p>
        </w:tc>
        <w:tc>
          <w:tcPr/>
          <w:p>
            <w:pPr>
              <w:pStyle w:val="Compact"/>
              <w:jc w:val="left"/>
            </w:pPr>
            <w:r>
              <w:t xml:space="preserve">9,000</w:t>
            </w:r>
          </w:p>
        </w:tc>
        <w:tc>
          <w:tcPr/>
          <w:p>
            <w:pPr>
              <w:pStyle w:val="Compact"/>
              <w:jc w:val="left"/>
            </w:pPr>
            <w:r>
              <w:t xml:space="preserve">11,400</w:t>
            </w:r>
          </w:p>
        </w:tc>
        <w:tc>
          <w:tcPr/>
          <w:p>
            <w:pPr>
              <w:pStyle w:val="Compact"/>
              <w:jc w:val="left"/>
            </w:pPr>
            <w:r>
              <w:t xml:space="preserve">26.7</w:t>
            </w:r>
          </w:p>
        </w:tc>
        <w:tc>
          <w:tcPr/>
          <w:p>
            <w:pPr>
              <w:pStyle w:val="Compact"/>
            </w:pPr>
          </w:p>
        </w:tc>
      </w:tr>
      <w:tr>
        <w:tc>
          <w:tcPr/>
          <w:p>
            <w:pPr>
              <w:pStyle w:val="Compact"/>
              <w:jc w:val="left"/>
            </w:pPr>
            <w:r>
              <w:t xml:space="preserve">2114</w:t>
            </w:r>
          </w:p>
        </w:tc>
        <w:tc>
          <w:tcPr/>
          <w:p>
            <w:pPr>
              <w:pStyle w:val="Compact"/>
              <w:jc w:val="left"/>
            </w:pPr>
            <w:r>
              <w:t xml:space="preserve">Physical scientists</w:t>
            </w:r>
          </w:p>
        </w:tc>
        <w:tc>
          <w:tcPr/>
          <w:p>
            <w:pPr>
              <w:pStyle w:val="Compact"/>
              <w:jc w:val="left"/>
            </w:pPr>
            <w:r>
              <w:t xml:space="preserve">26,200</w:t>
            </w:r>
          </w:p>
        </w:tc>
        <w:tc>
          <w:tcPr/>
          <w:p>
            <w:pPr>
              <w:pStyle w:val="Compact"/>
              <w:jc w:val="left"/>
            </w:pPr>
            <w:r>
              <w:t xml:space="preserve">34,900</w:t>
            </w:r>
          </w:p>
        </w:tc>
        <w:tc>
          <w:tcPr/>
          <w:p>
            <w:pPr>
              <w:pStyle w:val="Compact"/>
              <w:jc w:val="left"/>
            </w:pPr>
            <w:r>
              <w:t xml:space="preserve">33.2</w:t>
            </w:r>
          </w:p>
        </w:tc>
        <w:tc>
          <w:tcPr/>
          <w:p>
            <w:pPr>
              <w:pStyle w:val="Compact"/>
            </w:pPr>
          </w:p>
        </w:tc>
      </w:tr>
      <w:tr>
        <w:tc>
          <w:tcPr/>
          <w:p>
            <w:pPr>
              <w:pStyle w:val="Compact"/>
              <w:jc w:val="left"/>
            </w:pPr>
            <w:r>
              <w:t xml:space="preserve">2129</w:t>
            </w:r>
          </w:p>
        </w:tc>
        <w:tc>
          <w:tcPr/>
          <w:p>
            <w:pPr>
              <w:pStyle w:val="Compact"/>
              <w:jc w:val="left"/>
            </w:pPr>
            <w:r>
              <w:t xml:space="preserve">Engineering professionals n.e.c.</w:t>
            </w:r>
          </w:p>
        </w:tc>
        <w:tc>
          <w:tcPr/>
          <w:p>
            <w:pPr>
              <w:pStyle w:val="Compact"/>
              <w:jc w:val="left"/>
            </w:pPr>
            <w:r>
              <w:t xml:space="preserve">70,500</w:t>
            </w:r>
          </w:p>
        </w:tc>
        <w:tc>
          <w:tcPr/>
          <w:p>
            <w:pPr>
              <w:pStyle w:val="Compact"/>
              <w:jc w:val="left"/>
            </w:pPr>
            <w:r>
              <w:t xml:space="preserve">110,700</w:t>
            </w:r>
          </w:p>
        </w:tc>
        <w:tc>
          <w:tcPr/>
          <w:p>
            <w:pPr>
              <w:pStyle w:val="Compact"/>
              <w:jc w:val="left"/>
            </w:pPr>
            <w:r>
              <w:t xml:space="preserve">57.0</w:t>
            </w:r>
          </w:p>
        </w:tc>
        <w:tc>
          <w:tcPr/>
          <w:p>
            <w:pPr>
              <w:pStyle w:val="Compact"/>
            </w:pPr>
          </w:p>
        </w:tc>
      </w:tr>
      <w:tr>
        <w:tc>
          <w:tcPr/>
          <w:p>
            <w:pPr>
              <w:pStyle w:val="Compact"/>
              <w:jc w:val="left"/>
            </w:pPr>
            <w:r>
              <w:t xml:space="preserve">2152</w:t>
            </w:r>
          </w:p>
        </w:tc>
        <w:tc>
          <w:tcPr/>
          <w:p>
            <w:pPr>
              <w:pStyle w:val="Compact"/>
              <w:jc w:val="left"/>
            </w:pPr>
            <w:r>
              <w:t xml:space="preserve">Environment professionals</w:t>
            </w:r>
          </w:p>
        </w:tc>
        <w:tc>
          <w:tcPr/>
          <w:p>
            <w:pPr>
              <w:pStyle w:val="Compact"/>
              <w:jc w:val="left"/>
            </w:pPr>
            <w:r>
              <w:t xml:space="preserve">45,300</w:t>
            </w:r>
          </w:p>
        </w:tc>
        <w:tc>
          <w:tcPr/>
          <w:p>
            <w:pPr>
              <w:pStyle w:val="Compact"/>
              <w:jc w:val="left"/>
            </w:pPr>
            <w:r>
              <w:t xml:space="preserve">80,700</w:t>
            </w:r>
          </w:p>
        </w:tc>
        <w:tc>
          <w:tcPr/>
          <w:p>
            <w:pPr>
              <w:pStyle w:val="Compact"/>
              <w:jc w:val="left"/>
            </w:pPr>
            <w:r>
              <w:t xml:space="preserve">78.1</w:t>
            </w:r>
          </w:p>
        </w:tc>
        <w:tc>
          <w:tcPr/>
          <w:p>
            <w:pPr>
              <w:pStyle w:val="Compact"/>
            </w:pPr>
          </w:p>
        </w:tc>
      </w:tr>
      <w:tr>
        <w:tc>
          <w:tcPr/>
          <w:p>
            <w:pPr>
              <w:pStyle w:val="Compact"/>
              <w:jc w:val="left"/>
            </w:pPr>
            <w:r>
              <w:t xml:space="preserve">3114</w:t>
            </w:r>
          </w:p>
        </w:tc>
        <w:tc>
          <w:tcPr/>
          <w:p>
            <w:pPr>
              <w:pStyle w:val="Compact"/>
              <w:jc w:val="left"/>
            </w:pPr>
            <w:r>
              <w:t xml:space="preserve">Building and civil engineering technicians</w:t>
            </w:r>
          </w:p>
        </w:tc>
        <w:tc>
          <w:tcPr/>
          <w:p>
            <w:pPr>
              <w:pStyle w:val="Compact"/>
              <w:jc w:val="left"/>
            </w:pPr>
            <w:r>
              <w:t xml:space="preserve">5,500</w:t>
            </w:r>
          </w:p>
        </w:tc>
        <w:tc>
          <w:tcPr/>
          <w:p>
            <w:pPr>
              <w:pStyle w:val="Compact"/>
              <w:jc w:val="left"/>
            </w:pPr>
            <w:r>
              <w:t xml:space="preserve">17,300</w:t>
            </w:r>
          </w:p>
        </w:tc>
        <w:tc>
          <w:tcPr/>
          <w:p>
            <w:pPr>
              <w:pStyle w:val="Compact"/>
              <w:jc w:val="left"/>
            </w:pPr>
            <w:r>
              <w:t xml:space="preserve">214.5</w:t>
            </w:r>
          </w:p>
        </w:tc>
        <w:tc>
          <w:tcPr/>
          <w:p>
            <w:pPr>
              <w:pStyle w:val="Compact"/>
              <w:jc w:val="left"/>
            </w:pPr>
            <w:r>
              <w:t xml:space="preserve">0.477</w:t>
            </w:r>
          </w:p>
        </w:tc>
      </w:tr>
    </w:tbl>
    <w:bookmarkEnd w:id="115"/>
    <w:bookmarkStart w:id="116" w:name="X651e7ee996e9e5ca45695b9b88ae073f9c2b582"/>
    <w:p>
      <w:pPr>
        <w:pStyle w:val="Heading3"/>
      </w:pPr>
      <w:r>
        <w:t xml:space="preserve">Table 3. Eurostat enterprise AI use, NACE M vs F (%)</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country</w:t>
            </w:r>
          </w:p>
        </w:tc>
        <w:tc>
          <w:tcPr/>
          <w:p>
            <w:pPr>
              <w:pStyle w:val="Compact"/>
              <w:jc w:val="left"/>
            </w:pPr>
            <w:r>
              <w:t xml:space="preserve">iso3</w:t>
            </w:r>
          </w:p>
        </w:tc>
        <w:tc>
          <w:tcPr/>
          <w:p>
            <w:pPr>
              <w:pStyle w:val="Compact"/>
              <w:jc w:val="left"/>
            </w:pPr>
            <w:r>
              <w:t xml:space="preserve">ai_F_2021</w:t>
            </w:r>
          </w:p>
        </w:tc>
        <w:tc>
          <w:tcPr/>
          <w:p>
            <w:pPr>
              <w:pStyle w:val="Compact"/>
              <w:jc w:val="left"/>
            </w:pPr>
            <w:r>
              <w:t xml:space="preserve">ai_F_2023</w:t>
            </w:r>
          </w:p>
        </w:tc>
        <w:tc>
          <w:tcPr/>
          <w:p>
            <w:pPr>
              <w:pStyle w:val="Compact"/>
              <w:jc w:val="left"/>
            </w:pPr>
            <w:r>
              <w:t xml:space="preserve">ai_F_2024</w:t>
            </w:r>
          </w:p>
        </w:tc>
        <w:tc>
          <w:tcPr/>
          <w:p>
            <w:pPr>
              <w:pStyle w:val="Compact"/>
              <w:jc w:val="left"/>
            </w:pPr>
            <w:r>
              <w:t xml:space="preserve">ai_F_2025</w:t>
            </w:r>
          </w:p>
        </w:tc>
        <w:tc>
          <w:tcPr/>
          <w:p>
            <w:pPr>
              <w:pStyle w:val="Compact"/>
              <w:jc w:val="left"/>
            </w:pPr>
            <w:r>
              <w:t xml:space="preserve">ai_M_2021</w:t>
            </w:r>
          </w:p>
        </w:tc>
        <w:tc>
          <w:tcPr/>
          <w:p>
            <w:pPr>
              <w:pStyle w:val="Compact"/>
              <w:jc w:val="left"/>
            </w:pPr>
            <w:r>
              <w:t xml:space="preserve">ai_M_2023</w:t>
            </w:r>
          </w:p>
        </w:tc>
        <w:tc>
          <w:tcPr/>
          <w:p>
            <w:pPr>
              <w:pStyle w:val="Compact"/>
              <w:jc w:val="left"/>
            </w:pPr>
            <w:r>
              <w:t xml:space="preserve">ai_M_2024</w:t>
            </w:r>
          </w:p>
        </w:tc>
        <w:tc>
          <w:tcPr/>
          <w:p>
            <w:pPr>
              <w:pStyle w:val="Compact"/>
              <w:jc w:val="left"/>
            </w:pPr>
            <w:r>
              <w:t xml:space="preserve">ai_M_2025</w:t>
            </w:r>
          </w:p>
        </w:tc>
      </w:tr>
      <w:tr>
        <w:tc>
          <w:tcPr/>
          <w:p>
            <w:pPr>
              <w:pStyle w:val="Compact"/>
              <w:jc w:val="left"/>
            </w:pPr>
            <w:r>
              <w:t xml:space="preserve">Austria</w:t>
            </w:r>
          </w:p>
        </w:tc>
        <w:tc>
          <w:tcPr/>
          <w:p>
            <w:pPr>
              <w:pStyle w:val="Compact"/>
              <w:jc w:val="left"/>
            </w:pPr>
            <w:r>
              <w:t xml:space="preserve">AUT</w:t>
            </w:r>
          </w:p>
        </w:tc>
        <w:tc>
          <w:tcPr/>
          <w:p>
            <w:pPr>
              <w:pStyle w:val="Compact"/>
              <w:jc w:val="left"/>
            </w:pPr>
            <w:r>
              <w:t xml:space="preserve">3.12</w:t>
            </w:r>
          </w:p>
        </w:tc>
        <w:tc>
          <w:tcPr/>
          <w:p>
            <w:pPr>
              <w:pStyle w:val="Compact"/>
              <w:jc w:val="left"/>
            </w:pPr>
            <w:r>
              <w:t xml:space="preserve">4.28</w:t>
            </w:r>
          </w:p>
        </w:tc>
        <w:tc>
          <w:tcPr/>
          <w:p>
            <w:pPr>
              <w:pStyle w:val="Compact"/>
              <w:jc w:val="left"/>
            </w:pPr>
            <w:r>
              <w:t xml:space="preserve">7.35</w:t>
            </w:r>
          </w:p>
        </w:tc>
        <w:tc>
          <w:tcPr/>
          <w:p>
            <w:pPr>
              <w:pStyle w:val="Compact"/>
              <w:jc w:val="left"/>
            </w:pPr>
            <w:r>
              <w:t xml:space="preserve">14.89</w:t>
            </w:r>
          </w:p>
        </w:tc>
        <w:tc>
          <w:tcPr/>
          <w:p>
            <w:pPr>
              <w:pStyle w:val="Compact"/>
              <w:jc w:val="left"/>
            </w:pPr>
            <w:r>
              <w:t xml:space="preserve">20.93</w:t>
            </w:r>
          </w:p>
        </w:tc>
        <w:tc>
          <w:tcPr/>
          <w:p>
            <w:pPr>
              <w:pStyle w:val="Compact"/>
              <w:jc w:val="left"/>
            </w:pPr>
            <w:r>
              <w:t xml:space="preserve">25.82</w:t>
            </w:r>
          </w:p>
        </w:tc>
        <w:tc>
          <w:tcPr/>
          <w:p>
            <w:pPr>
              <w:pStyle w:val="Compact"/>
              <w:jc w:val="left"/>
            </w:pPr>
            <w:r>
              <w:t xml:space="preserve">39.59</w:t>
            </w:r>
          </w:p>
        </w:tc>
        <w:tc>
          <w:tcPr/>
          <w:p>
            <w:pPr>
              <w:pStyle w:val="Compact"/>
              <w:jc w:val="left"/>
            </w:pPr>
            <w:r>
              <w:t xml:space="preserve">52.8</w:t>
            </w:r>
          </w:p>
        </w:tc>
      </w:tr>
      <w:tr>
        <w:tc>
          <w:tcPr/>
          <w:p>
            <w:pPr>
              <w:pStyle w:val="Compact"/>
              <w:jc w:val="left"/>
            </w:pPr>
            <w:r>
              <w:t xml:space="preserve">Belgium</w:t>
            </w:r>
          </w:p>
        </w:tc>
        <w:tc>
          <w:tcPr/>
          <w:p>
            <w:pPr>
              <w:pStyle w:val="Compact"/>
              <w:jc w:val="left"/>
            </w:pPr>
            <w:r>
              <w:t xml:space="preserve">BEL</w:t>
            </w:r>
          </w:p>
        </w:tc>
        <w:tc>
          <w:tcPr/>
          <w:p>
            <w:pPr>
              <w:pStyle w:val="Compact"/>
              <w:jc w:val="left"/>
            </w:pPr>
            <w:r>
              <w:t xml:space="preserve">8.3</w:t>
            </w:r>
          </w:p>
        </w:tc>
        <w:tc>
          <w:tcPr/>
          <w:p>
            <w:pPr>
              <w:pStyle w:val="Compact"/>
              <w:jc w:val="left"/>
            </w:pPr>
            <w:r>
              <w:t xml:space="preserve">5.17</w:t>
            </w:r>
          </w:p>
        </w:tc>
        <w:tc>
          <w:tcPr/>
          <w:p>
            <w:pPr>
              <w:pStyle w:val="Compact"/>
              <w:jc w:val="left"/>
            </w:pPr>
            <w:r>
              <w:t xml:space="preserve">11.08</w:t>
            </w:r>
          </w:p>
        </w:tc>
        <w:tc>
          <w:tcPr/>
          <w:p>
            <w:pPr>
              <w:pStyle w:val="Compact"/>
              <w:jc w:val="left"/>
            </w:pPr>
            <w:r>
              <w:t xml:space="preserve">20.25</w:t>
            </w:r>
          </w:p>
        </w:tc>
        <w:tc>
          <w:tcPr/>
          <w:p>
            <w:pPr>
              <w:pStyle w:val="Compact"/>
              <w:jc w:val="left"/>
            </w:pPr>
            <w:r>
              <w:t xml:space="preserve">20.24</w:t>
            </w:r>
          </w:p>
        </w:tc>
        <w:tc>
          <w:tcPr/>
          <w:p>
            <w:pPr>
              <w:pStyle w:val="Compact"/>
              <w:jc w:val="left"/>
            </w:pPr>
            <w:r>
              <w:t xml:space="preserve">28.28</w:t>
            </w:r>
          </w:p>
        </w:tc>
        <w:tc>
          <w:tcPr/>
          <w:p>
            <w:pPr>
              <w:pStyle w:val="Compact"/>
              <w:jc w:val="left"/>
            </w:pPr>
            <w:r>
              <w:t xml:space="preserve">42.92</w:t>
            </w:r>
          </w:p>
        </w:tc>
        <w:tc>
          <w:tcPr/>
          <w:p>
            <w:pPr>
              <w:pStyle w:val="Compact"/>
              <w:jc w:val="left"/>
            </w:pPr>
            <w:r>
              <w:t xml:space="preserve">57.11</w:t>
            </w:r>
          </w:p>
        </w:tc>
      </w:tr>
      <w:tr>
        <w:tc>
          <w:tcPr/>
          <w:p>
            <w:pPr>
              <w:pStyle w:val="Compact"/>
              <w:jc w:val="left"/>
            </w:pPr>
            <w:r>
              <w:t xml:space="preserve">Czechia</w:t>
            </w:r>
          </w:p>
        </w:tc>
        <w:tc>
          <w:tcPr/>
          <w:p>
            <w:pPr>
              <w:pStyle w:val="Compact"/>
              <w:jc w:val="left"/>
            </w:pPr>
            <w:r>
              <w:t xml:space="preserve">CZE</w:t>
            </w:r>
          </w:p>
        </w:tc>
        <w:tc>
          <w:tcPr/>
          <w:p>
            <w:pPr>
              <w:pStyle w:val="Compact"/>
              <w:jc w:val="left"/>
            </w:pPr>
            <w:r>
              <w:t xml:space="preserve">0.35</w:t>
            </w:r>
          </w:p>
        </w:tc>
        <w:tc>
          <w:tcPr/>
          <w:p>
            <w:pPr>
              <w:pStyle w:val="Compact"/>
              <w:jc w:val="left"/>
            </w:pPr>
            <w:r>
              <w:t xml:space="preserve">1.34</w:t>
            </w:r>
          </w:p>
        </w:tc>
        <w:tc>
          <w:tcPr/>
          <w:p>
            <w:pPr>
              <w:pStyle w:val="Compact"/>
              <w:jc w:val="left"/>
            </w:pPr>
            <w:r>
              <w:t xml:space="preserve">2.35</w:t>
            </w:r>
          </w:p>
        </w:tc>
        <w:tc>
          <w:tcPr/>
          <w:p>
            <w:pPr>
              <w:pStyle w:val="Compact"/>
              <w:jc w:val="left"/>
            </w:pPr>
            <w:r>
              <w:t xml:space="preserve">7.84</w:t>
            </w:r>
          </w:p>
        </w:tc>
        <w:tc>
          <w:tcPr/>
          <w:p>
            <w:pPr>
              <w:pStyle w:val="Compact"/>
              <w:jc w:val="left"/>
            </w:pPr>
            <w:r>
              <w:t xml:space="preserve">9.28</w:t>
            </w:r>
          </w:p>
        </w:tc>
        <w:tc>
          <w:tcPr/>
          <w:p>
            <w:pPr>
              <w:pStyle w:val="Compact"/>
              <w:jc w:val="left"/>
            </w:pPr>
            <w:r>
              <w:t xml:space="preserve">9.42</w:t>
            </w:r>
          </w:p>
        </w:tc>
        <w:tc>
          <w:tcPr/>
          <w:p>
            <w:pPr>
              <w:pStyle w:val="Compact"/>
              <w:jc w:val="left"/>
            </w:pPr>
            <w:r>
              <w:t xml:space="preserve">22.09</w:t>
            </w:r>
          </w:p>
        </w:tc>
        <w:tc>
          <w:tcPr/>
          <w:p>
            <w:pPr>
              <w:pStyle w:val="Compact"/>
              <w:jc w:val="left"/>
            </w:pPr>
            <w:r>
              <w:t xml:space="preserve">33.31</w:t>
            </w:r>
          </w:p>
        </w:tc>
      </w:tr>
      <w:tr>
        <w:tc>
          <w:tcPr/>
          <w:p>
            <w:pPr>
              <w:pStyle w:val="Compact"/>
              <w:jc w:val="left"/>
            </w:pPr>
            <w:r>
              <w:t xml:space="preserve">Denmark</w:t>
            </w:r>
          </w:p>
        </w:tc>
        <w:tc>
          <w:tcPr/>
          <w:p>
            <w:pPr>
              <w:pStyle w:val="Compact"/>
              <w:jc w:val="left"/>
            </w:pPr>
            <w:r>
              <w:t xml:space="preserve">DNK</w:t>
            </w:r>
          </w:p>
        </w:tc>
        <w:tc>
          <w:tcPr/>
          <w:p>
            <w:pPr>
              <w:pStyle w:val="Compact"/>
              <w:jc w:val="left"/>
            </w:pPr>
            <w:r>
              <w:t xml:space="preserve">8.87</w:t>
            </w:r>
          </w:p>
        </w:tc>
        <w:tc>
          <w:tcPr/>
          <w:p>
            <w:pPr>
              <w:pStyle w:val="Compact"/>
              <w:jc w:val="left"/>
            </w:pPr>
            <w:r>
              <w:t xml:space="preserve">3.23</w:t>
            </w:r>
          </w:p>
        </w:tc>
        <w:tc>
          <w:tcPr/>
          <w:p>
            <w:pPr>
              <w:pStyle w:val="Compact"/>
              <w:jc w:val="left"/>
            </w:pPr>
            <w:r>
              <w:t xml:space="preserve">11.7</w:t>
            </w:r>
          </w:p>
        </w:tc>
        <w:tc>
          <w:tcPr/>
          <w:p>
            <w:pPr>
              <w:pStyle w:val="Compact"/>
              <w:jc w:val="left"/>
            </w:pPr>
            <w:r>
              <w:t xml:space="preserve">23.93</w:t>
            </w:r>
          </w:p>
        </w:tc>
        <w:tc>
          <w:tcPr/>
          <w:p>
            <w:pPr>
              <w:pStyle w:val="Compact"/>
              <w:jc w:val="left"/>
            </w:pPr>
            <w:r>
              <w:t xml:space="preserve">39.22</w:t>
            </w:r>
          </w:p>
        </w:tc>
        <w:tc>
          <w:tcPr/>
          <w:p>
            <w:pPr>
              <w:pStyle w:val="Compact"/>
              <w:jc w:val="left"/>
            </w:pPr>
            <w:r>
              <w:t xml:space="preserve">23.58</w:t>
            </w:r>
          </w:p>
        </w:tc>
        <w:tc>
          <w:tcPr/>
          <w:p>
            <w:pPr>
              <w:pStyle w:val="Compact"/>
              <w:jc w:val="left"/>
            </w:pPr>
            <w:r>
              <w:t xml:space="preserve">44.9</w:t>
            </w:r>
          </w:p>
        </w:tc>
        <w:tc>
          <w:tcPr/>
          <w:p>
            <w:pPr>
              <w:pStyle w:val="Compact"/>
              <w:jc w:val="left"/>
            </w:pPr>
            <w:r>
              <w:t xml:space="preserve">63.71</w:t>
            </w:r>
          </w:p>
        </w:tc>
      </w:tr>
      <w:tr>
        <w:tc>
          <w:tcPr/>
          <w:p>
            <w:pPr>
              <w:pStyle w:val="Compact"/>
              <w:jc w:val="left"/>
            </w:pPr>
            <w:r>
              <w:t xml:space="preserve">Finland</w:t>
            </w:r>
          </w:p>
        </w:tc>
        <w:tc>
          <w:tcPr/>
          <w:p>
            <w:pPr>
              <w:pStyle w:val="Compact"/>
              <w:jc w:val="left"/>
            </w:pPr>
            <w:r>
              <w:t xml:space="preserve">FIN</w:t>
            </w:r>
          </w:p>
        </w:tc>
        <w:tc>
          <w:tcPr/>
          <w:p>
            <w:pPr>
              <w:pStyle w:val="Compact"/>
              <w:jc w:val="left"/>
            </w:pPr>
            <w:r>
              <w:t xml:space="preserve">9.39</w:t>
            </w:r>
          </w:p>
        </w:tc>
        <w:tc>
          <w:tcPr/>
          <w:p>
            <w:pPr>
              <w:pStyle w:val="Compact"/>
              <w:jc w:val="left"/>
            </w:pPr>
            <w:r>
              <w:t xml:space="preserve">5.18</w:t>
            </w:r>
          </w:p>
        </w:tc>
        <w:tc>
          <w:tcPr/>
          <w:p>
            <w:pPr>
              <w:pStyle w:val="Compact"/>
              <w:jc w:val="left"/>
            </w:pPr>
            <w:r>
              <w:t xml:space="preserve">11.26</w:t>
            </w:r>
          </w:p>
        </w:tc>
        <w:tc>
          <w:tcPr/>
          <w:p>
            <w:pPr>
              <w:pStyle w:val="Compact"/>
              <w:jc w:val="left"/>
            </w:pPr>
            <w:r>
              <w:t xml:space="preserve">24.01</w:t>
            </w:r>
          </w:p>
        </w:tc>
        <w:tc>
          <w:tcPr/>
          <w:p>
            <w:pPr>
              <w:pStyle w:val="Compact"/>
              <w:jc w:val="left"/>
            </w:pPr>
            <w:r>
              <w:t xml:space="preserve">29.63</w:t>
            </w:r>
          </w:p>
        </w:tc>
        <w:tc>
          <w:tcPr/>
          <w:p>
            <w:pPr>
              <w:pStyle w:val="Compact"/>
              <w:jc w:val="left"/>
            </w:pPr>
            <w:r>
              <w:t xml:space="preserve">31.54</w:t>
            </w:r>
          </w:p>
        </w:tc>
        <w:tc>
          <w:tcPr/>
          <w:p>
            <w:pPr>
              <w:pStyle w:val="Compact"/>
              <w:jc w:val="left"/>
            </w:pPr>
            <w:r>
              <w:t xml:space="preserve">48.46</w:t>
            </w:r>
          </w:p>
        </w:tc>
        <w:tc>
          <w:tcPr/>
          <w:p>
            <w:pPr>
              <w:pStyle w:val="Compact"/>
              <w:jc w:val="left"/>
            </w:pPr>
            <w:r>
              <w:t xml:space="preserve">74.75</w:t>
            </w:r>
          </w:p>
        </w:tc>
      </w:tr>
      <w:tr>
        <w:tc>
          <w:tcPr/>
          <w:p>
            <w:pPr>
              <w:pStyle w:val="Compact"/>
              <w:jc w:val="left"/>
            </w:pPr>
            <w:r>
              <w:t xml:space="preserve">France</w:t>
            </w:r>
          </w:p>
        </w:tc>
        <w:tc>
          <w:tcPr/>
          <w:p>
            <w:pPr>
              <w:pStyle w:val="Compact"/>
              <w:jc w:val="left"/>
            </w:pPr>
            <w:r>
              <w:t xml:space="preserve">FRA</w:t>
            </w:r>
          </w:p>
        </w:tc>
        <w:tc>
          <w:tcPr/>
          <w:p>
            <w:pPr>
              <w:pStyle w:val="Compact"/>
              <w:jc w:val="left"/>
            </w:pPr>
            <w:r>
              <w:t xml:space="preserve">4.09</w:t>
            </w:r>
          </w:p>
        </w:tc>
        <w:tc>
          <w:tcPr/>
          <w:p>
            <w:pPr>
              <w:pStyle w:val="Compact"/>
              <w:jc w:val="left"/>
            </w:pPr>
            <w:r>
              <w:t xml:space="preserve">2.09</w:t>
            </w:r>
          </w:p>
        </w:tc>
        <w:tc>
          <w:tcPr/>
          <w:p>
            <w:pPr>
              <w:pStyle w:val="Compact"/>
              <w:jc w:val="left"/>
            </w:pPr>
            <w:r>
              <w:t xml:space="preserve">3.14</w:t>
            </w:r>
          </w:p>
        </w:tc>
        <w:tc>
          <w:tcPr/>
          <w:p>
            <w:pPr>
              <w:pStyle w:val="Compact"/>
              <w:jc w:val="left"/>
            </w:pPr>
            <w:r>
              <w:t xml:space="preserve">9.52</w:t>
            </w:r>
          </w:p>
        </w:tc>
        <w:tc>
          <w:tcPr/>
          <w:p>
            <w:pPr>
              <w:pStyle w:val="Compact"/>
              <w:jc w:val="left"/>
            </w:pPr>
            <w:r>
              <w:t xml:space="preserve">15.23</w:t>
            </w:r>
          </w:p>
        </w:tc>
        <w:tc>
          <w:tcPr/>
          <w:p>
            <w:pPr>
              <w:pStyle w:val="Compact"/>
              <w:jc w:val="left"/>
            </w:pPr>
            <w:r>
              <w:t xml:space="preserve">13.75</w:t>
            </w:r>
          </w:p>
        </w:tc>
        <w:tc>
          <w:tcPr/>
          <w:p>
            <w:pPr>
              <w:pStyle w:val="Compact"/>
              <w:jc w:val="left"/>
            </w:pPr>
            <w:r>
              <w:t xml:space="preserve">17.47</w:t>
            </w:r>
          </w:p>
        </w:tc>
        <w:tc>
          <w:tcPr/>
          <w:p>
            <w:pPr>
              <w:pStyle w:val="Compact"/>
              <w:jc w:val="left"/>
            </w:pPr>
            <w:r>
              <w:t xml:space="preserve">32.5</w:t>
            </w:r>
          </w:p>
        </w:tc>
      </w:tr>
      <w:tr>
        <w:tc>
          <w:tcPr/>
          <w:p>
            <w:pPr>
              <w:pStyle w:val="Compact"/>
              <w:jc w:val="left"/>
            </w:pPr>
            <w:r>
              <w:t xml:space="preserve">Germany</w:t>
            </w:r>
          </w:p>
        </w:tc>
        <w:tc>
          <w:tcPr/>
          <w:p>
            <w:pPr>
              <w:pStyle w:val="Compact"/>
              <w:jc w:val="left"/>
            </w:pPr>
            <w:r>
              <w:t xml:space="preserve">DEU</w:t>
            </w:r>
          </w:p>
        </w:tc>
        <w:tc>
          <w:tcPr/>
          <w:p>
            <w:pPr>
              <w:pStyle w:val="Compact"/>
              <w:jc w:val="left"/>
            </w:pPr>
            <w:r>
              <w:t xml:space="preserve">8.29</w:t>
            </w:r>
          </w:p>
        </w:tc>
        <w:tc>
          <w:tcPr/>
          <w:p>
            <w:pPr>
              <w:pStyle w:val="Compact"/>
              <w:jc w:val="left"/>
            </w:pPr>
            <w:r>
              <w:t xml:space="preserve">4.48</w:t>
            </w:r>
          </w:p>
        </w:tc>
        <w:tc>
          <w:tcPr/>
          <w:p>
            <w:pPr>
              <w:pStyle w:val="Compact"/>
              <w:jc w:val="left"/>
            </w:pPr>
            <w:r>
              <w:t xml:space="preserve">10.01</w:t>
            </w:r>
          </w:p>
        </w:tc>
        <w:tc>
          <w:tcPr/>
          <w:p>
            <w:pPr>
              <w:pStyle w:val="Compact"/>
              <w:jc w:val="left"/>
            </w:pPr>
            <w:r>
              <w:t xml:space="preserve">14.28</w:t>
            </w:r>
          </w:p>
        </w:tc>
        <w:tc>
          <w:tcPr/>
          <w:p>
            <w:pPr>
              <w:pStyle w:val="Compact"/>
              <w:jc w:val="left"/>
            </w:pPr>
            <w:r>
              <w:t xml:space="preserve">25.54</w:t>
            </w:r>
          </w:p>
        </w:tc>
        <w:tc>
          <w:tcPr/>
          <w:p>
            <w:pPr>
              <w:pStyle w:val="Compact"/>
              <w:jc w:val="left"/>
            </w:pPr>
            <w:r>
              <w:t xml:space="preserve">26.34</w:t>
            </w:r>
          </w:p>
        </w:tc>
        <w:tc>
          <w:tcPr/>
          <w:p>
            <w:pPr>
              <w:pStyle w:val="Compact"/>
              <w:jc w:val="left"/>
            </w:pPr>
            <w:r>
              <w:t xml:space="preserve">42.29</w:t>
            </w:r>
          </w:p>
        </w:tc>
        <w:tc>
          <w:tcPr/>
          <w:p>
            <w:pPr>
              <w:pStyle w:val="Compact"/>
              <w:jc w:val="left"/>
            </w:pPr>
            <w:r>
              <w:t xml:space="preserve">48.3</w:t>
            </w:r>
          </w:p>
        </w:tc>
      </w:tr>
      <w:tr>
        <w:tc>
          <w:tcPr/>
          <w:p>
            <w:pPr>
              <w:pStyle w:val="Compact"/>
              <w:jc w:val="left"/>
            </w:pPr>
            <w:r>
              <w:t xml:space="preserve">Greece</w:t>
            </w:r>
          </w:p>
        </w:tc>
        <w:tc>
          <w:tcPr/>
          <w:p>
            <w:pPr>
              <w:pStyle w:val="Compact"/>
              <w:jc w:val="left"/>
            </w:pPr>
            <w:r>
              <w:t xml:space="preserve">GRC</w:t>
            </w:r>
          </w:p>
        </w:tc>
        <w:tc>
          <w:tcPr/>
          <w:p>
            <w:pPr>
              <w:pStyle w:val="Compact"/>
              <w:jc w:val="left"/>
            </w:pPr>
            <w:r>
              <w:t xml:space="preserve">2.82</w:t>
            </w:r>
          </w:p>
        </w:tc>
        <w:tc>
          <w:tcPr/>
          <w:p>
            <w:pPr>
              <w:pStyle w:val="Compact"/>
              <w:jc w:val="left"/>
            </w:pPr>
            <w:r>
              <w:t xml:space="preserve">3.4</w:t>
            </w:r>
          </w:p>
        </w:tc>
        <w:tc>
          <w:tcPr/>
          <w:p>
            <w:pPr>
              <w:pStyle w:val="Compact"/>
              <w:jc w:val="left"/>
            </w:pPr>
            <w:r>
              <w:t xml:space="preserve">5.17</w:t>
            </w:r>
          </w:p>
        </w:tc>
        <w:tc>
          <w:tcPr/>
          <w:p>
            <w:pPr>
              <w:pStyle w:val="Compact"/>
              <w:jc w:val="left"/>
            </w:pPr>
            <w:r>
              <w:t xml:space="preserve">6.96</w:t>
            </w:r>
          </w:p>
        </w:tc>
        <w:tc>
          <w:tcPr/>
          <w:p>
            <w:pPr>
              <w:pStyle w:val="Compact"/>
              <w:jc w:val="left"/>
            </w:pPr>
            <w:r>
              <w:t xml:space="preserve">9.2</w:t>
            </w:r>
          </w:p>
        </w:tc>
        <w:tc>
          <w:tcPr/>
          <w:p>
            <w:pPr>
              <w:pStyle w:val="Compact"/>
              <w:jc w:val="left"/>
            </w:pPr>
            <w:r>
              <w:t xml:space="preserve">8.67</w:t>
            </w:r>
          </w:p>
        </w:tc>
        <w:tc>
          <w:tcPr/>
          <w:p>
            <w:pPr>
              <w:pStyle w:val="Compact"/>
              <w:jc w:val="left"/>
            </w:pPr>
            <w:r>
              <w:t xml:space="preserve">21.02</w:t>
            </w:r>
          </w:p>
        </w:tc>
        <w:tc>
          <w:tcPr/>
          <w:p>
            <w:pPr>
              <w:pStyle w:val="Compact"/>
              <w:jc w:val="left"/>
            </w:pPr>
            <w:r>
              <w:t xml:space="preserve">30.81</w:t>
            </w:r>
          </w:p>
        </w:tc>
      </w:tr>
      <w:tr>
        <w:tc>
          <w:tcPr/>
          <w:p>
            <w:pPr>
              <w:pStyle w:val="Compact"/>
              <w:jc w:val="left"/>
            </w:pPr>
            <w:r>
              <w:t xml:space="preserve">Hungary</w:t>
            </w:r>
          </w:p>
        </w:tc>
        <w:tc>
          <w:tcPr/>
          <w:p>
            <w:pPr>
              <w:pStyle w:val="Compact"/>
              <w:jc w:val="left"/>
            </w:pPr>
            <w:r>
              <w:t xml:space="preserve">HUN</w:t>
            </w:r>
          </w:p>
        </w:tc>
        <w:tc>
          <w:tcPr/>
          <w:p>
            <w:pPr>
              <w:pStyle w:val="Compact"/>
              <w:jc w:val="left"/>
            </w:pPr>
            <w:r>
              <w:t xml:space="preserve">0.55</w:t>
            </w:r>
          </w:p>
        </w:tc>
        <w:tc>
          <w:tcPr/>
          <w:p>
            <w:pPr>
              <w:pStyle w:val="Compact"/>
              <w:jc w:val="left"/>
            </w:pPr>
            <w:r>
              <w:t xml:space="preserve">1.8</w:t>
            </w:r>
          </w:p>
        </w:tc>
        <w:tc>
          <w:tcPr/>
          <w:p>
            <w:pPr>
              <w:pStyle w:val="Compact"/>
              <w:jc w:val="left"/>
            </w:pPr>
            <w:r>
              <w:t xml:space="preserve">4.27</w:t>
            </w:r>
          </w:p>
        </w:tc>
        <w:tc>
          <w:tcPr/>
          <w:p>
            <w:pPr>
              <w:pStyle w:val="Compact"/>
              <w:jc w:val="left"/>
            </w:pPr>
            <w:r>
              <w:t xml:space="preserve">4.53</w:t>
            </w:r>
          </w:p>
        </w:tc>
        <w:tc>
          <w:tcPr/>
          <w:p>
            <w:pPr>
              <w:pStyle w:val="Compact"/>
              <w:jc w:val="left"/>
            </w:pPr>
            <w:r>
              <w:t xml:space="preserve">3.71</w:t>
            </w:r>
          </w:p>
        </w:tc>
        <w:tc>
          <w:tcPr/>
          <w:p>
            <w:pPr>
              <w:pStyle w:val="Compact"/>
              <w:jc w:val="left"/>
            </w:pPr>
            <w:r>
              <w:t xml:space="preserve">5.24</w:t>
            </w:r>
          </w:p>
        </w:tc>
        <w:tc>
          <w:tcPr/>
          <w:p>
            <w:pPr>
              <w:pStyle w:val="Compact"/>
              <w:jc w:val="left"/>
            </w:pPr>
            <w:r>
              <w:t xml:space="preserve">17.3</w:t>
            </w:r>
          </w:p>
        </w:tc>
        <w:tc>
          <w:tcPr/>
          <w:p>
            <w:pPr>
              <w:pStyle w:val="Compact"/>
              <w:jc w:val="left"/>
            </w:pPr>
            <w:r>
              <w:t xml:space="preserve">22.86</w:t>
            </w:r>
          </w:p>
        </w:tc>
      </w:tr>
      <w:tr>
        <w:tc>
          <w:tcPr/>
          <w:p>
            <w:pPr>
              <w:pStyle w:val="Compact"/>
              <w:jc w:val="left"/>
            </w:pPr>
            <w:r>
              <w:t xml:space="preserve">Ireland</w:t>
            </w:r>
          </w:p>
        </w:tc>
        <w:tc>
          <w:tcPr/>
          <w:p>
            <w:pPr>
              <w:pStyle w:val="Compact"/>
              <w:jc w:val="left"/>
            </w:pPr>
            <w:r>
              <w:t xml:space="preserve">IRL</w:t>
            </w:r>
          </w:p>
        </w:tc>
        <w:tc>
          <w:tcPr/>
          <w:p>
            <w:pPr>
              <w:pStyle w:val="Compact"/>
              <w:jc w:val="left"/>
            </w:pPr>
            <w:r>
              <w:t xml:space="preserve">0.27</w:t>
            </w:r>
          </w:p>
        </w:tc>
        <w:tc>
          <w:tcPr/>
          <w:p>
            <w:pPr>
              <w:pStyle w:val="Compact"/>
              <w:jc w:val="left"/>
            </w:pPr>
            <w:r>
              <w:t xml:space="preserve">5.92</w:t>
            </w:r>
          </w:p>
        </w:tc>
        <w:tc>
          <w:tcPr/>
          <w:p>
            <w:pPr>
              <w:pStyle w:val="Compact"/>
              <w:jc w:val="left"/>
            </w:pPr>
            <w:r>
              <w:t xml:space="preserve">6.24</w:t>
            </w:r>
          </w:p>
        </w:tc>
        <w:tc>
          <w:tcPr/>
          <w:p>
            <w:pPr>
              <w:pStyle w:val="Compact"/>
              <w:jc w:val="left"/>
            </w:pPr>
            <w:r>
              <w:t xml:space="preserve">9.2</w:t>
            </w:r>
          </w:p>
        </w:tc>
        <w:tc>
          <w:tcPr/>
          <w:p>
            <w:pPr>
              <w:pStyle w:val="Compact"/>
              <w:jc w:val="left"/>
            </w:pPr>
            <w:r>
              <w:t xml:space="preserve">13.59</w:t>
            </w:r>
          </w:p>
        </w:tc>
        <w:tc>
          <w:tcPr/>
          <w:p>
            <w:pPr>
              <w:pStyle w:val="Compact"/>
              <w:jc w:val="left"/>
            </w:pPr>
            <w:r>
              <w:t xml:space="preserve">15.77</w:t>
            </w:r>
          </w:p>
        </w:tc>
        <w:tc>
          <w:tcPr/>
          <w:p>
            <w:pPr>
              <w:pStyle w:val="Compact"/>
              <w:jc w:val="left"/>
            </w:pPr>
            <w:r>
              <w:t xml:space="preserve">27.25</w:t>
            </w:r>
          </w:p>
        </w:tc>
        <w:tc>
          <w:tcPr/>
          <w:p>
            <w:pPr>
              <w:pStyle w:val="Compact"/>
              <w:jc w:val="left"/>
            </w:pPr>
            <w:r>
              <w:t xml:space="preserve">31.76</w:t>
            </w:r>
          </w:p>
        </w:tc>
      </w:tr>
      <w:tr>
        <w:tc>
          <w:tcPr/>
          <w:p>
            <w:pPr>
              <w:pStyle w:val="Compact"/>
              <w:jc w:val="left"/>
            </w:pPr>
            <w:r>
              <w:t xml:space="preserve">Italy</w:t>
            </w:r>
          </w:p>
        </w:tc>
        <w:tc>
          <w:tcPr/>
          <w:p>
            <w:pPr>
              <w:pStyle w:val="Compact"/>
              <w:jc w:val="left"/>
            </w:pPr>
            <w:r>
              <w:t xml:space="preserve">ITA</w:t>
            </w:r>
          </w:p>
        </w:tc>
        <w:tc>
          <w:tcPr/>
          <w:p>
            <w:pPr>
              <w:pStyle w:val="Compact"/>
              <w:jc w:val="left"/>
            </w:pPr>
            <w:r>
              <w:t xml:space="preserve">5.24</w:t>
            </w:r>
          </w:p>
        </w:tc>
        <w:tc>
          <w:tcPr/>
          <w:p>
            <w:pPr>
              <w:pStyle w:val="Compact"/>
              <w:jc w:val="left"/>
            </w:pPr>
            <w:r>
              <w:t xml:space="preserve">2.62</w:t>
            </w:r>
          </w:p>
        </w:tc>
        <w:tc>
          <w:tcPr/>
          <w:p>
            <w:pPr>
              <w:pStyle w:val="Compact"/>
              <w:jc w:val="left"/>
            </w:pPr>
            <w:r>
              <w:t xml:space="preserve">5.24</w:t>
            </w:r>
          </w:p>
        </w:tc>
        <w:tc>
          <w:tcPr/>
          <w:p>
            <w:pPr>
              <w:pStyle w:val="Compact"/>
              <w:jc w:val="left"/>
            </w:pPr>
            <w:r>
              <w:t xml:space="preserve">10.39</w:t>
            </w:r>
          </w:p>
        </w:tc>
        <w:tc>
          <w:tcPr/>
          <w:p>
            <w:pPr>
              <w:pStyle w:val="Compact"/>
              <w:jc w:val="left"/>
            </w:pPr>
            <w:r>
              <w:t xml:space="preserve">8.68</w:t>
            </w:r>
          </w:p>
        </w:tc>
        <w:tc>
          <w:tcPr/>
          <w:p>
            <w:pPr>
              <w:pStyle w:val="Compact"/>
              <w:jc w:val="left"/>
            </w:pPr>
            <w:r>
              <w:t xml:space="preserve">9.23</w:t>
            </w:r>
          </w:p>
        </w:tc>
        <w:tc>
          <w:tcPr/>
          <w:p>
            <w:pPr>
              <w:pStyle w:val="Compact"/>
              <w:jc w:val="left"/>
            </w:pPr>
            <w:r>
              <w:t xml:space="preserve">19.56</w:t>
            </w:r>
          </w:p>
        </w:tc>
        <w:tc>
          <w:tcPr/>
          <w:p>
            <w:pPr>
              <w:pStyle w:val="Compact"/>
              <w:jc w:val="left"/>
            </w:pPr>
            <w:r>
              <w:t xml:space="preserve">35.72</w:t>
            </w:r>
          </w:p>
        </w:tc>
      </w:tr>
      <w:tr>
        <w:tc>
          <w:tcPr/>
          <w:p>
            <w:pPr>
              <w:pStyle w:val="Compact"/>
              <w:jc w:val="left"/>
            </w:pPr>
            <w:r>
              <w:t xml:space="preserve">Netherlands</w:t>
            </w:r>
          </w:p>
        </w:tc>
        <w:tc>
          <w:tcPr/>
          <w:p>
            <w:pPr>
              <w:pStyle w:val="Compact"/>
              <w:jc w:val="left"/>
            </w:pPr>
            <w:r>
              <w:t xml:space="preserve">NLD</w:t>
            </w:r>
          </w:p>
        </w:tc>
        <w:tc>
          <w:tcPr/>
          <w:p>
            <w:pPr>
              <w:pStyle w:val="Compact"/>
              <w:jc w:val="left"/>
            </w:pPr>
            <w:r>
              <w:t xml:space="preserve">7.39</w:t>
            </w:r>
          </w:p>
        </w:tc>
        <w:tc>
          <w:tcPr/>
          <w:p>
            <w:pPr>
              <w:pStyle w:val="Compact"/>
              <w:jc w:val="left"/>
            </w:pPr>
            <w:r>
              <w:t xml:space="preserve">4.72</w:t>
            </w:r>
          </w:p>
        </w:tc>
        <w:tc>
          <w:tcPr/>
          <w:p>
            <w:pPr>
              <w:pStyle w:val="Compact"/>
              <w:jc w:val="left"/>
            </w:pPr>
            <w:r>
              <w:t xml:space="preserve">8.88</w:t>
            </w:r>
          </w:p>
        </w:tc>
        <w:tc>
          <w:tcPr/>
          <w:p>
            <w:pPr>
              <w:pStyle w:val="Compact"/>
              <w:jc w:val="left"/>
            </w:pPr>
            <w:r>
              <w:t xml:space="preserve">21.29</w:t>
            </w:r>
          </w:p>
        </w:tc>
        <w:tc>
          <w:tcPr/>
          <w:p>
            <w:pPr>
              <w:pStyle w:val="Compact"/>
              <w:jc w:val="left"/>
            </w:pPr>
            <w:r>
              <w:t xml:space="preserve">20.05</w:t>
            </w:r>
          </w:p>
        </w:tc>
        <w:tc>
          <w:tcPr/>
          <w:p>
            <w:pPr>
              <w:pStyle w:val="Compact"/>
              <w:jc w:val="left"/>
            </w:pPr>
            <w:r>
              <w:t xml:space="preserve">24.8</w:t>
            </w:r>
          </w:p>
        </w:tc>
        <w:tc>
          <w:tcPr/>
          <w:p>
            <w:pPr>
              <w:pStyle w:val="Compact"/>
              <w:jc w:val="left"/>
            </w:pPr>
            <w:r>
              <w:t xml:space="preserve">39.78</w:t>
            </w:r>
          </w:p>
        </w:tc>
        <w:tc>
          <w:tcPr/>
          <w:p>
            <w:pPr>
              <w:pStyle w:val="Compact"/>
              <w:jc w:val="left"/>
            </w:pPr>
            <w:r>
              <w:t xml:space="preserve">54.98</w:t>
            </w:r>
          </w:p>
        </w:tc>
      </w:tr>
      <w:tr>
        <w:tc>
          <w:tcPr/>
          <w:p>
            <w:pPr>
              <w:pStyle w:val="Compact"/>
              <w:jc w:val="left"/>
            </w:pPr>
            <w:r>
              <w:t xml:space="preserve">Poland</w:t>
            </w:r>
          </w:p>
        </w:tc>
        <w:tc>
          <w:tcPr/>
          <w:p>
            <w:pPr>
              <w:pStyle w:val="Compact"/>
              <w:jc w:val="left"/>
            </w:pPr>
            <w:r>
              <w:t xml:space="preserve">POL</w:t>
            </w:r>
          </w:p>
        </w:tc>
        <w:tc>
          <w:tcPr/>
          <w:p>
            <w:pPr>
              <w:pStyle w:val="Compact"/>
              <w:jc w:val="left"/>
            </w:pPr>
            <w:r>
              <w:t xml:space="preserve">0.35</w:t>
            </w:r>
          </w:p>
        </w:tc>
        <w:tc>
          <w:tcPr/>
          <w:p>
            <w:pPr>
              <w:pStyle w:val="Compact"/>
              <w:jc w:val="left"/>
            </w:pPr>
            <w:r>
              <w:t xml:space="preserve">1.23</w:t>
            </w:r>
          </w:p>
        </w:tc>
        <w:tc>
          <w:tcPr/>
          <w:p>
            <w:pPr>
              <w:pStyle w:val="Compact"/>
              <w:jc w:val="left"/>
            </w:pPr>
            <w:r>
              <w:t xml:space="preserve">2.01</w:t>
            </w:r>
          </w:p>
        </w:tc>
        <w:tc>
          <w:tcPr/>
          <w:p>
            <w:pPr>
              <w:pStyle w:val="Compact"/>
              <w:jc w:val="left"/>
            </w:pPr>
            <w:r>
              <w:t xml:space="preserve">2.35</w:t>
            </w:r>
          </w:p>
        </w:tc>
        <w:tc>
          <w:tcPr/>
          <w:p>
            <w:pPr>
              <w:pStyle w:val="Compact"/>
              <w:jc w:val="left"/>
            </w:pPr>
            <w:r>
              <w:t xml:space="preserve">6.48</w:t>
            </w:r>
          </w:p>
        </w:tc>
        <w:tc>
          <w:tcPr/>
          <w:p>
            <w:pPr>
              <w:pStyle w:val="Compact"/>
              <w:jc w:val="left"/>
            </w:pPr>
            <w:r>
              <w:t xml:space="preserve">9.05</w:t>
            </w:r>
          </w:p>
        </w:tc>
        <w:tc>
          <w:tcPr/>
          <w:p>
            <w:pPr>
              <w:pStyle w:val="Compact"/>
              <w:jc w:val="left"/>
            </w:pPr>
            <w:r>
              <w:t xml:space="preserve">14.45</w:t>
            </w:r>
          </w:p>
        </w:tc>
        <w:tc>
          <w:tcPr/>
          <w:p>
            <w:pPr>
              <w:pStyle w:val="Compact"/>
              <w:jc w:val="left"/>
            </w:pPr>
            <w:r>
              <w:t xml:space="preserve">22.16</w:t>
            </w:r>
          </w:p>
        </w:tc>
      </w:tr>
      <w:tr>
        <w:tc>
          <w:tcPr/>
          <w:p>
            <w:pPr>
              <w:pStyle w:val="Compact"/>
              <w:jc w:val="left"/>
            </w:pPr>
            <w:r>
              <w:t xml:space="preserve">Portugal</w:t>
            </w:r>
          </w:p>
        </w:tc>
        <w:tc>
          <w:tcPr/>
          <w:p>
            <w:pPr>
              <w:pStyle w:val="Compact"/>
              <w:jc w:val="left"/>
            </w:pPr>
            <w:r>
              <w:t xml:space="preserve">PRT</w:t>
            </w:r>
          </w:p>
        </w:tc>
        <w:tc>
          <w:tcPr/>
          <w:p>
            <w:pPr>
              <w:pStyle w:val="Compact"/>
              <w:jc w:val="left"/>
            </w:pPr>
            <w:r>
              <w:t xml:space="preserve">1.06</w:t>
            </w:r>
          </w:p>
        </w:tc>
        <w:tc>
          <w:tcPr/>
          <w:p>
            <w:pPr>
              <w:pStyle w:val="Compact"/>
              <w:jc w:val="left"/>
            </w:pPr>
            <w:r>
              <w:t xml:space="preserve">2.92</w:t>
            </w:r>
          </w:p>
        </w:tc>
        <w:tc>
          <w:tcPr/>
          <w:p>
            <w:pPr>
              <w:pStyle w:val="Compact"/>
              <w:jc w:val="left"/>
            </w:pPr>
            <w:r>
              <w:t xml:space="preserve">2.74</w:t>
            </w:r>
          </w:p>
        </w:tc>
        <w:tc>
          <w:tcPr/>
          <w:p>
            <w:pPr>
              <w:pStyle w:val="Compact"/>
              <w:jc w:val="left"/>
            </w:pPr>
            <w:r>
              <w:t xml:space="preserve">4.74</w:t>
            </w:r>
          </w:p>
        </w:tc>
        <w:tc>
          <w:tcPr/>
          <w:p>
            <w:pPr>
              <w:pStyle w:val="Compact"/>
              <w:jc w:val="left"/>
            </w:pPr>
            <w:r>
              <w:t xml:space="preserve">10.38</w:t>
            </w:r>
          </w:p>
        </w:tc>
        <w:tc>
          <w:tcPr/>
          <w:p>
            <w:pPr>
              <w:pStyle w:val="Compact"/>
              <w:jc w:val="left"/>
            </w:pPr>
            <w:r>
              <w:t xml:space="preserve">10.68</w:t>
            </w:r>
          </w:p>
        </w:tc>
        <w:tc>
          <w:tcPr/>
          <w:p>
            <w:pPr>
              <w:pStyle w:val="Compact"/>
              <w:jc w:val="left"/>
            </w:pPr>
            <w:r>
              <w:t xml:space="preserve">—</w:t>
            </w:r>
          </w:p>
        </w:tc>
        <w:tc>
          <w:tcPr/>
          <w:p>
            <w:pPr>
              <w:pStyle w:val="Compact"/>
              <w:jc w:val="left"/>
            </w:pPr>
            <w:r>
              <w:t xml:space="preserve">25.68</w:t>
            </w:r>
          </w:p>
        </w:tc>
      </w:tr>
      <w:tr>
        <w:tc>
          <w:tcPr/>
          <w:p>
            <w:pPr>
              <w:pStyle w:val="Compact"/>
              <w:jc w:val="left"/>
            </w:pPr>
            <w:r>
              <w:t xml:space="preserve">Romania</w:t>
            </w:r>
          </w:p>
        </w:tc>
        <w:tc>
          <w:tcPr/>
          <w:p>
            <w:pPr>
              <w:pStyle w:val="Compact"/>
              <w:jc w:val="left"/>
            </w:pPr>
            <w:r>
              <w:t xml:space="preserve">ROU</w:t>
            </w:r>
          </w:p>
        </w:tc>
        <w:tc>
          <w:tcPr/>
          <w:p>
            <w:pPr>
              <w:pStyle w:val="Compact"/>
              <w:jc w:val="left"/>
            </w:pPr>
            <w:r>
              <w:t xml:space="preserve">0.05</w:t>
            </w:r>
          </w:p>
        </w:tc>
        <w:tc>
          <w:tcPr/>
          <w:p>
            <w:pPr>
              <w:pStyle w:val="Compact"/>
              <w:jc w:val="left"/>
            </w:pPr>
            <w:r>
              <w:t xml:space="preserve">0.13</w:t>
            </w:r>
          </w:p>
        </w:tc>
        <w:tc>
          <w:tcPr/>
          <w:p>
            <w:pPr>
              <w:pStyle w:val="Compact"/>
              <w:jc w:val="left"/>
            </w:pPr>
            <w:r>
              <w:t xml:space="preserve">0.18</w:t>
            </w:r>
          </w:p>
        </w:tc>
        <w:tc>
          <w:tcPr/>
          <w:p>
            <w:pPr>
              <w:pStyle w:val="Compact"/>
              <w:jc w:val="left"/>
            </w:pPr>
            <w:r>
              <w:t xml:space="preserve">2.65</w:t>
            </w:r>
          </w:p>
        </w:tc>
        <w:tc>
          <w:tcPr/>
          <w:p>
            <w:pPr>
              <w:pStyle w:val="Compact"/>
              <w:jc w:val="left"/>
            </w:pPr>
            <w:r>
              <w:t xml:space="preserve">6.68</w:t>
            </w:r>
          </w:p>
        </w:tc>
        <w:tc>
          <w:tcPr/>
          <w:p>
            <w:pPr>
              <w:pStyle w:val="Compact"/>
              <w:jc w:val="left"/>
            </w:pPr>
            <w:r>
              <w:t xml:space="preserve">7.21</w:t>
            </w:r>
          </w:p>
        </w:tc>
        <w:tc>
          <w:tcPr/>
          <w:p>
            <w:pPr>
              <w:pStyle w:val="Compact"/>
              <w:jc w:val="left"/>
            </w:pPr>
            <w:r>
              <w:t xml:space="preserve">9.06</w:t>
            </w:r>
          </w:p>
        </w:tc>
        <w:tc>
          <w:tcPr/>
          <w:p>
            <w:pPr>
              <w:pStyle w:val="Compact"/>
              <w:jc w:val="left"/>
            </w:pPr>
            <w:r>
              <w:t xml:space="preserve">15.6</w:t>
            </w:r>
          </w:p>
        </w:tc>
      </w:tr>
      <w:tr>
        <w:tc>
          <w:tcPr/>
          <w:p>
            <w:pPr>
              <w:pStyle w:val="Compact"/>
              <w:jc w:val="left"/>
            </w:pPr>
            <w:r>
              <w:t xml:space="preserve">Spain</w:t>
            </w:r>
          </w:p>
        </w:tc>
        <w:tc>
          <w:tcPr/>
          <w:p>
            <w:pPr>
              <w:pStyle w:val="Compact"/>
              <w:jc w:val="left"/>
            </w:pPr>
            <w:r>
              <w:t xml:space="preserve">ESP</w:t>
            </w:r>
          </w:p>
        </w:tc>
        <w:tc>
          <w:tcPr/>
          <w:p>
            <w:pPr>
              <w:pStyle w:val="Compact"/>
              <w:jc w:val="left"/>
            </w:pPr>
            <w:r>
              <w:t xml:space="preserve">3.77</w:t>
            </w:r>
          </w:p>
        </w:tc>
        <w:tc>
          <w:tcPr/>
          <w:p>
            <w:pPr>
              <w:pStyle w:val="Compact"/>
              <w:jc w:val="left"/>
            </w:pPr>
            <w:r>
              <w:t xml:space="preserve">4.63</w:t>
            </w:r>
          </w:p>
        </w:tc>
        <w:tc>
          <w:tcPr/>
          <w:p>
            <w:pPr>
              <w:pStyle w:val="Compact"/>
              <w:jc w:val="left"/>
            </w:pPr>
            <w:r>
              <w:t xml:space="preserve">4.43</w:t>
            </w:r>
          </w:p>
        </w:tc>
        <w:tc>
          <w:tcPr/>
          <w:p>
            <w:pPr>
              <w:pStyle w:val="Compact"/>
              <w:jc w:val="left"/>
            </w:pPr>
            <w:r>
              <w:t xml:space="preserve">11.26</w:t>
            </w:r>
          </w:p>
        </w:tc>
        <w:tc>
          <w:tcPr/>
          <w:p>
            <w:pPr>
              <w:pStyle w:val="Compact"/>
              <w:jc w:val="left"/>
            </w:pPr>
            <w:r>
              <w:t xml:space="preserve">13.72</w:t>
            </w:r>
          </w:p>
        </w:tc>
        <w:tc>
          <w:tcPr/>
          <w:p>
            <w:pPr>
              <w:pStyle w:val="Compact"/>
              <w:jc w:val="left"/>
            </w:pPr>
            <w:r>
              <w:t xml:space="preserve">16.14</w:t>
            </w:r>
          </w:p>
        </w:tc>
        <w:tc>
          <w:tcPr/>
          <w:p>
            <w:pPr>
              <w:pStyle w:val="Compact"/>
              <w:jc w:val="left"/>
            </w:pPr>
            <w:r>
              <w:t xml:space="preserve">26.07</w:t>
            </w:r>
          </w:p>
        </w:tc>
        <w:tc>
          <w:tcPr/>
          <w:p>
            <w:pPr>
              <w:pStyle w:val="Compact"/>
              <w:jc w:val="left"/>
            </w:pPr>
            <w:r>
              <w:t xml:space="preserve">38.35</w:t>
            </w:r>
          </w:p>
        </w:tc>
      </w:tr>
      <w:tr>
        <w:tc>
          <w:tcPr/>
          <w:p>
            <w:pPr>
              <w:pStyle w:val="Compact"/>
              <w:jc w:val="left"/>
            </w:pPr>
            <w:r>
              <w:t xml:space="preserve">Sweden</w:t>
            </w:r>
          </w:p>
        </w:tc>
        <w:tc>
          <w:tcPr/>
          <w:p>
            <w:pPr>
              <w:pStyle w:val="Compact"/>
              <w:jc w:val="left"/>
            </w:pPr>
            <w:r>
              <w:t xml:space="preserve">SWE</w:t>
            </w:r>
          </w:p>
        </w:tc>
        <w:tc>
          <w:tcPr/>
          <w:p>
            <w:pPr>
              <w:pStyle w:val="Compact"/>
              <w:jc w:val="left"/>
            </w:pPr>
            <w:r>
              <w:t xml:space="preserve">2.32</w:t>
            </w:r>
          </w:p>
        </w:tc>
        <w:tc>
          <w:tcPr/>
          <w:p>
            <w:pPr>
              <w:pStyle w:val="Compact"/>
              <w:jc w:val="left"/>
            </w:pPr>
            <w:r>
              <w:t xml:space="preserve">2.78</w:t>
            </w:r>
          </w:p>
        </w:tc>
        <w:tc>
          <w:tcPr/>
          <w:p>
            <w:pPr>
              <w:pStyle w:val="Compact"/>
              <w:jc w:val="left"/>
            </w:pPr>
            <w:r>
              <w:t xml:space="preserve">13.15</w:t>
            </w:r>
          </w:p>
        </w:tc>
        <w:tc>
          <w:tcPr/>
          <w:p>
            <w:pPr>
              <w:pStyle w:val="Compact"/>
              <w:jc w:val="left"/>
            </w:pPr>
            <w:r>
              <w:t xml:space="preserve">14.9</w:t>
            </w:r>
          </w:p>
        </w:tc>
        <w:tc>
          <w:tcPr/>
          <w:p>
            <w:pPr>
              <w:pStyle w:val="Compact"/>
              <w:jc w:val="left"/>
            </w:pPr>
            <w:r>
              <w:t xml:space="preserve">16.47</w:t>
            </w:r>
          </w:p>
        </w:tc>
        <w:tc>
          <w:tcPr/>
          <w:p>
            <w:pPr>
              <w:pStyle w:val="Compact"/>
              <w:jc w:val="left"/>
            </w:pPr>
            <w:r>
              <w:t xml:space="preserve">20.69</w:t>
            </w:r>
          </w:p>
        </w:tc>
        <w:tc>
          <w:tcPr/>
          <w:p>
            <w:pPr>
              <w:pStyle w:val="Compact"/>
              <w:jc w:val="left"/>
            </w:pPr>
            <w:r>
              <w:t xml:space="preserve">53.71</w:t>
            </w:r>
          </w:p>
        </w:tc>
        <w:tc>
          <w:tcPr/>
          <w:p>
            <w:pPr>
              <w:pStyle w:val="Compact"/>
              <w:jc w:val="left"/>
            </w:pPr>
            <w:r>
              <w:t xml:space="preserve">64.88</w:t>
            </w:r>
          </w:p>
        </w:tc>
      </w:tr>
    </w:tbl>
    <w:bookmarkEnd w:id="116"/>
    <w:bookmarkStart w:id="117" w:name="X3d91c402e2bd694f7774707ce86d9b48c3c2e98"/>
    <w:p>
      <w:pPr>
        <w:pStyle w:val="Heading3"/>
      </w:pPr>
      <w:r>
        <w:t xml:space="preserve">Table 4. BaTIS balanced corridors (USD million)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series</w:t>
            </w:r>
          </w:p>
        </w:tc>
        <w:tc>
          <w:tcPr/>
          <w:p>
            <w:pPr>
              <w:pStyle w:val="Compact"/>
              <w:jc w:val="left"/>
            </w:pPr>
            <w:r>
              <w:t xml:space="preserve">usd_mn_2019</w:t>
            </w:r>
          </w:p>
        </w:tc>
        <w:tc>
          <w:tcPr/>
          <w:p>
            <w:pPr>
              <w:pStyle w:val="Compact"/>
              <w:jc w:val="left"/>
            </w:pPr>
            <w:r>
              <w:t xml:space="preserve">usd_mn_2024</w:t>
            </w:r>
          </w:p>
        </w:tc>
        <w:tc>
          <w:tcPr/>
          <w:p>
            <w:pPr>
              <w:pStyle w:val="Compact"/>
              <w:jc w:val="left"/>
            </w:pPr>
            <w:r>
              <w:t xml:space="preserve">pct</w:t>
            </w:r>
          </w:p>
        </w:tc>
      </w:tr>
      <w:tr>
        <w:tc>
          <w:tcPr/>
          <w:p>
            <w:pPr>
              <w:pStyle w:val="Compact"/>
              <w:jc w:val="left"/>
            </w:pPr>
            <w:r>
              <w:t xml:space="preserve">UK ← India SJ3 (Mode 1)</w:t>
            </w:r>
          </w:p>
        </w:tc>
        <w:tc>
          <w:tcPr/>
          <w:p>
            <w:pPr>
              <w:pStyle w:val="Compact"/>
              <w:jc w:val="left"/>
            </w:pPr>
            <w:r>
              <w:t xml:space="preserve">2186.6</w:t>
            </w:r>
          </w:p>
        </w:tc>
        <w:tc>
          <w:tcPr/>
          <w:p>
            <w:pPr>
              <w:pStyle w:val="Compact"/>
              <w:jc w:val="left"/>
            </w:pPr>
            <w:r>
              <w:t xml:space="preserve">4979.3</w:t>
            </w:r>
          </w:p>
        </w:tc>
        <w:tc>
          <w:tcPr/>
          <w:p>
            <w:pPr>
              <w:pStyle w:val="Compact"/>
              <w:jc w:val="left"/>
            </w:pPr>
            <w:r>
              <w:t xml:space="preserve">127.7</w:t>
            </w:r>
          </w:p>
        </w:tc>
      </w:tr>
      <w:tr>
        <w:tc>
          <w:tcPr/>
          <w:p>
            <w:pPr>
              <w:pStyle w:val="Compact"/>
              <w:jc w:val="left"/>
            </w:pPr>
            <w:r>
              <w:t xml:space="preserve">UK ← China SE (Mode 3)</w:t>
            </w:r>
          </w:p>
        </w:tc>
        <w:tc>
          <w:tcPr/>
          <w:p>
            <w:pPr>
              <w:pStyle w:val="Compact"/>
              <w:jc w:val="left"/>
            </w:pPr>
            <w:r>
              <w:t xml:space="preserve">118.5</w:t>
            </w:r>
          </w:p>
        </w:tc>
        <w:tc>
          <w:tcPr/>
          <w:p>
            <w:pPr>
              <w:pStyle w:val="Compact"/>
              <w:jc w:val="left"/>
            </w:pPr>
            <w:r>
              <w:t xml:space="preserve">179.8</w:t>
            </w:r>
          </w:p>
        </w:tc>
        <w:tc>
          <w:tcPr/>
          <w:p>
            <w:pPr>
              <w:pStyle w:val="Compact"/>
              <w:jc w:val="left"/>
            </w:pPr>
            <w:r>
              <w:t xml:space="preserve">51.7</w:t>
            </w:r>
          </w:p>
        </w:tc>
      </w:tr>
      <w:tr>
        <w:tc>
          <w:tcPr/>
          <w:p>
            <w:pPr>
              <w:pStyle w:val="Compact"/>
              <w:jc w:val="left"/>
            </w:pPr>
            <w:r>
              <w:t xml:space="preserve">UK ← India SI (computer)</w:t>
            </w:r>
          </w:p>
        </w:tc>
        <w:tc>
          <w:tcPr/>
          <w:p>
            <w:pPr>
              <w:pStyle w:val="Compact"/>
              <w:jc w:val="left"/>
            </w:pPr>
            <w:r>
              <w:t xml:space="preserve">2215.3</w:t>
            </w:r>
          </w:p>
        </w:tc>
        <w:tc>
          <w:tcPr/>
          <w:p>
            <w:pPr>
              <w:pStyle w:val="Compact"/>
              <w:jc w:val="left"/>
            </w:pPr>
            <w:r>
              <w:t xml:space="preserve">4723.0</w:t>
            </w:r>
          </w:p>
        </w:tc>
        <w:tc>
          <w:tcPr/>
          <w:p>
            <w:pPr>
              <w:pStyle w:val="Compact"/>
              <w:jc w:val="left"/>
            </w:pPr>
            <w:r>
              <w:t xml:space="preserve">113.2</w:t>
            </w:r>
          </w:p>
        </w:tc>
      </w:tr>
      <w:tr>
        <w:tc>
          <w:tcPr/>
          <w:p>
            <w:pPr>
              <w:pStyle w:val="Compact"/>
              <w:jc w:val="left"/>
            </w:pPr>
            <w:r>
              <w:t xml:space="preserve">US ← India SJ3</w:t>
            </w:r>
          </w:p>
        </w:tc>
        <w:tc>
          <w:tcPr/>
          <w:p>
            <w:pPr>
              <w:pStyle w:val="Compact"/>
              <w:jc w:val="left"/>
            </w:pPr>
            <w:r>
              <w:t xml:space="preserve">2398.0</w:t>
            </w:r>
          </w:p>
        </w:tc>
        <w:tc>
          <w:tcPr/>
          <w:p>
            <w:pPr>
              <w:pStyle w:val="Compact"/>
              <w:jc w:val="left"/>
            </w:pPr>
            <w:r>
              <w:t xml:space="preserve">2584.5</w:t>
            </w:r>
          </w:p>
        </w:tc>
        <w:tc>
          <w:tcPr/>
          <w:p>
            <w:pPr>
              <w:pStyle w:val="Compact"/>
              <w:jc w:val="left"/>
            </w:pPr>
            <w:r>
              <w:t xml:space="preserve">7.8</w:t>
            </w:r>
          </w:p>
        </w:tc>
      </w:tr>
      <w:tr>
        <w:tc>
          <w:tcPr/>
          <w:p>
            <w:pPr>
              <w:pStyle w:val="Compact"/>
              <w:jc w:val="left"/>
            </w:pPr>
            <w:r>
              <w:t xml:space="preserve">Germany ← India SJ3</w:t>
            </w:r>
          </w:p>
        </w:tc>
        <w:tc>
          <w:tcPr/>
          <w:p>
            <w:pPr>
              <w:pStyle w:val="Compact"/>
              <w:jc w:val="left"/>
            </w:pPr>
            <w:r>
              <w:t xml:space="preserve">659.6</w:t>
            </w:r>
          </w:p>
        </w:tc>
        <w:tc>
          <w:tcPr/>
          <w:p>
            <w:pPr>
              <w:pStyle w:val="Compact"/>
              <w:jc w:val="left"/>
            </w:pPr>
            <w:r>
              <w:t xml:space="preserve">925.9</w:t>
            </w:r>
          </w:p>
        </w:tc>
        <w:tc>
          <w:tcPr/>
          <w:p>
            <w:pPr>
              <w:pStyle w:val="Compact"/>
              <w:jc w:val="left"/>
            </w:pPr>
            <w:r>
              <w:t xml:space="preserve">40.4</w:t>
            </w:r>
          </w:p>
        </w:tc>
      </w:tr>
      <w:tr>
        <w:tc>
          <w:tcPr/>
          <w:p>
            <w:pPr>
              <w:pStyle w:val="Compact"/>
              <w:jc w:val="left"/>
            </w:pPr>
            <w:r>
              <w:t xml:space="preserve">Germany ← Poland SJ3 (nearshore)</w:t>
            </w:r>
          </w:p>
        </w:tc>
        <w:tc>
          <w:tcPr/>
          <w:p>
            <w:pPr>
              <w:pStyle w:val="Compact"/>
              <w:jc w:val="left"/>
            </w:pPr>
            <w:r>
              <w:t xml:space="preserve">1516.0</w:t>
            </w:r>
          </w:p>
        </w:tc>
        <w:tc>
          <w:tcPr/>
          <w:p>
            <w:pPr>
              <w:pStyle w:val="Compact"/>
              <w:jc w:val="left"/>
            </w:pPr>
            <w:r>
              <w:t xml:space="preserve">2327.7</w:t>
            </w:r>
          </w:p>
        </w:tc>
        <w:tc>
          <w:tcPr/>
          <w:p>
            <w:pPr>
              <w:pStyle w:val="Compact"/>
              <w:jc w:val="left"/>
            </w:pPr>
            <w:r>
              <w:t xml:space="preserve">53.5</w:t>
            </w:r>
          </w:p>
        </w:tc>
      </w:tr>
      <w:tr>
        <w:tc>
          <w:tcPr/>
          <w:p>
            <w:pPr>
              <w:pStyle w:val="Compact"/>
              <w:jc w:val="left"/>
            </w:pPr>
            <w:r>
              <w:t xml:space="preserve">Australia ← India SJ3</w:t>
            </w:r>
          </w:p>
        </w:tc>
        <w:tc>
          <w:tcPr/>
          <w:p>
            <w:pPr>
              <w:pStyle w:val="Compact"/>
              <w:jc w:val="left"/>
            </w:pPr>
            <w:r>
              <w:t xml:space="preserve">167.3</w:t>
            </w:r>
          </w:p>
        </w:tc>
        <w:tc>
          <w:tcPr/>
          <w:p>
            <w:pPr>
              <w:pStyle w:val="Compact"/>
              <w:jc w:val="left"/>
            </w:pPr>
            <w:r>
              <w:t xml:space="preserve">250.4</w:t>
            </w:r>
          </w:p>
        </w:tc>
        <w:tc>
          <w:tcPr/>
          <w:p>
            <w:pPr>
              <w:pStyle w:val="Compact"/>
              <w:jc w:val="left"/>
            </w:pPr>
            <w:r>
              <w:t xml:space="preserve">49.6</w:t>
            </w:r>
          </w:p>
        </w:tc>
      </w:tr>
      <w:tr>
        <w:tc>
          <w:tcPr/>
          <w:p>
            <w:pPr>
              <w:pStyle w:val="Compact"/>
              <w:jc w:val="left"/>
            </w:pPr>
            <w:r>
              <w:t xml:space="preserve">Netherlands ← India SJ3</w:t>
            </w:r>
          </w:p>
        </w:tc>
        <w:tc>
          <w:tcPr/>
          <w:p>
            <w:pPr>
              <w:pStyle w:val="Compact"/>
              <w:jc w:val="left"/>
            </w:pPr>
            <w:r>
              <w:t xml:space="preserve">830.9</w:t>
            </w:r>
          </w:p>
        </w:tc>
        <w:tc>
          <w:tcPr/>
          <w:p>
            <w:pPr>
              <w:pStyle w:val="Compact"/>
              <w:jc w:val="left"/>
            </w:pPr>
            <w:r>
              <w:t xml:space="preserve">967.2</w:t>
            </w:r>
          </w:p>
        </w:tc>
        <w:tc>
          <w:tcPr/>
          <w:p>
            <w:pPr>
              <w:pStyle w:val="Compact"/>
              <w:jc w:val="left"/>
            </w:pPr>
            <w:r>
              <w:t xml:space="preserve">16.4</w:t>
            </w:r>
          </w:p>
        </w:tc>
      </w:tr>
      <w:tr>
        <w:tc>
          <w:tcPr/>
          <w:p>
            <w:pPr>
              <w:pStyle w:val="Compact"/>
              <w:jc w:val="left"/>
            </w:pPr>
            <w:r>
              <w:t xml:space="preserve">France ← India SJ3</w:t>
            </w:r>
          </w:p>
        </w:tc>
        <w:tc>
          <w:tcPr/>
          <w:p>
            <w:pPr>
              <w:pStyle w:val="Compact"/>
              <w:jc w:val="left"/>
            </w:pPr>
            <w:r>
              <w:t xml:space="preserve">524.0</w:t>
            </w:r>
          </w:p>
        </w:tc>
        <w:tc>
          <w:tcPr/>
          <w:p>
            <w:pPr>
              <w:pStyle w:val="Compact"/>
              <w:jc w:val="left"/>
            </w:pPr>
            <w:r>
              <w:t xml:space="preserve">830.1</w:t>
            </w:r>
          </w:p>
        </w:tc>
        <w:tc>
          <w:tcPr/>
          <w:p>
            <w:pPr>
              <w:pStyle w:val="Compact"/>
              <w:jc w:val="left"/>
            </w:pPr>
            <w:r>
              <w:t xml:space="preserve">58.4</w:t>
            </w:r>
          </w:p>
        </w:tc>
      </w:tr>
    </w:tbl>
    <w:bookmarkEnd w:id="117"/>
    <w:bookmarkStart w:id="118" w:name="X4d49e64c403febb726f29ef1bbc59c9a83ffc76"/>
    <w:p>
      <w:pPr>
        <w:pStyle w:val="Heading3"/>
      </w:pPr>
      <w:r>
        <w:t xml:space="preserve">Table 5. Identification (log SJ3 unless noted)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(1) Post × M-AI 2024</w:t>
            </w:r>
          </w:p>
        </w:tc>
        <w:tc>
          <w:tcPr/>
          <w:p>
            <w:pPr>
              <w:pStyle w:val="Compact"/>
              <w:jc w:val="left"/>
            </w:pPr>
            <w:r>
              <w:t xml:space="preserve">0.002 (0.003)</w:t>
            </w:r>
          </w:p>
        </w:tc>
        <w:tc>
          <w:tcPr/>
          <w:p>
            <w:pPr>
              <w:pStyle w:val="Compact"/>
              <w:jc w:val="left"/>
            </w:pPr>
            <w:r>
              <w:t xml:space="preserve">336</w:t>
            </w:r>
          </w:p>
        </w:tc>
        <w:tc>
          <w:tcPr/>
          <w:p>
            <w:pPr>
              <w:pStyle w:val="Compact"/>
              <w:jc w:val="left"/>
            </w:pPr>
            <w:r>
              <w:t xml:space="preserve">EU importers × IND/PHL/VNM; TWFE</w:t>
            </w:r>
          </w:p>
        </w:tc>
      </w:tr>
      <w:tr>
        <w:tc>
          <w:tcPr/>
          <w:p>
            <w:pPr>
              <w:pStyle w:val="Compact"/>
              <w:jc w:val="left"/>
            </w:pPr>
            <w:r>
              <w:t xml:space="preserve">(2) Post × ΔM 2021–24 [headline]</w:t>
            </w:r>
          </w:p>
        </w:tc>
        <w:tc>
          <w:tcPr/>
          <w:p>
            <w:pPr>
              <w:pStyle w:val="Compact"/>
              <w:jc w:val="left"/>
            </w:pPr>
            <w:r>
              <w:t xml:space="preserve">0.000 (0.006)</w:t>
            </w:r>
          </w:p>
        </w:tc>
        <w:tc>
          <w:tcPr/>
          <w:p>
            <w:pPr>
              <w:pStyle w:val="Compact"/>
              <w:jc w:val="left"/>
            </w:pPr>
            <w:r>
              <w:t xml:space="preserve">336</w:t>
            </w:r>
          </w:p>
        </w:tc>
        <w:tc>
          <w:tcPr/>
          <w:p>
            <w:pPr>
              <w:pStyle w:val="Compact"/>
              <w:jc w:val="left"/>
            </w:pPr>
            <w:r>
              <w:t xml:space="preserve">Preferred: GenAI window is the 2023–24 jump</w:t>
            </w:r>
          </w:p>
        </w:tc>
      </w:tr>
      <w:tr>
        <w:tc>
          <w:tcPr/>
          <w:p>
            <w:pPr>
              <w:pStyle w:val="Compact"/>
              <w:jc w:val="left"/>
            </w:pPr>
            <w:r>
              <w:t xml:space="preserve">(3) Horse race: Post × ΔM</w:t>
            </w:r>
          </w:p>
        </w:tc>
        <w:tc>
          <w:tcPr/>
          <w:p>
            <w:pPr>
              <w:pStyle w:val="Compact"/>
              <w:jc w:val="left"/>
            </w:pPr>
            <w:r>
              <w:t xml:space="preserve">0.001 (0.008)</w:t>
            </w:r>
          </w:p>
        </w:tc>
        <w:tc>
          <w:tcPr/>
          <w:p>
            <w:pPr>
              <w:pStyle w:val="Compact"/>
              <w:jc w:val="left"/>
            </w:pPr>
            <w:r>
              <w:t xml:space="preserve">336</w:t>
            </w:r>
          </w:p>
        </w:tc>
        <w:tc>
          <w:tcPr/>
          <w:p>
            <w:pPr>
              <w:pStyle w:val="Compact"/>
              <w:jc w:val="left"/>
            </w:pPr>
            <w:r>
              <w:t xml:space="preserve">Same regression as (4)</w:t>
            </w:r>
          </w:p>
        </w:tc>
      </w:tr>
      <w:tr>
        <w:tc>
          <w:tcPr/>
          <w:p>
            <w:pPr>
              <w:pStyle w:val="Compact"/>
              <w:jc w:val="left"/>
            </w:pPr>
            <w:r>
              <w:t xml:space="preserve">(4) Horse race: Post × ΔF</w:t>
            </w:r>
          </w:p>
        </w:tc>
        <w:tc>
          <w:tcPr/>
          <w:p>
            <w:pPr>
              <w:pStyle w:val="Compact"/>
              <w:jc w:val="left"/>
            </w:pPr>
            <w:r>
              <w:t xml:space="preserve">-0.004 (0.029)</w:t>
            </w:r>
          </w:p>
        </w:tc>
        <w:tc>
          <w:tcPr/>
          <w:p>
            <w:pPr>
              <w:pStyle w:val="Compact"/>
              <w:jc w:val="left"/>
            </w:pPr>
            <w:r>
              <w:t xml:space="preserve">336</w:t>
            </w:r>
          </w:p>
        </w:tc>
        <w:tc>
          <w:tcPr/>
          <w:p>
            <w:pPr>
              <w:pStyle w:val="Compact"/>
              <w:jc w:val="left"/>
            </w:pPr>
            <w:r>
              <w:t xml:space="preserve">Construction AI change, controlling for M</w:t>
            </w:r>
          </w:p>
        </w:tc>
      </w:tr>
      <w:tr>
        <w:tc>
          <w:tcPr/>
          <w:p>
            <w:pPr>
              <w:pStyle w:val="Compact"/>
              <w:jc w:val="left"/>
            </w:pPr>
            <w:r>
              <w:t xml:space="preserve">(5) Placebo SI Mode-1</w:t>
            </w:r>
          </w:p>
        </w:tc>
        <w:tc>
          <w:tcPr/>
          <w:p>
            <w:pPr>
              <w:pStyle w:val="Compact"/>
              <w:jc w:val="left"/>
            </w:pPr>
            <w:r>
              <w:t xml:space="preserve">-0.002 (0.007)</w:t>
            </w:r>
          </w:p>
        </w:tc>
        <w:tc>
          <w:tcPr/>
          <w:p>
            <w:pPr>
              <w:pStyle w:val="Compact"/>
              <w:jc w:val="left"/>
            </w:pPr>
            <w:r>
              <w:t xml:space="preserve">336</w:t>
            </w:r>
          </w:p>
        </w:tc>
        <w:tc>
          <w:tcPr/>
          <w:p>
            <w:pPr>
              <w:pStyle w:val="Compact"/>
              <w:jc w:val="left"/>
            </w:pPr>
            <w:r>
              <w:t xml:space="preserve">Computer services from same partners</w:t>
            </w:r>
          </w:p>
        </w:tc>
      </w:tr>
      <w:tr>
        <w:tc>
          <w:tcPr/>
          <w:p>
            <w:pPr>
              <w:pStyle w:val="Compact"/>
              <w:jc w:val="left"/>
            </w:pPr>
            <w:r>
              <w:t xml:space="preserve">(6) Placebo SE from China</w:t>
            </w:r>
          </w:p>
        </w:tc>
        <w:tc>
          <w:tcPr/>
          <w:p>
            <w:pPr>
              <w:pStyle w:val="Compact"/>
              <w:jc w:val="left"/>
            </w:pPr>
            <w:r>
              <w:t xml:space="preserve">-0.002 (0.007)</w:t>
            </w:r>
          </w:p>
        </w:tc>
        <w:tc>
          <w:tcPr/>
          <w:p>
            <w:pPr>
              <w:pStyle w:val="Compact"/>
              <w:jc w:val="left"/>
            </w:pPr>
            <w:r>
              <w:t xml:space="preserve">112</w:t>
            </w:r>
          </w:p>
        </w:tc>
        <w:tc>
          <w:tcPr/>
          <w:p>
            <w:pPr>
              <w:pStyle w:val="Compact"/>
              <w:jc w:val="left"/>
            </w:pPr>
            <w:r>
              <w:t xml:space="preserve">Mode-3 construction services</w:t>
            </w:r>
          </w:p>
        </w:tc>
      </w:tr>
      <w:tr>
        <w:tc>
          <w:tcPr/>
          <w:p>
            <w:pPr>
              <w:pStyle w:val="Compact"/>
              <w:jc w:val="left"/>
            </w:pPr>
            <w:r>
              <w:t xml:space="preserve">(7) Placebo SJ3 from China</w:t>
            </w:r>
          </w:p>
        </w:tc>
        <w:tc>
          <w:tcPr/>
          <w:p>
            <w:pPr>
              <w:pStyle w:val="Compact"/>
              <w:jc w:val="left"/>
            </w:pPr>
            <w:r>
              <w:t xml:space="preserve">0.009 (0.010)</w:t>
            </w:r>
          </w:p>
        </w:tc>
        <w:tc>
          <w:tcPr/>
          <w:p>
            <w:pPr>
              <w:pStyle w:val="Compact"/>
              <w:jc w:val="left"/>
            </w:pPr>
            <w:r>
              <w:t xml:space="preserve">112</w:t>
            </w:r>
          </w:p>
        </w:tc>
        <w:tc>
          <w:tcPr/>
          <w:p>
            <w:pPr>
              <w:pStyle w:val="Compact"/>
              <w:jc w:val="left"/>
            </w:pPr>
            <w:r>
              <w:t xml:space="preserve">SJ3 from China</w:t>
            </w:r>
          </w:p>
        </w:tc>
      </w:tr>
      <w:tr>
        <w:tc>
          <w:tcPr/>
          <w:p>
            <w:pPr>
              <w:pStyle w:val="Compact"/>
              <w:jc w:val="left"/>
            </w:pPr>
            <w:r>
              <w:t xml:space="preserve">(8) Placebo SE from Mode-1</w:t>
            </w:r>
          </w:p>
        </w:tc>
        <w:tc>
          <w:tcPr/>
          <w:p>
            <w:pPr>
              <w:pStyle w:val="Compact"/>
              <w:jc w:val="left"/>
            </w:pPr>
            <w:r>
              <w:t xml:space="preserve">-0.009 (0.014)</w:t>
            </w:r>
          </w:p>
        </w:tc>
        <w:tc>
          <w:tcPr/>
          <w:p>
            <w:pPr>
              <w:pStyle w:val="Compact"/>
              <w:jc w:val="left"/>
            </w:pPr>
            <w:r>
              <w:t xml:space="preserve">336</w:t>
            </w:r>
          </w:p>
        </w:tc>
        <w:tc>
          <w:tcPr/>
          <w:p>
            <w:pPr>
              <w:pStyle w:val="Compact"/>
              <w:jc w:val="left"/>
            </w:pPr>
            <w:r>
              <w:t xml:space="preserve">Construction services from IND/PHL/VNM</w:t>
            </w:r>
          </w:p>
        </w:tc>
      </w:tr>
      <w:tr>
        <w:tc>
          <w:tcPr/>
          <w:p>
            <w:pPr>
              <w:pStyle w:val="Compact"/>
              <w:jc w:val="left"/>
            </w:pPr>
            <w:r>
              <w:t xml:space="preserve">(9) Post × (M−F) 2024 gap</w:t>
            </w:r>
          </w:p>
        </w:tc>
        <w:tc>
          <w:tcPr/>
          <w:p>
            <w:pPr>
              <w:pStyle w:val="Compact"/>
              <w:jc w:val="left"/>
            </w:pPr>
            <w:r>
              <w:t xml:space="preserve">0.003 (0.004)</w:t>
            </w:r>
          </w:p>
        </w:tc>
        <w:tc>
          <w:tcPr/>
          <w:p>
            <w:pPr>
              <w:pStyle w:val="Compact"/>
              <w:jc w:val="left"/>
            </w:pPr>
            <w:r>
              <w:t xml:space="preserve">336</w:t>
            </w:r>
          </w:p>
        </w:tc>
        <w:tc>
          <w:tcPr/>
          <w:p>
            <w:pPr>
              <w:pStyle w:val="Compact"/>
              <w:jc w:val="left"/>
            </w:pPr>
            <w:r>
              <w:t xml:space="preserve">Professional minus construction AI</w:t>
            </w:r>
          </w:p>
        </w:tc>
      </w:tr>
      <w:tr>
        <w:tc>
          <w:tcPr/>
          <w:p>
            <w:pPr>
              <w:pStyle w:val="Compact"/>
              <w:jc w:val="left"/>
            </w:pPr>
            <w:r>
              <w:t xml:space="preserve">(10) Time-varying M-AI 2021/23/24</w:t>
            </w:r>
          </w:p>
        </w:tc>
        <w:tc>
          <w:tcPr/>
          <w:p>
            <w:pPr>
              <w:pStyle w:val="Compact"/>
              <w:jc w:val="left"/>
            </w:pPr>
            <w:r>
              <w:t xml:space="preserve">0.003 (0.003)</w:t>
            </w:r>
          </w:p>
        </w:tc>
        <w:tc>
          <w:tcPr/>
          <w:p>
            <w:pPr>
              <w:pStyle w:val="Compact"/>
              <w:jc w:val="left"/>
            </w:pPr>
            <w:r>
              <w:t xml:space="preserve">150</w:t>
            </w:r>
          </w:p>
        </w:tc>
        <w:tc>
          <w:tcPr/>
          <w:p>
            <w:pPr>
              <w:pStyle w:val="Compact"/>
              <w:jc w:val="left"/>
            </w:pPr>
            <w:r>
              <w:t xml:space="preserve">Eurostat years overlapping BaTIS</w:t>
            </w:r>
          </w:p>
        </w:tc>
      </w:tr>
      <w:tr>
        <w:tc>
          <w:tcPr/>
          <w:p>
            <w:pPr>
              <w:pStyle w:val="Compact"/>
              <w:jc w:val="left"/>
            </w:pPr>
            <w:r>
              <w:t xml:space="preserve">(11) Placebo time-varying F-AI</w:t>
            </w:r>
          </w:p>
        </w:tc>
        <w:tc>
          <w:tcPr/>
          <w:p>
            <w:pPr>
              <w:pStyle w:val="Compact"/>
              <w:jc w:val="left"/>
            </w:pPr>
            <w:r>
              <w:t xml:space="preserve">-0.010 (0.010)</w:t>
            </w:r>
          </w:p>
        </w:tc>
        <w:tc>
          <w:tcPr/>
          <w:p>
            <w:pPr>
              <w:pStyle w:val="Compact"/>
              <w:jc w:val="left"/>
            </w:pPr>
            <w:r>
              <w:t xml:space="preserve">153</w:t>
            </w:r>
          </w:p>
        </w:tc>
        <w:tc>
          <w:tcPr/>
          <w:p>
            <w:pPr>
              <w:pStyle w:val="Compact"/>
              <w:jc w:val="left"/>
            </w:pPr>
            <w:r>
              <w:t xml:space="preserve">Construction AI</w:t>
            </w:r>
          </w:p>
        </w:tc>
      </w:tr>
      <w:tr>
        <w:tc>
          <w:tcPr/>
          <w:p>
            <w:pPr>
              <w:pStyle w:val="Compact"/>
              <w:jc w:val="left"/>
            </w:pPr>
            <w:r>
              <w:t xml:space="preserve">(12) Drop 2020–21</w:t>
            </w:r>
          </w:p>
        </w:tc>
        <w:tc>
          <w:tcPr/>
          <w:p>
            <w:pPr>
              <w:pStyle w:val="Compact"/>
              <w:jc w:val="left"/>
            </w:pPr>
            <w:r>
              <w:t xml:space="preserve">0.002 (0.004)</w:t>
            </w:r>
          </w:p>
        </w:tc>
        <w:tc>
          <w:tcPr/>
          <w:p>
            <w:pPr>
              <w:pStyle w:val="Compact"/>
              <w:jc w:val="left"/>
            </w:pPr>
            <w:r>
              <w:t xml:space="preserve">240</w:t>
            </w:r>
          </w:p>
        </w:tc>
        <w:tc>
          <w:tcPr/>
          <w:p>
            <w:pPr>
              <w:pStyle w:val="Compact"/>
              <w:jc w:val="left"/>
            </w:pPr>
            <w:r>
              <w:t xml:space="preserve">Omit COVID years</w:t>
            </w:r>
          </w:p>
        </w:tc>
      </w:tr>
      <w:tr>
        <w:tc>
          <w:tcPr/>
          <w:p>
            <w:pPr>
              <w:pStyle w:val="Compact"/>
              <w:jc w:val="left"/>
            </w:pPr>
            <w:r>
              <w:t xml:space="preserve">(13) Fake post=2020 × ΔM, sample 2018–21</w:t>
            </w:r>
          </w:p>
        </w:tc>
        <w:tc>
          <w:tcPr/>
          <w:p>
            <w:pPr>
              <w:pStyle w:val="Compact"/>
              <w:jc w:val="left"/>
            </w:pPr>
            <w:r>
              <w:t xml:space="preserve">-0.000 (0.005)</w:t>
            </w:r>
          </w:p>
        </w:tc>
        <w:tc>
          <w:tcPr/>
          <w:p>
            <w:pPr>
              <w:pStyle w:val="Compact"/>
              <w:jc w:val="left"/>
            </w:pPr>
            <w:r>
              <w:t xml:space="preserve">192</w:t>
            </w:r>
          </w:p>
        </w:tc>
        <w:tc>
          <w:tcPr/>
          <w:p>
            <w:pPr>
              <w:pStyle w:val="Compact"/>
              <w:jc w:val="left"/>
            </w:pPr>
            <w:r>
              <w:t xml:space="preserve">Pre-trend placebo</w:t>
            </w:r>
          </w:p>
        </w:tc>
      </w:tr>
      <w:tr>
        <w:tc>
          <w:tcPr/>
          <w:p>
            <w:pPr>
              <w:pStyle w:val="Compact"/>
              <w:jc w:val="left"/>
            </w:pPr>
            <w:r>
              <w:t xml:space="preserve">(14) IHS(value), Post × ΔM</w:t>
            </w:r>
          </w:p>
        </w:tc>
        <w:tc>
          <w:tcPr/>
          <w:p>
            <w:pPr>
              <w:pStyle w:val="Compact"/>
              <w:jc w:val="left"/>
            </w:pPr>
            <w:r>
              <w:t xml:space="preserve">0.001 (0.006)</w:t>
            </w:r>
          </w:p>
        </w:tc>
        <w:tc>
          <w:tcPr/>
          <w:p>
            <w:pPr>
              <w:pStyle w:val="Compact"/>
              <w:jc w:val="left"/>
            </w:pPr>
            <w:r>
              <w:t xml:space="preserve">336</w:t>
            </w:r>
          </w:p>
        </w:tc>
        <w:tc>
          <w:tcPr/>
          <w:p>
            <w:pPr>
              <w:pStyle w:val="Compact"/>
              <w:jc w:val="left"/>
            </w:pPr>
            <w:r>
              <w:t xml:space="preserve">arcsinh instead of log</w:t>
            </w:r>
          </w:p>
        </w:tc>
      </w:tr>
      <w:tr>
        <w:tc>
          <w:tcPr/>
          <w:p>
            <w:pPr>
              <w:pStyle w:val="Compact"/>
              <w:jc w:val="left"/>
            </w:pPr>
            <w:r>
              <w:t xml:space="preserve">(15) WLS by 2019 SJ3 value</w:t>
            </w:r>
          </w:p>
        </w:tc>
        <w:tc>
          <w:tcPr/>
          <w:p>
            <w:pPr>
              <w:pStyle w:val="Compact"/>
              <w:jc w:val="left"/>
            </w:pPr>
            <w:r>
              <w:t xml:space="preserve">-0.007 (0.009)</w:t>
            </w:r>
          </w:p>
        </w:tc>
        <w:tc>
          <w:tcPr/>
          <w:p>
            <w:pPr>
              <w:pStyle w:val="Compact"/>
              <w:jc w:val="left"/>
            </w:pPr>
            <w:r>
              <w:t xml:space="preserve">336</w:t>
            </w:r>
          </w:p>
        </w:tc>
        <w:tc>
          <w:tcPr/>
          <w:p>
            <w:pPr>
              <w:pStyle w:val="Compact"/>
              <w:jc w:val="left"/>
            </w:pPr>
            <w:r>
              <w:t xml:space="preserve">Larger corridors weighted more</w:t>
            </w:r>
          </w:p>
        </w:tc>
      </w:tr>
      <w:tr>
        <w:tc>
          <w:tcPr/>
          <w:p>
            <w:pPr>
              <w:pStyle w:val="Compact"/>
              <w:jc w:val="left"/>
            </w:pPr>
            <w:r>
              <w:t xml:space="preserve">(H) India only, Post × ΔM</w:t>
            </w:r>
          </w:p>
        </w:tc>
        <w:tc>
          <w:tcPr/>
          <w:p>
            <w:pPr>
              <w:pStyle w:val="Compact"/>
              <w:jc w:val="left"/>
            </w:pPr>
            <w:r>
              <w:t xml:space="preserve">0.005 (0.005)</w:t>
            </w:r>
          </w:p>
        </w:tc>
        <w:tc>
          <w:tcPr/>
          <w:p>
            <w:pPr>
              <w:pStyle w:val="Compact"/>
              <w:jc w:val="left"/>
            </w:pPr>
            <w:r>
              <w:t xml:space="preserve">112</w:t>
            </w:r>
          </w:p>
        </w:tc>
        <w:tc>
          <w:tcPr/>
          <w:p>
            <w:pPr>
              <w:pStyle w:val="Compact"/>
              <w:jc w:val="left"/>
            </w:pPr>
            <w:r>
              <w:t xml:space="preserve">Partner = IND</w:t>
            </w:r>
          </w:p>
        </w:tc>
      </w:tr>
      <w:tr>
        <w:tc>
          <w:tcPr/>
          <w:p>
            <w:pPr>
              <w:pStyle w:val="Compact"/>
              <w:jc w:val="left"/>
            </w:pPr>
            <w:r>
              <w:t xml:space="preserve">(H) Philippines only, Post × ΔM</w:t>
            </w:r>
          </w:p>
        </w:tc>
        <w:tc>
          <w:tcPr/>
          <w:p>
            <w:pPr>
              <w:pStyle w:val="Compact"/>
              <w:jc w:val="left"/>
            </w:pPr>
            <w:r>
              <w:t xml:space="preserve">-0.014 (0.014)</w:t>
            </w:r>
          </w:p>
        </w:tc>
        <w:tc>
          <w:tcPr/>
          <w:p>
            <w:pPr>
              <w:pStyle w:val="Compact"/>
              <w:jc w:val="left"/>
            </w:pPr>
            <w:r>
              <w:t xml:space="preserve">112</w:t>
            </w:r>
          </w:p>
        </w:tc>
        <w:tc>
          <w:tcPr/>
          <w:p>
            <w:pPr>
              <w:pStyle w:val="Compact"/>
              <w:jc w:val="left"/>
            </w:pPr>
            <w:r>
              <w:t xml:space="preserve">Partner = PHL</w:t>
            </w:r>
          </w:p>
        </w:tc>
      </w:tr>
      <w:tr>
        <w:tc>
          <w:tcPr/>
          <w:p>
            <w:pPr>
              <w:pStyle w:val="Compact"/>
              <w:jc w:val="left"/>
            </w:pPr>
            <w:r>
              <w:t xml:space="preserve">(H) Viet Nam only, Post × ΔM</w:t>
            </w:r>
          </w:p>
        </w:tc>
        <w:tc>
          <w:tcPr/>
          <w:p>
            <w:pPr>
              <w:pStyle w:val="Compact"/>
              <w:jc w:val="left"/>
            </w:pPr>
            <w:r>
              <w:t xml:space="preserve">0.010 (0.006)</w:t>
            </w:r>
          </w:p>
        </w:tc>
        <w:tc>
          <w:tcPr/>
          <w:p>
            <w:pPr>
              <w:pStyle w:val="Compact"/>
              <w:jc w:val="left"/>
            </w:pPr>
            <w:r>
              <w:t xml:space="preserve">112</w:t>
            </w:r>
          </w:p>
        </w:tc>
        <w:tc>
          <w:tcPr/>
          <w:p>
            <w:pPr>
              <w:pStyle w:val="Compact"/>
              <w:jc w:val="left"/>
            </w:pPr>
            <w:r>
              <w:t xml:space="preserve">Partner = VNM</w:t>
            </w:r>
          </w:p>
        </w:tc>
      </w:tr>
      <w:tr>
        <w:tc>
          <w:tcPr/>
          <w:p>
            <w:pPr>
              <w:pStyle w:val="Compact"/>
              <w:jc w:val="left"/>
            </w:pPr>
            <w:r>
              <w:t xml:space="preserve">(16) Cross-section Δlog IN SJ3 22–24 on ΔM</w:t>
            </w:r>
          </w:p>
        </w:tc>
        <w:tc>
          <w:tcPr/>
          <w:p>
            <w:pPr>
              <w:pStyle w:val="Compact"/>
              <w:jc w:val="left"/>
            </w:pPr>
            <w:r>
              <w:t xml:space="preserve">0.007 (0.004)</w:t>
            </w:r>
          </w:p>
        </w:tc>
        <w:tc>
          <w:tcPr/>
          <w:p>
            <w:pPr>
              <w:pStyle w:val="Compact"/>
              <w:jc w:val="left"/>
            </w:pPr>
            <w:r>
              <w:t xml:space="preserve">16</w:t>
            </w:r>
          </w:p>
        </w:tc>
        <w:tc>
          <w:tcPr/>
          <w:p>
            <w:pPr>
              <w:pStyle w:val="Compact"/>
              <w:jc w:val="left"/>
            </w:pPr>
            <w:r>
              <w:t xml:space="preserve">No FE; one obs per importer</w:t>
            </w:r>
          </w:p>
        </w:tc>
      </w:tr>
      <w:tr>
        <w:tc>
          <w:tcPr/>
          <w:p>
            <w:pPr>
              <w:pStyle w:val="Compact"/>
              <w:jc w:val="left"/>
            </w:pPr>
            <w:r>
              <w:t xml:space="preserve">(17) EU-8 only: Post × ΔM 2021–24</w:t>
            </w:r>
          </w:p>
        </w:tc>
        <w:tc>
          <w:tcPr/>
          <w:p>
            <w:pPr>
              <w:pStyle w:val="Compact"/>
              <w:jc w:val="left"/>
            </w:pPr>
            <w:r>
              <w:t xml:space="preserve">0.019*** (0.006)</w:t>
            </w:r>
          </w:p>
        </w:tc>
        <w:tc>
          <w:tcPr/>
          <w:p>
            <w:pPr>
              <w:pStyle w:val="Compact"/>
              <w:jc w:val="left"/>
            </w:pPr>
            <w:r>
              <w:t xml:space="preserve">168</w:t>
            </w:r>
          </w:p>
        </w:tc>
        <w:tc>
          <w:tcPr/>
          <w:p>
            <w:pPr>
              <w:pStyle w:val="Compact"/>
              <w:jc w:val="left"/>
            </w:pPr>
            <w:r>
              <w:t xml:space="preserve">DEU FRA NLD POL ITA ESP IRL ROU; fragility check</w:t>
            </w:r>
          </w:p>
        </w:tc>
      </w:tr>
      <w:tr>
        <w:tc>
          <w:tcPr/>
          <w:p>
            <w:pPr>
              <w:pStyle w:val="Compact"/>
              <w:jc w:val="left"/>
            </w:pPr>
            <w:r>
              <w:t xml:space="preserve">(18) EU-8 only: time-varying M-AI</w:t>
            </w:r>
          </w:p>
        </w:tc>
        <w:tc>
          <w:tcPr/>
          <w:p>
            <w:pPr>
              <w:pStyle w:val="Compact"/>
              <w:jc w:val="left"/>
            </w:pPr>
            <w:r>
              <w:t xml:space="preserve">0.023** (0.010)</w:t>
            </w:r>
          </w:p>
        </w:tc>
        <w:tc>
          <w:tcPr/>
          <w:p>
            <w:pPr>
              <w:pStyle w:val="Compact"/>
              <w:jc w:val="left"/>
            </w:pPr>
            <w:r>
              <w:t xml:space="preserve">72</w:t>
            </w:r>
          </w:p>
        </w:tc>
        <w:tc>
          <w:tcPr/>
          <w:p>
            <w:pPr>
              <w:pStyle w:val="Compact"/>
              <w:jc w:val="left"/>
            </w:pPr>
            <w:r>
              <w:t xml:space="preserve">Same 8 importers, 2021/23/24</w:t>
            </w:r>
          </w:p>
        </w:tc>
      </w:tr>
    </w:tbl>
    <w:bookmarkEnd w:id="118"/>
    <w:bookmarkStart w:id="119" w:name="table-6.-event-study-year-δm-omit-2022"/>
    <w:p>
      <w:pPr>
        <w:pStyle w:val="Heading3"/>
      </w:pPr>
      <w:r>
        <w:t xml:space="preserve">Table 6. Event study: year × ΔM (omit 2022)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coef</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2018.0</w:t>
            </w:r>
          </w:p>
        </w:tc>
        <w:tc>
          <w:tcPr/>
          <w:p>
            <w:pPr>
              <w:pStyle w:val="Compact"/>
              <w:jc w:val="left"/>
            </w:pPr>
            <w:r>
              <w:t xml:space="preserve">0.017</w:t>
            </w:r>
          </w:p>
        </w:tc>
        <w:tc>
          <w:tcPr/>
          <w:p>
            <w:pPr>
              <w:pStyle w:val="Compact"/>
              <w:jc w:val="left"/>
            </w:pPr>
            <w:r>
              <w:t xml:space="preserve">0.009</w:t>
            </w:r>
          </w:p>
        </w:tc>
        <w:tc>
          <w:tcPr/>
          <w:p>
            <w:pPr>
              <w:pStyle w:val="Compact"/>
              <w:jc w:val="left"/>
            </w:pPr>
            <w:r>
              <w:t xml:space="preserve">0.049</w:t>
            </w:r>
          </w:p>
        </w:tc>
      </w:tr>
      <w:tr>
        <w:tc>
          <w:tcPr/>
          <w:p>
            <w:pPr>
              <w:pStyle w:val="Compact"/>
              <w:jc w:val="left"/>
            </w:pPr>
            <w:r>
              <w:t xml:space="preserve">2019.0</w:t>
            </w:r>
          </w:p>
        </w:tc>
        <w:tc>
          <w:tcPr/>
          <w:p>
            <w:pPr>
              <w:pStyle w:val="Compact"/>
              <w:jc w:val="left"/>
            </w:pPr>
            <w:r>
              <w:t xml:space="preserve">0.011</w:t>
            </w:r>
          </w:p>
        </w:tc>
        <w:tc>
          <w:tcPr/>
          <w:p>
            <w:pPr>
              <w:pStyle w:val="Compact"/>
              <w:jc w:val="left"/>
            </w:pPr>
            <w:r>
              <w:t xml:space="preserve">0.01</w:t>
            </w:r>
          </w:p>
        </w:tc>
        <w:tc>
          <w:tcPr/>
          <w:p>
            <w:pPr>
              <w:pStyle w:val="Compact"/>
              <w:jc w:val="left"/>
            </w:pPr>
            <w:r>
              <w:t xml:space="preserve">0.275</w:t>
            </w:r>
          </w:p>
        </w:tc>
      </w:tr>
      <w:tr>
        <w:tc>
          <w:tcPr/>
          <w:p>
            <w:pPr>
              <w:pStyle w:val="Compact"/>
              <w:jc w:val="left"/>
            </w:pPr>
            <w:r>
              <w:t xml:space="preserve">2020.0</w:t>
            </w:r>
          </w:p>
        </w:tc>
        <w:tc>
          <w:tcPr/>
          <w:p>
            <w:pPr>
              <w:pStyle w:val="Compact"/>
              <w:jc w:val="left"/>
            </w:pPr>
            <w:r>
              <w:t xml:space="preserve">0.017</w:t>
            </w:r>
          </w:p>
        </w:tc>
        <w:tc>
          <w:tcPr/>
          <w:p>
            <w:pPr>
              <w:pStyle w:val="Compact"/>
              <w:jc w:val="left"/>
            </w:pPr>
            <w:r>
              <w:t xml:space="preserve">0.011</w:t>
            </w:r>
          </w:p>
        </w:tc>
        <w:tc>
          <w:tcPr/>
          <w:p>
            <w:pPr>
              <w:pStyle w:val="Compact"/>
              <w:jc w:val="left"/>
            </w:pPr>
            <w:r>
              <w:t xml:space="preserve">0.106</w:t>
            </w:r>
          </w:p>
        </w:tc>
      </w:tr>
      <w:tr>
        <w:tc>
          <w:tcPr/>
          <w:p>
            <w:pPr>
              <w:pStyle w:val="Compact"/>
              <w:jc w:val="left"/>
            </w:pPr>
            <w:r>
              <w:t xml:space="preserve">2021.0</w:t>
            </w:r>
          </w:p>
        </w:tc>
        <w:tc>
          <w:tcPr/>
          <w:p>
            <w:pPr>
              <w:pStyle w:val="Compact"/>
              <w:jc w:val="left"/>
            </w:pPr>
            <w:r>
              <w:t xml:space="preserve">0.011</w:t>
            </w:r>
          </w:p>
        </w:tc>
        <w:tc>
          <w:tcPr/>
          <w:p>
            <w:pPr>
              <w:pStyle w:val="Compact"/>
              <w:jc w:val="left"/>
            </w:pPr>
            <w:r>
              <w:t xml:space="preserve">0.012</w:t>
            </w:r>
          </w:p>
        </w:tc>
        <w:tc>
          <w:tcPr/>
          <w:p>
            <w:pPr>
              <w:pStyle w:val="Compact"/>
              <w:jc w:val="left"/>
            </w:pPr>
            <w:r>
              <w:t xml:space="preserve">0.333</w:t>
            </w:r>
          </w:p>
        </w:tc>
      </w:tr>
      <w:tr>
        <w:tc>
          <w:tcPr/>
          <w:p>
            <w:pPr>
              <w:pStyle w:val="Compact"/>
              <w:jc w:val="left"/>
            </w:pPr>
            <w:r>
              <w:t xml:space="preserve">2022.0</w:t>
            </w:r>
          </w:p>
        </w:tc>
        <w:tc>
          <w:tcPr/>
          <w:p>
            <w:pPr>
              <w:pStyle w:val="Compact"/>
              <w:jc w:val="left"/>
            </w:pPr>
            <w:r>
              <w:t xml:space="preserve">0.0</w:t>
            </w:r>
          </w:p>
        </w:tc>
        <w:tc>
          <w:tcPr/>
          <w:p>
            <w:pPr>
              <w:pStyle w:val="Compact"/>
              <w:jc w:val="left"/>
            </w:pPr>
            <w:r>
              <w:t xml:space="preserve">0.0</w:t>
            </w:r>
          </w:p>
        </w:tc>
        <w:tc>
          <w:tcPr/>
          <w:p>
            <w:pPr>
              <w:pStyle w:val="Compact"/>
              <w:jc w:val="left"/>
            </w:pPr>
            <w:r>
              <w:t xml:space="preserve">1.0</w:t>
            </w:r>
          </w:p>
        </w:tc>
      </w:tr>
      <w:tr>
        <w:tc>
          <w:tcPr/>
          <w:p>
            <w:pPr>
              <w:pStyle w:val="Compact"/>
              <w:jc w:val="left"/>
            </w:pPr>
            <w:r>
              <w:t xml:space="preserve">2023.0</w:t>
            </w:r>
          </w:p>
        </w:tc>
        <w:tc>
          <w:tcPr/>
          <w:p>
            <w:pPr>
              <w:pStyle w:val="Compact"/>
              <w:jc w:val="left"/>
            </w:pPr>
            <w:r>
              <w:t xml:space="preserve">0.011</w:t>
            </w:r>
          </w:p>
        </w:tc>
        <w:tc>
          <w:tcPr/>
          <w:p>
            <w:pPr>
              <w:pStyle w:val="Compact"/>
              <w:jc w:val="left"/>
            </w:pPr>
            <w:r>
              <w:t xml:space="preserve">0.004</w:t>
            </w:r>
          </w:p>
        </w:tc>
        <w:tc>
          <w:tcPr/>
          <w:p>
            <w:pPr>
              <w:pStyle w:val="Compact"/>
              <w:jc w:val="left"/>
            </w:pPr>
            <w:r>
              <w:t xml:space="preserve">0.005</w:t>
            </w:r>
          </w:p>
        </w:tc>
      </w:tr>
      <w:tr>
        <w:tc>
          <w:tcPr/>
          <w:p>
            <w:pPr>
              <w:pStyle w:val="Compact"/>
              <w:jc w:val="left"/>
            </w:pPr>
            <w:r>
              <w:t xml:space="preserve">2024.0</w:t>
            </w:r>
          </w:p>
        </w:tc>
        <w:tc>
          <w:tcPr/>
          <w:p>
            <w:pPr>
              <w:pStyle w:val="Compact"/>
              <w:jc w:val="left"/>
            </w:pPr>
            <w:r>
              <w:t xml:space="preserve">0.013</w:t>
            </w:r>
          </w:p>
        </w:tc>
        <w:tc>
          <w:tcPr/>
          <w:p>
            <w:pPr>
              <w:pStyle w:val="Compact"/>
              <w:jc w:val="left"/>
            </w:pPr>
            <w:r>
              <w:t xml:space="preserve">0.005</w:t>
            </w:r>
          </w:p>
        </w:tc>
        <w:tc>
          <w:tcPr/>
          <w:p>
            <w:pPr>
              <w:pStyle w:val="Compact"/>
              <w:jc w:val="left"/>
            </w:pPr>
            <w:r>
              <w:t xml:space="preserve">0.016</w:t>
            </w:r>
          </w:p>
        </w:tc>
      </w:tr>
    </w:tbl>
    <w:bookmarkEnd w:id="119"/>
    <w:bookmarkStart w:id="120" w:name="X2bfaebe5b6dd80d6a5a703458202c4d92991d9a"/>
    <w:p>
      <w:pPr>
        <w:pStyle w:val="Heading3"/>
      </w:pPr>
      <w:r>
        <w:t xml:space="preserve">Table 7. ILO ISIC M vs F employment, 2019–2024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pct_M</w:t>
            </w:r>
          </w:p>
        </w:tc>
        <w:tc>
          <w:tcPr/>
          <w:p>
            <w:pPr>
              <w:pStyle w:val="Compact"/>
              <w:jc w:val="left"/>
            </w:pPr>
            <w:r>
              <w:t xml:space="preserve">pct_F</w:t>
            </w:r>
          </w:p>
        </w:tc>
      </w:tr>
      <w:tr>
        <w:tc>
          <w:tcPr/>
          <w:p>
            <w:pPr>
              <w:pStyle w:val="Compact"/>
              <w:jc w:val="left"/>
            </w:pPr>
            <w:r>
              <w:t xml:space="preserve">United Arab Emirates</w:t>
            </w:r>
          </w:p>
        </w:tc>
        <w:tc>
          <w:tcPr/>
          <w:p>
            <w:pPr>
              <w:pStyle w:val="Compact"/>
              <w:jc w:val="left"/>
            </w:pPr>
            <w:r>
              <w:t xml:space="preserve">17.0</w:t>
            </w:r>
          </w:p>
        </w:tc>
        <w:tc>
          <w:tcPr/>
          <w:p>
            <w:pPr>
              <w:pStyle w:val="Compact"/>
              <w:jc w:val="left"/>
            </w:pPr>
            <w:r>
              <w:t xml:space="preserve">53.3</w:t>
            </w:r>
          </w:p>
        </w:tc>
      </w:tr>
      <w:tr>
        <w:tc>
          <w:tcPr/>
          <w:p>
            <w:pPr>
              <w:pStyle w:val="Compact"/>
              <w:jc w:val="left"/>
            </w:pPr>
            <w:r>
              <w:t xml:space="preserve">Australia</w:t>
            </w:r>
          </w:p>
        </w:tc>
        <w:tc>
          <w:tcPr/>
          <w:p>
            <w:pPr>
              <w:pStyle w:val="Compact"/>
              <w:jc w:val="left"/>
            </w:pPr>
            <w:r>
              <w:t xml:space="preserve">9.2</w:t>
            </w:r>
          </w:p>
        </w:tc>
        <w:tc>
          <w:tcPr/>
          <w:p>
            <w:pPr>
              <w:pStyle w:val="Compact"/>
              <w:jc w:val="left"/>
            </w:pPr>
            <w:r>
              <w:t xml:space="preserve">13.6</w:t>
            </w:r>
          </w:p>
        </w:tc>
      </w:tr>
      <w:tr>
        <w:tc>
          <w:tcPr/>
          <w:p>
            <w:pPr>
              <w:pStyle w:val="Compact"/>
              <w:jc w:val="left"/>
            </w:pPr>
            <w:r>
              <w:t xml:space="preserve">Germany</w:t>
            </w:r>
          </w:p>
        </w:tc>
        <w:tc>
          <w:tcPr/>
          <w:p>
            <w:pPr>
              <w:pStyle w:val="Compact"/>
              <w:jc w:val="left"/>
            </w:pPr>
            <w:r>
              <w:t xml:space="preserve">-4.1</w:t>
            </w:r>
          </w:p>
        </w:tc>
        <w:tc>
          <w:tcPr/>
          <w:p>
            <w:pPr>
              <w:pStyle w:val="Compact"/>
              <w:jc w:val="left"/>
            </w:pPr>
            <w:r>
              <w:t xml:space="preserve">-5.5</w:t>
            </w:r>
          </w:p>
        </w:tc>
      </w:tr>
      <w:tr>
        <w:tc>
          <w:tcPr/>
          <w:p>
            <w:pPr>
              <w:pStyle w:val="Compact"/>
              <w:jc w:val="left"/>
            </w:pPr>
            <w:r>
              <w:t xml:space="preserve">Spain</w:t>
            </w:r>
          </w:p>
        </w:tc>
        <w:tc>
          <w:tcPr/>
          <w:p>
            <w:pPr>
              <w:pStyle w:val="Compact"/>
              <w:jc w:val="left"/>
            </w:pPr>
            <w:r>
              <w:t xml:space="preserve">28.4</w:t>
            </w:r>
          </w:p>
        </w:tc>
        <w:tc>
          <w:tcPr/>
          <w:p>
            <w:pPr>
              <w:pStyle w:val="Compact"/>
              <w:jc w:val="left"/>
            </w:pPr>
            <w:r>
              <w:t xml:space="preserve">10.6</w:t>
            </w:r>
          </w:p>
        </w:tc>
      </w:tr>
      <w:tr>
        <w:tc>
          <w:tcPr/>
          <w:p>
            <w:pPr>
              <w:pStyle w:val="Compact"/>
              <w:jc w:val="left"/>
            </w:pPr>
            <w:r>
              <w:t xml:space="preserve">France</w:t>
            </w:r>
          </w:p>
        </w:tc>
        <w:tc>
          <w:tcPr/>
          <w:p>
            <w:pPr>
              <w:pStyle w:val="Compact"/>
              <w:jc w:val="left"/>
            </w:pPr>
            <w:r>
              <w:t xml:space="preserve">22.6</w:t>
            </w:r>
          </w:p>
        </w:tc>
        <w:tc>
          <w:tcPr/>
          <w:p>
            <w:pPr>
              <w:pStyle w:val="Compact"/>
              <w:jc w:val="left"/>
            </w:pPr>
            <w:r>
              <w:t xml:space="preserve">5.7</w:t>
            </w:r>
          </w:p>
        </w:tc>
      </w:tr>
      <w:tr>
        <w:tc>
          <w:tcPr/>
          <w:p>
            <w:pPr>
              <w:pStyle w:val="Compact"/>
              <w:jc w:val="left"/>
            </w:pPr>
            <w:r>
              <w:t xml:space="preserve">United Kingdom</w:t>
            </w:r>
          </w:p>
        </w:tc>
        <w:tc>
          <w:tcPr/>
          <w:p>
            <w:pPr>
              <w:pStyle w:val="Compact"/>
              <w:jc w:val="left"/>
            </w:pPr>
            <w:r>
              <w:t xml:space="preserve">21.8</w:t>
            </w:r>
          </w:p>
        </w:tc>
        <w:tc>
          <w:tcPr/>
          <w:p>
            <w:pPr>
              <w:pStyle w:val="Compact"/>
              <w:jc w:val="left"/>
            </w:pPr>
            <w:r>
              <w:t xml:space="preserve">-7.6</w:t>
            </w:r>
          </w:p>
        </w:tc>
      </w:tr>
      <w:tr>
        <w:tc>
          <w:tcPr/>
          <w:p>
            <w:pPr>
              <w:pStyle w:val="Compact"/>
              <w:jc w:val="left"/>
            </w:pPr>
            <w:r>
              <w:t xml:space="preserve">India</w:t>
            </w:r>
          </w:p>
        </w:tc>
        <w:tc>
          <w:tcPr/>
          <w:p>
            <w:pPr>
              <w:pStyle w:val="Compact"/>
              <w:jc w:val="left"/>
            </w:pPr>
            <w:r>
              <w:t xml:space="preserve">13.0</w:t>
            </w:r>
          </w:p>
        </w:tc>
        <w:tc>
          <w:tcPr/>
          <w:p>
            <w:pPr>
              <w:pStyle w:val="Compact"/>
              <w:jc w:val="left"/>
            </w:pPr>
            <w:r>
              <w:t xml:space="preserve">33.0</w:t>
            </w:r>
          </w:p>
        </w:tc>
      </w:tr>
      <w:tr>
        <w:tc>
          <w:tcPr/>
          <w:p>
            <w:pPr>
              <w:pStyle w:val="Compact"/>
              <w:jc w:val="left"/>
            </w:pPr>
            <w:r>
              <w:t xml:space="preserve">Ireland</w:t>
            </w:r>
          </w:p>
        </w:tc>
        <w:tc>
          <w:tcPr/>
          <w:p>
            <w:pPr>
              <w:pStyle w:val="Compact"/>
              <w:jc w:val="left"/>
            </w:pPr>
            <w:r>
              <w:t xml:space="preserve">51.5</w:t>
            </w:r>
          </w:p>
        </w:tc>
        <w:tc>
          <w:tcPr/>
          <w:p>
            <w:pPr>
              <w:pStyle w:val="Compact"/>
              <w:jc w:val="left"/>
            </w:pPr>
            <w:r>
              <w:t xml:space="preserve">17.1</w:t>
            </w:r>
          </w:p>
        </w:tc>
      </w:tr>
      <w:tr>
        <w:tc>
          <w:tcPr/>
          <w:p>
            <w:pPr>
              <w:pStyle w:val="Compact"/>
              <w:jc w:val="left"/>
            </w:pPr>
            <w:r>
              <w:t xml:space="preserve">Italy</w:t>
            </w:r>
          </w:p>
        </w:tc>
        <w:tc>
          <w:tcPr/>
          <w:p>
            <w:pPr>
              <w:pStyle w:val="Compact"/>
              <w:jc w:val="left"/>
            </w:pPr>
            <w:r>
              <w:t xml:space="preserve">5.5</w:t>
            </w:r>
          </w:p>
        </w:tc>
        <w:tc>
          <w:tcPr/>
          <w:p>
            <w:pPr>
              <w:pStyle w:val="Compact"/>
              <w:jc w:val="left"/>
            </w:pPr>
            <w:r>
              <w:t xml:space="preserve">21.5</w:t>
            </w:r>
          </w:p>
        </w:tc>
      </w:tr>
      <w:tr>
        <w:tc>
          <w:tcPr/>
          <w:p>
            <w:pPr>
              <w:pStyle w:val="Compact"/>
              <w:jc w:val="left"/>
            </w:pPr>
            <w:r>
              <w:t xml:space="preserve">Netherlands</w:t>
            </w:r>
          </w:p>
        </w:tc>
        <w:tc>
          <w:tcPr/>
          <w:p>
            <w:pPr>
              <w:pStyle w:val="Compact"/>
              <w:jc w:val="left"/>
            </w:pPr>
            <w:r>
              <w:t xml:space="preserve">37.8</w:t>
            </w:r>
          </w:p>
        </w:tc>
        <w:tc>
          <w:tcPr/>
          <w:p>
            <w:pPr>
              <w:pStyle w:val="Compact"/>
              <w:jc w:val="left"/>
            </w:pPr>
            <w:r>
              <w:t xml:space="preserve">16.8</w:t>
            </w:r>
          </w:p>
        </w:tc>
      </w:tr>
      <w:tr>
        <w:tc>
          <w:tcPr/>
          <w:p>
            <w:pPr>
              <w:pStyle w:val="Compact"/>
              <w:jc w:val="left"/>
            </w:pPr>
            <w:r>
              <w:t xml:space="preserve">Philippines</w:t>
            </w:r>
          </w:p>
        </w:tc>
        <w:tc>
          <w:tcPr/>
          <w:p>
            <w:pPr>
              <w:pStyle w:val="Compact"/>
              <w:jc w:val="left"/>
            </w:pPr>
            <w:r>
              <w:t xml:space="preserve">39.9</w:t>
            </w:r>
          </w:p>
        </w:tc>
        <w:tc>
          <w:tcPr/>
          <w:p>
            <w:pPr>
              <w:pStyle w:val="Compact"/>
              <w:jc w:val="left"/>
            </w:pPr>
            <w:r>
              <w:t xml:space="preserve">12.8</w:t>
            </w:r>
          </w:p>
        </w:tc>
      </w:tr>
      <w:tr>
        <w:tc>
          <w:tcPr/>
          <w:p>
            <w:pPr>
              <w:pStyle w:val="Compact"/>
              <w:jc w:val="left"/>
            </w:pPr>
            <w:r>
              <w:t xml:space="preserve">Poland</w:t>
            </w:r>
          </w:p>
        </w:tc>
        <w:tc>
          <w:tcPr/>
          <w:p>
            <w:pPr>
              <w:pStyle w:val="Compact"/>
              <w:jc w:val="left"/>
            </w:pPr>
            <w:r>
              <w:t xml:space="preserve">30.4</w:t>
            </w:r>
          </w:p>
        </w:tc>
        <w:tc>
          <w:tcPr/>
          <w:p>
            <w:pPr>
              <w:pStyle w:val="Compact"/>
              <w:jc w:val="left"/>
            </w:pPr>
            <w:r>
              <w:t xml:space="preserve">0.3</w:t>
            </w:r>
          </w:p>
        </w:tc>
      </w:tr>
      <w:tr>
        <w:tc>
          <w:tcPr/>
          <w:p>
            <w:pPr>
              <w:pStyle w:val="Compact"/>
              <w:jc w:val="left"/>
            </w:pPr>
            <w:r>
              <w:t xml:space="preserve">Romania</w:t>
            </w:r>
          </w:p>
        </w:tc>
        <w:tc>
          <w:tcPr/>
          <w:p>
            <w:pPr>
              <w:pStyle w:val="Compact"/>
              <w:jc w:val="left"/>
            </w:pPr>
            <w:r>
              <w:t xml:space="preserve">13.0</w:t>
            </w:r>
          </w:p>
        </w:tc>
        <w:tc>
          <w:tcPr/>
          <w:p>
            <w:pPr>
              <w:pStyle w:val="Compact"/>
              <w:jc w:val="left"/>
            </w:pPr>
            <w:r>
              <w:t xml:space="preserve">17.6</w:t>
            </w:r>
          </w:p>
        </w:tc>
      </w:tr>
      <w:tr>
        <w:tc>
          <w:tcPr/>
          <w:p>
            <w:pPr>
              <w:pStyle w:val="Compact"/>
              <w:jc w:val="left"/>
            </w:pPr>
            <w:r>
              <w:t xml:space="preserve">Singapore</w:t>
            </w:r>
          </w:p>
        </w:tc>
        <w:tc>
          <w:tcPr/>
          <w:p>
            <w:pPr>
              <w:pStyle w:val="Compact"/>
              <w:jc w:val="left"/>
            </w:pPr>
            <w:r>
              <w:t xml:space="preserve">8.6</w:t>
            </w:r>
          </w:p>
        </w:tc>
        <w:tc>
          <w:tcPr/>
          <w:p>
            <w:pPr>
              <w:pStyle w:val="Compact"/>
              <w:jc w:val="left"/>
            </w:pPr>
            <w:r>
              <w:t xml:space="preserve">5.0</w:t>
            </w:r>
          </w:p>
        </w:tc>
      </w:tr>
      <w:tr>
        <w:tc>
          <w:tcPr/>
          <w:p>
            <w:pPr>
              <w:pStyle w:val="Compact"/>
              <w:jc w:val="left"/>
            </w:pPr>
            <w:r>
              <w:t xml:space="preserve">United States</w:t>
            </w:r>
          </w:p>
        </w:tc>
        <w:tc>
          <w:tcPr/>
          <w:p>
            <w:pPr>
              <w:pStyle w:val="Compact"/>
              <w:jc w:val="left"/>
            </w:pPr>
            <w:r>
              <w:t xml:space="preserve">7.1</w:t>
            </w:r>
          </w:p>
        </w:tc>
        <w:tc>
          <w:tcPr/>
          <w:p>
            <w:pPr>
              <w:pStyle w:val="Compact"/>
              <w:jc w:val="left"/>
            </w:pPr>
            <w:r>
              <w:t xml:space="preserve">5.0</w:t>
            </w:r>
          </w:p>
        </w:tc>
      </w:tr>
      <w:tr>
        <w:tc>
          <w:tcPr/>
          <w:p>
            <w:pPr>
              <w:pStyle w:val="Compact"/>
              <w:jc w:val="left"/>
            </w:pPr>
            <w:r>
              <w:t xml:space="preserve">Viet Nam</w:t>
            </w:r>
          </w:p>
        </w:tc>
        <w:tc>
          <w:tcPr/>
          <w:p>
            <w:pPr>
              <w:pStyle w:val="Compact"/>
              <w:jc w:val="left"/>
            </w:pPr>
            <w:r>
              <w:t xml:space="preserve">28.5</w:t>
            </w:r>
          </w:p>
        </w:tc>
        <w:tc>
          <w:tcPr/>
          <w:p>
            <w:pPr>
              <w:pStyle w:val="Compact"/>
              <w:jc w:val="left"/>
            </w:pPr>
            <w:r>
              <w:t xml:space="preserve">-1.4</w:t>
            </w:r>
          </w:p>
        </w:tc>
      </w:tr>
    </w:tbl>
    <w:bookmarkEnd w:id="120"/>
    <w:bookmarkStart w:id="121" w:name="X274c97d10a6bcc46f7fce9dfea9643548753a19"/>
    <w:p>
      <w:pPr>
        <w:pStyle w:val="Heading3"/>
      </w:pPr>
      <w:r>
        <w:t xml:space="preserve">Table 8. NACE M71 vs F GVA, 2019–2023 current EUR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iso3</w:t>
            </w:r>
          </w:p>
        </w:tc>
        <w:tc>
          <w:tcPr/>
          <w:p>
            <w:pPr>
              <w:pStyle w:val="Compact"/>
              <w:jc w:val="left"/>
            </w:pPr>
            <w:r>
              <w:t xml:space="preserve">F</w:t>
            </w:r>
          </w:p>
        </w:tc>
        <w:tc>
          <w:tcPr/>
          <w:p>
            <w:pPr>
              <w:pStyle w:val="Compact"/>
              <w:jc w:val="left"/>
            </w:pPr>
            <w:r>
              <w:t xml:space="preserve">M</w:t>
            </w:r>
          </w:p>
        </w:tc>
        <w:tc>
          <w:tcPr/>
          <w:p>
            <w:pPr>
              <w:pStyle w:val="Compact"/>
              <w:jc w:val="left"/>
            </w:pPr>
            <w:r>
              <w:t xml:space="preserve">M71</w:t>
            </w:r>
          </w:p>
        </w:tc>
      </w:tr>
      <w:tr>
        <w:tc>
          <w:tcPr/>
          <w:p>
            <w:pPr>
              <w:pStyle w:val="Compact"/>
              <w:jc w:val="left"/>
            </w:pPr>
            <w:r>
              <w:t xml:space="preserve">Austria</w:t>
            </w:r>
          </w:p>
        </w:tc>
        <w:tc>
          <w:tcPr/>
          <w:p>
            <w:pPr>
              <w:pStyle w:val="Compact"/>
              <w:jc w:val="left"/>
            </w:pPr>
            <w:r>
              <w:t xml:space="preserve">AUT</w:t>
            </w:r>
          </w:p>
        </w:tc>
        <w:tc>
          <w:tcPr/>
          <w:p>
            <w:pPr>
              <w:pStyle w:val="Compact"/>
              <w:jc w:val="left"/>
            </w:pPr>
            <w:r>
              <w:t xml:space="preserve">23.7</w:t>
            </w:r>
          </w:p>
        </w:tc>
        <w:tc>
          <w:tcPr/>
          <w:p>
            <w:pPr>
              <w:pStyle w:val="Compact"/>
              <w:jc w:val="left"/>
            </w:pPr>
            <w:r>
              <w:t xml:space="preserve">21.5</w:t>
            </w:r>
          </w:p>
        </w:tc>
        <w:tc>
          <w:tcPr/>
          <w:p>
            <w:pPr>
              <w:pStyle w:val="Compact"/>
              <w:jc w:val="left"/>
            </w:pPr>
            <w:r>
              <w:t xml:space="preserve">16.1</w:t>
            </w:r>
          </w:p>
        </w:tc>
      </w:tr>
      <w:tr>
        <w:tc>
          <w:tcPr/>
          <w:p>
            <w:pPr>
              <w:pStyle w:val="Compact"/>
              <w:jc w:val="left"/>
            </w:pPr>
            <w:r>
              <w:t xml:space="preserve">Belgium</w:t>
            </w:r>
          </w:p>
        </w:tc>
        <w:tc>
          <w:tcPr/>
          <w:p>
            <w:pPr>
              <w:pStyle w:val="Compact"/>
              <w:jc w:val="left"/>
            </w:pPr>
            <w:r>
              <w:t xml:space="preserve">BEL</w:t>
            </w:r>
          </w:p>
        </w:tc>
        <w:tc>
          <w:tcPr/>
          <w:p>
            <w:pPr>
              <w:pStyle w:val="Compact"/>
              <w:jc w:val="left"/>
            </w:pPr>
            <w:r>
              <w:t xml:space="preserve">33.8</w:t>
            </w:r>
          </w:p>
        </w:tc>
        <w:tc>
          <w:tcPr/>
          <w:p>
            <w:pPr>
              <w:pStyle w:val="Compact"/>
              <w:jc w:val="left"/>
            </w:pPr>
            <w:r>
              <w:t xml:space="preserve">32.0</w:t>
            </w:r>
          </w:p>
        </w:tc>
        <w:tc>
          <w:tcPr/>
          <w:p>
            <w:pPr>
              <w:pStyle w:val="Compact"/>
              <w:jc w:val="left"/>
            </w:pPr>
            <w:r>
              <w:t xml:space="preserve">40.8</w:t>
            </w:r>
          </w:p>
        </w:tc>
      </w:tr>
      <w:tr>
        <w:tc>
          <w:tcPr/>
          <w:p>
            <w:pPr>
              <w:pStyle w:val="Compact"/>
              <w:jc w:val="left"/>
            </w:pPr>
            <w:r>
              <w:t xml:space="preserve">Czechia</w:t>
            </w:r>
          </w:p>
        </w:tc>
        <w:tc>
          <w:tcPr/>
          <w:p>
            <w:pPr>
              <w:pStyle w:val="Compact"/>
              <w:jc w:val="left"/>
            </w:pPr>
            <w:r>
              <w:t xml:space="preserve">CZE</w:t>
            </w:r>
          </w:p>
        </w:tc>
        <w:tc>
          <w:tcPr/>
          <w:p>
            <w:pPr>
              <w:pStyle w:val="Compact"/>
              <w:jc w:val="left"/>
            </w:pPr>
            <w:r>
              <w:t xml:space="preserve">45.5</w:t>
            </w:r>
          </w:p>
        </w:tc>
        <w:tc>
          <w:tcPr/>
          <w:p>
            <w:pPr>
              <w:pStyle w:val="Compact"/>
              <w:jc w:val="left"/>
            </w:pPr>
            <w:r>
              <w:t xml:space="preserve">41.0</w:t>
            </w:r>
          </w:p>
        </w:tc>
        <w:tc>
          <w:tcPr/>
          <w:p>
            <w:pPr>
              <w:pStyle w:val="Compact"/>
              <w:jc w:val="left"/>
            </w:pPr>
            <w:r>
              <w:t xml:space="preserve">47.1</w:t>
            </w:r>
          </w:p>
        </w:tc>
      </w:tr>
      <w:tr>
        <w:tc>
          <w:tcPr/>
          <w:p>
            <w:pPr>
              <w:pStyle w:val="Compact"/>
              <w:jc w:val="left"/>
            </w:pPr>
            <w:r>
              <w:t xml:space="preserve">Denmark</w:t>
            </w:r>
          </w:p>
        </w:tc>
        <w:tc>
          <w:tcPr/>
          <w:p>
            <w:pPr>
              <w:pStyle w:val="Compact"/>
              <w:jc w:val="left"/>
            </w:pPr>
            <w:r>
              <w:t xml:space="preserve">DNK</w:t>
            </w:r>
          </w:p>
        </w:tc>
        <w:tc>
          <w:tcPr/>
          <w:p>
            <w:pPr>
              <w:pStyle w:val="Compact"/>
              <w:jc w:val="left"/>
            </w:pPr>
            <w:r>
              <w:t xml:space="preserve">15.6</w:t>
            </w:r>
          </w:p>
        </w:tc>
        <w:tc>
          <w:tcPr/>
          <w:p>
            <w:pPr>
              <w:pStyle w:val="Compact"/>
              <w:jc w:val="left"/>
            </w:pPr>
            <w:r>
              <w:t xml:space="preserve">21.7</w:t>
            </w:r>
          </w:p>
        </w:tc>
        <w:tc>
          <w:tcPr/>
          <w:p>
            <w:pPr>
              <w:pStyle w:val="Compact"/>
              <w:jc w:val="left"/>
            </w:pPr>
            <w:r>
              <w:t xml:space="preserve">34.2</w:t>
            </w:r>
          </w:p>
        </w:tc>
      </w:tr>
      <w:tr>
        <w:tc>
          <w:tcPr/>
          <w:p>
            <w:pPr>
              <w:pStyle w:val="Compact"/>
              <w:jc w:val="left"/>
            </w:pPr>
            <w:r>
              <w:t xml:space="preserve">Finland</w:t>
            </w:r>
          </w:p>
        </w:tc>
        <w:tc>
          <w:tcPr/>
          <w:p>
            <w:pPr>
              <w:pStyle w:val="Compact"/>
              <w:jc w:val="left"/>
            </w:pPr>
            <w:r>
              <w:t xml:space="preserve">FIN</w:t>
            </w:r>
          </w:p>
        </w:tc>
        <w:tc>
          <w:tcPr/>
          <w:p>
            <w:pPr>
              <w:pStyle w:val="Compact"/>
              <w:jc w:val="left"/>
            </w:pPr>
            <w:r>
              <w:t xml:space="preserve">-0.3</w:t>
            </w:r>
          </w:p>
        </w:tc>
        <w:tc>
          <w:tcPr/>
          <w:p>
            <w:pPr>
              <w:pStyle w:val="Compact"/>
              <w:jc w:val="left"/>
            </w:pPr>
            <w:r>
              <w:t xml:space="preserve">16.7</w:t>
            </w:r>
          </w:p>
        </w:tc>
        <w:tc>
          <w:tcPr/>
          <w:p>
            <w:pPr>
              <w:pStyle w:val="Compact"/>
              <w:jc w:val="left"/>
            </w:pPr>
            <w:r>
              <w:t xml:space="preserve">13.0</w:t>
            </w:r>
          </w:p>
        </w:tc>
      </w:tr>
      <w:tr>
        <w:tc>
          <w:tcPr/>
          <w:p>
            <w:pPr>
              <w:pStyle w:val="Compact"/>
              <w:jc w:val="left"/>
            </w:pPr>
            <w:r>
              <w:t xml:space="preserve">France</w:t>
            </w:r>
          </w:p>
        </w:tc>
        <w:tc>
          <w:tcPr/>
          <w:p>
            <w:pPr>
              <w:pStyle w:val="Compact"/>
              <w:jc w:val="left"/>
            </w:pPr>
            <w:r>
              <w:t xml:space="preserve">FRA</w:t>
            </w:r>
          </w:p>
        </w:tc>
        <w:tc>
          <w:tcPr/>
          <w:p>
            <w:pPr>
              <w:pStyle w:val="Compact"/>
              <w:jc w:val="left"/>
            </w:pPr>
            <w:r>
              <w:t xml:space="preserve">15.9</w:t>
            </w:r>
          </w:p>
        </w:tc>
        <w:tc>
          <w:tcPr/>
          <w:p>
            <w:pPr>
              <w:pStyle w:val="Compact"/>
              <w:jc w:val="left"/>
            </w:pPr>
            <w:r>
              <w:t xml:space="preserve">13.5</w:t>
            </w:r>
          </w:p>
        </w:tc>
        <w:tc>
          <w:tcPr/>
          <w:p>
            <w:pPr>
              <w:pStyle w:val="Compact"/>
              <w:jc w:val="left"/>
            </w:pPr>
            <w:r>
              <w:t xml:space="preserve">14.0</w:t>
            </w:r>
          </w:p>
        </w:tc>
      </w:tr>
      <w:tr>
        <w:tc>
          <w:tcPr/>
          <w:p>
            <w:pPr>
              <w:pStyle w:val="Compact"/>
              <w:jc w:val="left"/>
            </w:pPr>
            <w:r>
              <w:t xml:space="preserve">Germany</w:t>
            </w:r>
          </w:p>
        </w:tc>
        <w:tc>
          <w:tcPr/>
          <w:p>
            <w:pPr>
              <w:pStyle w:val="Compact"/>
              <w:jc w:val="left"/>
            </w:pPr>
            <w:r>
              <w:t xml:space="preserve">DEU</w:t>
            </w:r>
          </w:p>
        </w:tc>
        <w:tc>
          <w:tcPr/>
          <w:p>
            <w:pPr>
              <w:pStyle w:val="Compact"/>
              <w:jc w:val="left"/>
            </w:pPr>
            <w:r>
              <w:t xml:space="preserve">30.5</w:t>
            </w:r>
          </w:p>
        </w:tc>
        <w:tc>
          <w:tcPr/>
          <w:p>
            <w:pPr>
              <w:pStyle w:val="Compact"/>
              <w:jc w:val="left"/>
            </w:pPr>
            <w:r>
              <w:t xml:space="preserve">26.1</w:t>
            </w:r>
          </w:p>
        </w:tc>
        <w:tc>
          <w:tcPr/>
          <w:p>
            <w:pPr>
              <w:pStyle w:val="Compact"/>
              <w:jc w:val="left"/>
            </w:pPr>
            <w:r>
              <w:t xml:space="preserve">14.7</w:t>
            </w:r>
          </w:p>
        </w:tc>
      </w:tr>
      <w:tr>
        <w:tc>
          <w:tcPr/>
          <w:p>
            <w:pPr>
              <w:pStyle w:val="Compact"/>
              <w:jc w:val="left"/>
            </w:pPr>
            <w:r>
              <w:t xml:space="preserve">Greece</w:t>
            </w:r>
          </w:p>
        </w:tc>
        <w:tc>
          <w:tcPr/>
          <w:p>
            <w:pPr>
              <w:pStyle w:val="Compact"/>
              <w:jc w:val="left"/>
            </w:pPr>
            <w:r>
              <w:t xml:space="preserve">GRC</w:t>
            </w:r>
          </w:p>
        </w:tc>
        <w:tc>
          <w:tcPr/>
          <w:p>
            <w:pPr>
              <w:pStyle w:val="Compact"/>
              <w:jc w:val="left"/>
            </w:pPr>
            <w:r>
              <w:t xml:space="preserve">80.6</w:t>
            </w:r>
          </w:p>
        </w:tc>
        <w:tc>
          <w:tcPr/>
          <w:p>
            <w:pPr>
              <w:pStyle w:val="Compact"/>
              <w:jc w:val="left"/>
            </w:pPr>
            <w:r>
              <w:t xml:space="preserve">41.4</w:t>
            </w:r>
          </w:p>
        </w:tc>
        <w:tc>
          <w:tcPr/>
          <w:p>
            <w:pPr>
              <w:pStyle w:val="Compact"/>
              <w:jc w:val="left"/>
            </w:pPr>
            <w:r>
              <w:t xml:space="preserve">39.3</w:t>
            </w:r>
          </w:p>
        </w:tc>
      </w:tr>
      <w:tr>
        <w:tc>
          <w:tcPr/>
          <w:p>
            <w:pPr>
              <w:pStyle w:val="Compact"/>
              <w:jc w:val="left"/>
            </w:pPr>
            <w:r>
              <w:t xml:space="preserve">Hungary</w:t>
            </w:r>
          </w:p>
        </w:tc>
        <w:tc>
          <w:tcPr/>
          <w:p>
            <w:pPr>
              <w:pStyle w:val="Compact"/>
              <w:jc w:val="left"/>
            </w:pPr>
            <w:r>
              <w:t xml:space="preserve">HUN</w:t>
            </w:r>
          </w:p>
        </w:tc>
        <w:tc>
          <w:tcPr/>
          <w:p>
            <w:pPr>
              <w:pStyle w:val="Compact"/>
              <w:jc w:val="left"/>
            </w:pPr>
            <w:r>
              <w:t xml:space="preserve">45.2</w:t>
            </w:r>
          </w:p>
        </w:tc>
        <w:tc>
          <w:tcPr/>
          <w:p>
            <w:pPr>
              <w:pStyle w:val="Compact"/>
              <w:jc w:val="left"/>
            </w:pPr>
            <w:r>
              <w:t xml:space="preserve">35.7</w:t>
            </w:r>
          </w:p>
        </w:tc>
        <w:tc>
          <w:tcPr/>
          <w:p>
            <w:pPr>
              <w:pStyle w:val="Compact"/>
              <w:jc w:val="left"/>
            </w:pPr>
            <w:r>
              <w:t xml:space="preserve">38.5</w:t>
            </w:r>
          </w:p>
        </w:tc>
      </w:tr>
      <w:tr>
        <w:tc>
          <w:tcPr/>
          <w:p>
            <w:pPr>
              <w:pStyle w:val="Compact"/>
              <w:jc w:val="left"/>
            </w:pPr>
            <w:r>
              <w:t xml:space="preserve">Ireland</w:t>
            </w:r>
          </w:p>
        </w:tc>
        <w:tc>
          <w:tcPr/>
          <w:p>
            <w:pPr>
              <w:pStyle w:val="Compact"/>
              <w:jc w:val="left"/>
            </w:pPr>
            <w:r>
              <w:t xml:space="preserve">IRL</w:t>
            </w:r>
          </w:p>
        </w:tc>
        <w:tc>
          <w:tcPr/>
          <w:p>
            <w:pPr>
              <w:pStyle w:val="Compact"/>
              <w:jc w:val="left"/>
            </w:pPr>
            <w:r>
              <w:t xml:space="preserve">43.4</w:t>
            </w:r>
          </w:p>
        </w:tc>
        <w:tc>
          <w:tcPr/>
          <w:p>
            <w:pPr>
              <w:pStyle w:val="Compact"/>
              <w:jc w:val="left"/>
            </w:pPr>
            <w:r>
              <w:t xml:space="preserve">74.8</w:t>
            </w:r>
          </w:p>
        </w:tc>
        <w:tc>
          <w:tcPr/>
          <w:p>
            <w:pPr>
              <w:pStyle w:val="Compact"/>
              <w:jc w:val="left"/>
            </w:pPr>
            <w:r>
              <w:t xml:space="preserve">70.0</w:t>
            </w:r>
          </w:p>
        </w:tc>
      </w:tr>
      <w:tr>
        <w:tc>
          <w:tcPr/>
          <w:p>
            <w:pPr>
              <w:pStyle w:val="Compact"/>
              <w:jc w:val="left"/>
            </w:pPr>
            <w:r>
              <w:t xml:space="preserve">Italy</w:t>
            </w:r>
          </w:p>
        </w:tc>
        <w:tc>
          <w:tcPr/>
          <w:p>
            <w:pPr>
              <w:pStyle w:val="Compact"/>
              <w:jc w:val="left"/>
            </w:pPr>
            <w:r>
              <w:t xml:space="preserve">ITA</w:t>
            </w:r>
          </w:p>
        </w:tc>
        <w:tc>
          <w:tcPr/>
          <w:p>
            <w:pPr>
              <w:pStyle w:val="Compact"/>
              <w:jc w:val="left"/>
            </w:pPr>
            <w:r>
              <w:t xml:space="preserve">68.6</w:t>
            </w:r>
          </w:p>
        </w:tc>
        <w:tc>
          <w:tcPr/>
          <w:p>
            <w:pPr>
              <w:pStyle w:val="Compact"/>
              <w:jc w:val="left"/>
            </w:pPr>
            <w:r>
              <w:t xml:space="preserve">33.9</w:t>
            </w:r>
          </w:p>
        </w:tc>
        <w:tc>
          <w:tcPr/>
          <w:p>
            <w:pPr>
              <w:pStyle w:val="Compact"/>
              <w:jc w:val="left"/>
            </w:pPr>
            <w:r>
              <w:t xml:space="preserve">55.0</w:t>
            </w:r>
          </w:p>
        </w:tc>
      </w:tr>
      <w:tr>
        <w:tc>
          <w:tcPr/>
          <w:p>
            <w:pPr>
              <w:pStyle w:val="Compact"/>
              <w:jc w:val="left"/>
            </w:pPr>
            <w:r>
              <w:t xml:space="preserve">Netherlands</w:t>
            </w:r>
          </w:p>
        </w:tc>
        <w:tc>
          <w:tcPr/>
          <w:p>
            <w:pPr>
              <w:pStyle w:val="Compact"/>
              <w:jc w:val="left"/>
            </w:pPr>
            <w:r>
              <w:t xml:space="preserve">NLD</w:t>
            </w:r>
          </w:p>
        </w:tc>
        <w:tc>
          <w:tcPr/>
          <w:p>
            <w:pPr>
              <w:pStyle w:val="Compact"/>
              <w:jc w:val="left"/>
            </w:pPr>
            <w:r>
              <w:t xml:space="preserve">33.8</w:t>
            </w:r>
          </w:p>
        </w:tc>
        <w:tc>
          <w:tcPr/>
          <w:p>
            <w:pPr>
              <w:pStyle w:val="Compact"/>
              <w:jc w:val="left"/>
            </w:pPr>
            <w:r>
              <w:t xml:space="preserve">33.7</w:t>
            </w:r>
          </w:p>
        </w:tc>
        <w:tc>
          <w:tcPr/>
          <w:p>
            <w:pPr>
              <w:pStyle w:val="Compact"/>
              <w:jc w:val="left"/>
            </w:pPr>
            <w:r>
              <w:t xml:space="preserve">29.2</w:t>
            </w:r>
          </w:p>
        </w:tc>
      </w:tr>
      <w:tr>
        <w:tc>
          <w:tcPr/>
          <w:p>
            <w:pPr>
              <w:pStyle w:val="Compact"/>
              <w:jc w:val="left"/>
            </w:pPr>
            <w:r>
              <w:t xml:space="preserve">Poland</w:t>
            </w:r>
          </w:p>
        </w:tc>
        <w:tc>
          <w:tcPr/>
          <w:p>
            <w:pPr>
              <w:pStyle w:val="Compact"/>
              <w:jc w:val="left"/>
            </w:pPr>
            <w:r>
              <w:t xml:space="preserve">POL</w:t>
            </w:r>
          </w:p>
        </w:tc>
        <w:tc>
          <w:tcPr/>
          <w:p>
            <w:pPr>
              <w:pStyle w:val="Compact"/>
              <w:jc w:val="left"/>
            </w:pPr>
            <w:r>
              <w:t xml:space="preserve">18.4</w:t>
            </w:r>
          </w:p>
        </w:tc>
        <w:tc>
          <w:tcPr/>
          <w:p>
            <w:pPr>
              <w:pStyle w:val="Compact"/>
              <w:jc w:val="left"/>
            </w:pPr>
            <w:r>
              <w:t xml:space="preserve">41.6</w:t>
            </w:r>
          </w:p>
        </w:tc>
        <w:tc>
          <w:tcPr/>
          <w:p>
            <w:pPr>
              <w:pStyle w:val="Compact"/>
              <w:jc w:val="left"/>
            </w:pPr>
            <w:r>
              <w:t xml:space="preserve">28.9</w:t>
            </w:r>
          </w:p>
        </w:tc>
      </w:tr>
      <w:tr>
        <w:tc>
          <w:tcPr/>
          <w:p>
            <w:pPr>
              <w:pStyle w:val="Compact"/>
              <w:jc w:val="left"/>
            </w:pPr>
            <w:r>
              <w:t xml:space="preserve">Portugal</w:t>
            </w:r>
          </w:p>
        </w:tc>
        <w:tc>
          <w:tcPr/>
          <w:p>
            <w:pPr>
              <w:pStyle w:val="Compact"/>
              <w:jc w:val="left"/>
            </w:pPr>
            <w:r>
              <w:t xml:space="preserve">PRT</w:t>
            </w:r>
          </w:p>
        </w:tc>
        <w:tc>
          <w:tcPr/>
          <w:p>
            <w:pPr>
              <w:pStyle w:val="Compact"/>
              <w:jc w:val="left"/>
            </w:pPr>
            <w:r>
              <w:t xml:space="preserve">41.7</w:t>
            </w:r>
          </w:p>
        </w:tc>
        <w:tc>
          <w:tcPr/>
          <w:p>
            <w:pPr>
              <w:pStyle w:val="Compact"/>
              <w:jc w:val="left"/>
            </w:pPr>
            <w:r>
              <w:t xml:space="preserve">51.4</w:t>
            </w:r>
          </w:p>
        </w:tc>
        <w:tc>
          <w:tcPr/>
          <w:p>
            <w:pPr>
              <w:pStyle w:val="Compact"/>
              <w:jc w:val="left"/>
            </w:pPr>
            <w:r>
              <w:t xml:space="preserve">63.1</w:t>
            </w:r>
          </w:p>
        </w:tc>
      </w:tr>
      <w:tr>
        <w:tc>
          <w:tcPr/>
          <w:p>
            <w:pPr>
              <w:pStyle w:val="Compact"/>
              <w:jc w:val="left"/>
            </w:pPr>
            <w:r>
              <w:t xml:space="preserve">Romania</w:t>
            </w:r>
          </w:p>
        </w:tc>
        <w:tc>
          <w:tcPr/>
          <w:p>
            <w:pPr>
              <w:pStyle w:val="Compact"/>
              <w:jc w:val="left"/>
            </w:pPr>
            <w:r>
              <w:t xml:space="preserve">ROU</w:t>
            </w:r>
          </w:p>
        </w:tc>
        <w:tc>
          <w:tcPr/>
          <w:p>
            <w:pPr>
              <w:pStyle w:val="Compact"/>
              <w:jc w:val="left"/>
            </w:pPr>
            <w:r>
              <w:t xml:space="preserve">82.7</w:t>
            </w:r>
          </w:p>
        </w:tc>
        <w:tc>
          <w:tcPr/>
          <w:p>
            <w:pPr>
              <w:pStyle w:val="Compact"/>
              <w:jc w:val="left"/>
            </w:pPr>
            <w:r>
              <w:t xml:space="preserve">50.6</w:t>
            </w:r>
          </w:p>
        </w:tc>
        <w:tc>
          <w:tcPr/>
          <w:p>
            <w:pPr>
              <w:pStyle w:val="Compact"/>
              <w:jc w:val="left"/>
            </w:pPr>
            <w:r>
              <w:t xml:space="preserve">63.5</w:t>
            </w:r>
          </w:p>
        </w:tc>
      </w:tr>
      <w:tr>
        <w:tc>
          <w:tcPr/>
          <w:p>
            <w:pPr>
              <w:pStyle w:val="Compact"/>
              <w:jc w:val="left"/>
            </w:pPr>
            <w:r>
              <w:t xml:space="preserve">Spain</w:t>
            </w:r>
          </w:p>
        </w:tc>
        <w:tc>
          <w:tcPr/>
          <w:p>
            <w:pPr>
              <w:pStyle w:val="Compact"/>
              <w:jc w:val="left"/>
            </w:pPr>
            <w:r>
              <w:t xml:space="preserve">ESP</w:t>
            </w:r>
          </w:p>
        </w:tc>
        <w:tc>
          <w:tcPr/>
          <w:p>
            <w:pPr>
              <w:pStyle w:val="Compact"/>
              <w:jc w:val="left"/>
            </w:pPr>
            <w:r>
              <w:t xml:space="preserve">6.8</w:t>
            </w:r>
          </w:p>
        </w:tc>
        <w:tc>
          <w:tcPr/>
          <w:p>
            <w:pPr>
              <w:pStyle w:val="Compact"/>
              <w:jc w:val="left"/>
            </w:pPr>
            <w:r>
              <w:t xml:space="preserve">28.5</w:t>
            </w:r>
          </w:p>
        </w:tc>
        <w:tc>
          <w:tcPr/>
          <w:p>
            <w:pPr>
              <w:pStyle w:val="Compact"/>
              <w:jc w:val="left"/>
            </w:pPr>
            <w:r>
              <w:t xml:space="preserve">47.1</w:t>
            </w:r>
          </w:p>
        </w:tc>
      </w:tr>
      <w:tr>
        <w:tc>
          <w:tcPr/>
          <w:p>
            <w:pPr>
              <w:pStyle w:val="Compact"/>
              <w:jc w:val="left"/>
            </w:pPr>
            <w:r>
              <w:t xml:space="preserve">Sweden</w:t>
            </w:r>
          </w:p>
        </w:tc>
        <w:tc>
          <w:tcPr/>
          <w:p>
            <w:pPr>
              <w:pStyle w:val="Compact"/>
              <w:jc w:val="left"/>
            </w:pPr>
            <w:r>
              <w:t xml:space="preserve">SWE</w:t>
            </w:r>
          </w:p>
        </w:tc>
        <w:tc>
          <w:tcPr/>
          <w:p>
            <w:pPr>
              <w:pStyle w:val="Compact"/>
              <w:jc w:val="left"/>
            </w:pPr>
            <w:r>
              <w:t xml:space="preserve">12.2</w:t>
            </w:r>
          </w:p>
        </w:tc>
        <w:tc>
          <w:tcPr/>
          <w:p>
            <w:pPr>
              <w:pStyle w:val="Compact"/>
              <w:jc w:val="left"/>
            </w:pPr>
            <w:r>
              <w:t xml:space="preserve">18.9</w:t>
            </w:r>
          </w:p>
        </w:tc>
        <w:tc>
          <w:tcPr/>
          <w:p>
            <w:pPr>
              <w:pStyle w:val="Compact"/>
              <w:jc w:val="left"/>
            </w:pPr>
            <w:r>
              <w:t xml:space="preserve">—</w:t>
            </w:r>
          </w:p>
        </w:tc>
      </w:tr>
    </w:tbl>
    <w:bookmarkEnd w:id="121"/>
    <w:bookmarkStart w:id="122" w:name="table-9.-m71-gva-and-sj1sj2-placebos"/>
    <w:p>
      <w:pPr>
        <w:pStyle w:val="Heading3"/>
      </w:pPr>
      <w:r>
        <w:t xml:space="preserve">Table 9. M71 GVA and SJ1/SJ2 placebos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r>
      <w:tr>
        <w:tc>
          <w:tcPr/>
          <w:p>
            <w:pPr>
              <w:pStyle w:val="Compact"/>
              <w:jc w:val="left"/>
            </w:pPr>
            <w:r>
              <w:t xml:space="preserve">(M71) log GVA Post × ΔM</w:t>
            </w:r>
          </w:p>
        </w:tc>
        <w:tc>
          <w:tcPr/>
          <w:p>
            <w:pPr>
              <w:pStyle w:val="Compact"/>
              <w:jc w:val="left"/>
            </w:pPr>
            <w:r>
              <w:t xml:space="preserve">-0.006 (0.005)</w:t>
            </w:r>
          </w:p>
        </w:tc>
        <w:tc>
          <w:tcPr/>
          <w:p>
            <w:pPr>
              <w:pStyle w:val="Compact"/>
              <w:jc w:val="left"/>
            </w:pPr>
            <w:r>
              <w:t xml:space="preserve">90</w:t>
            </w:r>
          </w:p>
        </w:tc>
      </w:tr>
      <w:tr>
        <w:tc>
          <w:tcPr/>
          <w:p>
            <w:pPr>
              <w:pStyle w:val="Compact"/>
              <w:jc w:val="left"/>
            </w:pPr>
            <w:r>
              <w:t xml:space="preserve">(F) log GVA Post × ΔM placebo</w:t>
            </w:r>
          </w:p>
        </w:tc>
        <w:tc>
          <w:tcPr/>
          <w:p>
            <w:pPr>
              <w:pStyle w:val="Compact"/>
              <w:jc w:val="left"/>
            </w:pPr>
            <w:r>
              <w:t xml:space="preserve">-0.008** (0.004)</w:t>
            </w:r>
          </w:p>
        </w:tc>
        <w:tc>
          <w:tcPr/>
          <w:p>
            <w:pPr>
              <w:pStyle w:val="Compact"/>
              <w:jc w:val="left"/>
            </w:pPr>
            <w:r>
              <w:t xml:space="preserve">96</w:t>
            </w:r>
          </w:p>
        </w:tc>
      </w:tr>
      <w:tr>
        <w:tc>
          <w:tcPr/>
          <w:p>
            <w:pPr>
              <w:pStyle w:val="Compact"/>
              <w:jc w:val="left"/>
            </w:pPr>
            <w:r>
              <w:t xml:space="preserve">(M71) time-varying M-AI 2021/23</w:t>
            </w:r>
          </w:p>
        </w:tc>
        <w:tc>
          <w:tcPr/>
          <w:p>
            <w:pPr>
              <w:pStyle w:val="Compact"/>
              <w:jc w:val="left"/>
            </w:pPr>
            <w:r>
              <w:t xml:space="preserve">0.000 (0.004)</w:t>
            </w:r>
          </w:p>
        </w:tc>
        <w:tc>
          <w:tcPr/>
          <w:p>
            <w:pPr>
              <w:pStyle w:val="Compact"/>
              <w:jc w:val="left"/>
            </w:pPr>
            <w:r>
              <w:t xml:space="preserve">32</w:t>
            </w:r>
          </w:p>
        </w:tc>
      </w:tr>
      <w:tr>
        <w:tc>
          <w:tcPr/>
          <w:p>
            <w:pPr>
              <w:pStyle w:val="Compact"/>
              <w:jc w:val="left"/>
            </w:pPr>
            <w:r>
              <w:t xml:space="preserve">(trade) SJ2 consulting placebo Post × ΔM</w:t>
            </w:r>
          </w:p>
        </w:tc>
        <w:tc>
          <w:tcPr/>
          <w:p>
            <w:pPr>
              <w:pStyle w:val="Compact"/>
              <w:jc w:val="left"/>
            </w:pPr>
            <w:r>
              <w:t xml:space="preserve">0.007 (0.007)</w:t>
            </w:r>
          </w:p>
        </w:tc>
        <w:tc>
          <w:tcPr/>
          <w:p>
            <w:pPr>
              <w:pStyle w:val="Compact"/>
              <w:jc w:val="left"/>
            </w:pPr>
            <w:r>
              <w:t xml:space="preserve">336</w:t>
            </w:r>
          </w:p>
        </w:tc>
      </w:tr>
      <w:tr>
        <w:tc>
          <w:tcPr/>
          <w:p>
            <w:pPr>
              <w:pStyle w:val="Compact"/>
              <w:jc w:val="left"/>
            </w:pPr>
            <w:r>
              <w:t xml:space="preserve">(trade) SJ1 R&amp;D placebo Post × ΔM</w:t>
            </w:r>
          </w:p>
        </w:tc>
        <w:tc>
          <w:tcPr/>
          <w:p>
            <w:pPr>
              <w:pStyle w:val="Compact"/>
              <w:jc w:val="left"/>
            </w:pPr>
            <w:r>
              <w:t xml:space="preserve">0.003 (0.009)</w:t>
            </w:r>
          </w:p>
        </w:tc>
        <w:tc>
          <w:tcPr/>
          <w:p>
            <w:pPr>
              <w:pStyle w:val="Compact"/>
              <w:jc w:val="left"/>
            </w:pPr>
            <w:r>
              <w:t xml:space="preserve">336</w:t>
            </w:r>
          </w:p>
        </w:tc>
      </w:tr>
    </w:tbl>
    <w:bookmarkEnd w:id="122"/>
    <w:bookmarkStart w:id="123" w:name="table-10.-leave-one-importer-out-post-δm"/>
    <w:p>
      <w:pPr>
        <w:pStyle w:val="Heading3"/>
      </w:pPr>
      <w:r>
        <w:t xml:space="preserve">Table 10. Leave-one-importer-out, Post × ΔM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dropped</w:t>
            </w:r>
          </w:p>
        </w:tc>
        <w:tc>
          <w:tcPr/>
          <w:p>
            <w:pPr>
              <w:pStyle w:val="Compact"/>
              <w:jc w:val="left"/>
            </w:pPr>
            <w:r>
              <w:t xml:space="preserve">country</w:t>
            </w:r>
          </w:p>
        </w:tc>
        <w:tc>
          <w:tcPr/>
          <w:p>
            <w:pPr>
              <w:pStyle w:val="Compact"/>
              <w:jc w:val="left"/>
            </w:pPr>
            <w:r>
              <w:t xml:space="preserve">display</w:t>
            </w:r>
          </w:p>
        </w:tc>
        <w:tc>
          <w:tcPr/>
          <w:p>
            <w:pPr>
              <w:pStyle w:val="Compact"/>
              <w:jc w:val="left"/>
            </w:pPr>
            <w:r>
              <w:t xml:space="preserve">n</w:t>
            </w:r>
          </w:p>
        </w:tc>
      </w:tr>
      <w:tr>
        <w:tc>
          <w:tcPr/>
          <w:p>
            <w:pPr>
              <w:pStyle w:val="Compact"/>
              <w:jc w:val="left"/>
            </w:pPr>
            <w:r>
              <w:t xml:space="preserve">AUT</w:t>
            </w:r>
          </w:p>
        </w:tc>
        <w:tc>
          <w:tcPr/>
          <w:p>
            <w:pPr>
              <w:pStyle w:val="Compact"/>
              <w:jc w:val="left"/>
            </w:pPr>
            <w:r>
              <w:t xml:space="preserve">Austria</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BEL</w:t>
            </w:r>
          </w:p>
        </w:tc>
        <w:tc>
          <w:tcPr/>
          <w:p>
            <w:pPr>
              <w:pStyle w:val="Compact"/>
              <w:jc w:val="left"/>
            </w:pPr>
            <w:r>
              <w:t xml:space="preserve">Belgium</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CZE</w:t>
            </w:r>
          </w:p>
        </w:tc>
        <w:tc>
          <w:tcPr/>
          <w:p>
            <w:pPr>
              <w:pStyle w:val="Compact"/>
              <w:jc w:val="left"/>
            </w:pPr>
            <w:r>
              <w:t xml:space="preserve">Czechia</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DEU</w:t>
            </w:r>
          </w:p>
        </w:tc>
        <w:tc>
          <w:tcPr/>
          <w:p>
            <w:pPr>
              <w:pStyle w:val="Compact"/>
              <w:jc w:val="left"/>
            </w:pPr>
            <w:r>
              <w:t xml:space="preserve">Germany</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DNK</w:t>
            </w:r>
          </w:p>
        </w:tc>
        <w:tc>
          <w:tcPr/>
          <w:p>
            <w:pPr>
              <w:pStyle w:val="Compact"/>
              <w:jc w:val="left"/>
            </w:pPr>
            <w:r>
              <w:t xml:space="preserve">Denmark</w:t>
            </w:r>
          </w:p>
        </w:tc>
        <w:tc>
          <w:tcPr/>
          <w:p>
            <w:pPr>
              <w:pStyle w:val="Compact"/>
              <w:jc w:val="left"/>
            </w:pPr>
            <w:r>
              <w:t xml:space="preserve">0.002 (0.006)</w:t>
            </w:r>
          </w:p>
        </w:tc>
        <w:tc>
          <w:tcPr/>
          <w:p>
            <w:pPr>
              <w:pStyle w:val="Compact"/>
              <w:jc w:val="left"/>
            </w:pPr>
            <w:r>
              <w:t xml:space="preserve">315</w:t>
            </w:r>
          </w:p>
        </w:tc>
      </w:tr>
      <w:tr>
        <w:tc>
          <w:tcPr/>
          <w:p>
            <w:pPr>
              <w:pStyle w:val="Compact"/>
              <w:jc w:val="left"/>
            </w:pPr>
            <w:r>
              <w:t xml:space="preserve">ESP</w:t>
            </w:r>
          </w:p>
        </w:tc>
        <w:tc>
          <w:tcPr/>
          <w:p>
            <w:pPr>
              <w:pStyle w:val="Compact"/>
              <w:jc w:val="left"/>
            </w:pPr>
            <w:r>
              <w:t xml:space="preserve">Spain</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FIN</w:t>
            </w:r>
          </w:p>
        </w:tc>
        <w:tc>
          <w:tcPr/>
          <w:p>
            <w:pPr>
              <w:pStyle w:val="Compact"/>
              <w:jc w:val="left"/>
            </w:pPr>
            <w:r>
              <w:t xml:space="preserve">Finland</w:t>
            </w:r>
          </w:p>
        </w:tc>
        <w:tc>
          <w:tcPr/>
          <w:p>
            <w:pPr>
              <w:pStyle w:val="Compact"/>
              <w:jc w:val="left"/>
            </w:pPr>
            <w:r>
              <w:t xml:space="preserve">-0.000 (0.005)</w:t>
            </w:r>
          </w:p>
        </w:tc>
        <w:tc>
          <w:tcPr/>
          <w:p>
            <w:pPr>
              <w:pStyle w:val="Compact"/>
              <w:jc w:val="left"/>
            </w:pPr>
            <w:r>
              <w:t xml:space="preserve">315</w:t>
            </w:r>
          </w:p>
        </w:tc>
      </w:tr>
      <w:tr>
        <w:tc>
          <w:tcPr/>
          <w:p>
            <w:pPr>
              <w:pStyle w:val="Compact"/>
              <w:jc w:val="left"/>
            </w:pPr>
            <w:r>
              <w:t xml:space="preserve">FRA</w:t>
            </w:r>
          </w:p>
        </w:tc>
        <w:tc>
          <w:tcPr/>
          <w:p>
            <w:pPr>
              <w:pStyle w:val="Compact"/>
              <w:jc w:val="left"/>
            </w:pPr>
            <w:r>
              <w:t xml:space="preserve">France</w:t>
            </w:r>
          </w:p>
        </w:tc>
        <w:tc>
          <w:tcPr/>
          <w:p>
            <w:pPr>
              <w:pStyle w:val="Compact"/>
              <w:jc w:val="left"/>
            </w:pPr>
            <w:r>
              <w:t xml:space="preserve">-0.002 (0.005)</w:t>
            </w:r>
          </w:p>
        </w:tc>
        <w:tc>
          <w:tcPr/>
          <w:p>
            <w:pPr>
              <w:pStyle w:val="Compact"/>
              <w:jc w:val="left"/>
            </w:pPr>
            <w:r>
              <w:t xml:space="preserve">315</w:t>
            </w:r>
          </w:p>
        </w:tc>
      </w:tr>
      <w:tr>
        <w:tc>
          <w:tcPr/>
          <w:p>
            <w:pPr>
              <w:pStyle w:val="Compact"/>
              <w:jc w:val="left"/>
            </w:pPr>
            <w:r>
              <w:t xml:space="preserve">GRC</w:t>
            </w:r>
          </w:p>
        </w:tc>
        <w:tc>
          <w:tcPr/>
          <w:p>
            <w:pPr>
              <w:pStyle w:val="Compact"/>
              <w:jc w:val="left"/>
            </w:pPr>
            <w:r>
              <w:t xml:space="preserve">Greece</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HUN</w:t>
            </w:r>
          </w:p>
        </w:tc>
        <w:tc>
          <w:tcPr/>
          <w:p>
            <w:pPr>
              <w:pStyle w:val="Compact"/>
              <w:jc w:val="left"/>
            </w:pPr>
            <w:r>
              <w:t xml:space="preserve">Hungary</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IRL</w:t>
            </w:r>
          </w:p>
        </w:tc>
        <w:tc>
          <w:tcPr/>
          <w:p>
            <w:pPr>
              <w:pStyle w:val="Compact"/>
              <w:jc w:val="left"/>
            </w:pPr>
            <w:r>
              <w:t xml:space="preserve">Ireland</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ITA</w:t>
            </w:r>
          </w:p>
        </w:tc>
        <w:tc>
          <w:tcPr/>
          <w:p>
            <w:pPr>
              <w:pStyle w:val="Compact"/>
              <w:jc w:val="left"/>
            </w:pPr>
            <w:r>
              <w:t xml:space="preserve">Italy</w:t>
            </w:r>
          </w:p>
        </w:tc>
        <w:tc>
          <w:tcPr/>
          <w:p>
            <w:pPr>
              <w:pStyle w:val="Compact"/>
              <w:jc w:val="left"/>
            </w:pPr>
            <w:r>
              <w:t xml:space="preserve">0.000 (0.006)</w:t>
            </w:r>
          </w:p>
        </w:tc>
        <w:tc>
          <w:tcPr/>
          <w:p>
            <w:pPr>
              <w:pStyle w:val="Compact"/>
              <w:jc w:val="left"/>
            </w:pPr>
            <w:r>
              <w:t xml:space="preserve">315</w:t>
            </w:r>
          </w:p>
        </w:tc>
      </w:tr>
      <w:tr>
        <w:tc>
          <w:tcPr/>
          <w:p>
            <w:pPr>
              <w:pStyle w:val="Compact"/>
              <w:jc w:val="left"/>
            </w:pPr>
            <w:r>
              <w:t xml:space="preserve">NLD</w:t>
            </w:r>
          </w:p>
        </w:tc>
        <w:tc>
          <w:tcPr/>
          <w:p>
            <w:pPr>
              <w:pStyle w:val="Compact"/>
              <w:jc w:val="left"/>
            </w:pPr>
            <w:r>
              <w:t xml:space="preserve">Netherlands</w:t>
            </w:r>
          </w:p>
        </w:tc>
        <w:tc>
          <w:tcPr/>
          <w:p>
            <w:pPr>
              <w:pStyle w:val="Compact"/>
              <w:jc w:val="left"/>
            </w:pPr>
            <w:r>
              <w:t xml:space="preserve">-0.001 (0.005)</w:t>
            </w:r>
          </w:p>
        </w:tc>
        <w:tc>
          <w:tcPr/>
          <w:p>
            <w:pPr>
              <w:pStyle w:val="Compact"/>
              <w:jc w:val="left"/>
            </w:pPr>
            <w:r>
              <w:t xml:space="preserve">315</w:t>
            </w:r>
          </w:p>
        </w:tc>
      </w:tr>
      <w:tr>
        <w:tc>
          <w:tcPr/>
          <w:p>
            <w:pPr>
              <w:pStyle w:val="Compact"/>
              <w:jc w:val="left"/>
            </w:pPr>
            <w:r>
              <w:t xml:space="preserve">POL</w:t>
            </w:r>
          </w:p>
        </w:tc>
        <w:tc>
          <w:tcPr/>
          <w:p>
            <w:pPr>
              <w:pStyle w:val="Compact"/>
              <w:jc w:val="left"/>
            </w:pPr>
            <w:r>
              <w:t xml:space="preserve">Poland</w:t>
            </w:r>
          </w:p>
        </w:tc>
        <w:tc>
          <w:tcPr/>
          <w:p>
            <w:pPr>
              <w:pStyle w:val="Compact"/>
              <w:jc w:val="left"/>
            </w:pPr>
            <w:r>
              <w:t xml:space="preserve">0.001 (0.006)</w:t>
            </w:r>
          </w:p>
        </w:tc>
        <w:tc>
          <w:tcPr/>
          <w:p>
            <w:pPr>
              <w:pStyle w:val="Compact"/>
              <w:jc w:val="left"/>
            </w:pPr>
            <w:r>
              <w:t xml:space="preserve">315</w:t>
            </w:r>
          </w:p>
        </w:tc>
      </w:tr>
      <w:tr>
        <w:tc>
          <w:tcPr/>
          <w:p>
            <w:pPr>
              <w:pStyle w:val="Compact"/>
              <w:jc w:val="left"/>
            </w:pPr>
            <w:r>
              <w:t xml:space="preserve">PRT</w:t>
            </w:r>
          </w:p>
        </w:tc>
        <w:tc>
          <w:tcPr/>
          <w:p>
            <w:pPr>
              <w:pStyle w:val="Compact"/>
              <w:jc w:val="left"/>
            </w:pPr>
            <w:r>
              <w:t xml:space="preserve">Portugal</w:t>
            </w:r>
          </w:p>
        </w:tc>
        <w:tc>
          <w:tcPr/>
          <w:p>
            <w:pPr>
              <w:pStyle w:val="Compact"/>
              <w:jc w:val="left"/>
            </w:pPr>
            <w:r>
              <w:t xml:space="preserve">0.000 (0.006)</w:t>
            </w:r>
          </w:p>
        </w:tc>
        <w:tc>
          <w:tcPr/>
          <w:p>
            <w:pPr>
              <w:pStyle w:val="Compact"/>
              <w:jc w:val="left"/>
            </w:pPr>
            <w:r>
              <w:t xml:space="preserve">336</w:t>
            </w:r>
          </w:p>
        </w:tc>
      </w:tr>
      <w:tr>
        <w:tc>
          <w:tcPr/>
          <w:p>
            <w:pPr>
              <w:pStyle w:val="Compact"/>
              <w:jc w:val="left"/>
            </w:pPr>
            <w:r>
              <w:t xml:space="preserve">ROU</w:t>
            </w:r>
          </w:p>
        </w:tc>
        <w:tc>
          <w:tcPr/>
          <w:p>
            <w:pPr>
              <w:pStyle w:val="Compact"/>
              <w:jc w:val="left"/>
            </w:pPr>
            <w:r>
              <w:t xml:space="preserve">Romania</w:t>
            </w:r>
          </w:p>
        </w:tc>
        <w:tc>
          <w:tcPr/>
          <w:p>
            <w:pPr>
              <w:pStyle w:val="Compact"/>
              <w:jc w:val="left"/>
            </w:pPr>
            <w:r>
              <w:t xml:space="preserve">-0.002 (0.005)</w:t>
            </w:r>
          </w:p>
        </w:tc>
        <w:tc>
          <w:tcPr/>
          <w:p>
            <w:pPr>
              <w:pStyle w:val="Compact"/>
              <w:jc w:val="left"/>
            </w:pPr>
            <w:r>
              <w:t xml:space="preserve">315</w:t>
            </w:r>
          </w:p>
        </w:tc>
      </w:tr>
      <w:tr>
        <w:tc>
          <w:tcPr/>
          <w:p>
            <w:pPr>
              <w:pStyle w:val="Compact"/>
              <w:jc w:val="left"/>
            </w:pPr>
            <w:r>
              <w:t xml:space="preserve">SWE</w:t>
            </w:r>
          </w:p>
        </w:tc>
        <w:tc>
          <w:tcPr/>
          <w:p>
            <w:pPr>
              <w:pStyle w:val="Compact"/>
              <w:jc w:val="left"/>
            </w:pPr>
            <w:r>
              <w:t xml:space="preserve">Sweden</w:t>
            </w:r>
          </w:p>
        </w:tc>
        <w:tc>
          <w:tcPr/>
          <w:p>
            <w:pPr>
              <w:pStyle w:val="Compact"/>
              <w:jc w:val="left"/>
            </w:pPr>
            <w:r>
              <w:t xml:space="preserve">0.010* (0.006)</w:t>
            </w:r>
          </w:p>
        </w:tc>
        <w:tc>
          <w:tcPr/>
          <w:p>
            <w:pPr>
              <w:pStyle w:val="Compact"/>
              <w:jc w:val="left"/>
            </w:pPr>
            <w:r>
              <w:t xml:space="preserve">315</w:t>
            </w:r>
          </w:p>
        </w:tc>
      </w:tr>
    </w:tbl>
    <w:bookmarkEnd w:id="123"/>
    <w:bookmarkStart w:id="124" w:name="Xe51a387100f1ea790f0634bdef243e2b3b44860"/>
    <w:p>
      <w:pPr>
        <w:pStyle w:val="Heading3"/>
      </w:pPr>
      <w:r>
        <w:t xml:space="preserve">Table 11. Importer AI intensity (Eurostat pp)</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iso3</w:t>
            </w:r>
          </w:p>
        </w:tc>
        <w:tc>
          <w:tcPr/>
          <w:p>
            <w:pPr>
              <w:pStyle w:val="Compact"/>
              <w:jc w:val="left"/>
            </w:pPr>
            <w:r>
              <w:t xml:space="preserve">ai_M_2024</w:t>
            </w:r>
          </w:p>
        </w:tc>
        <w:tc>
          <w:tcPr/>
          <w:p>
            <w:pPr>
              <w:pStyle w:val="Compact"/>
              <w:jc w:val="left"/>
            </w:pPr>
            <w:r>
              <w:t xml:space="preserve">ai_F_2024</w:t>
            </w:r>
          </w:p>
        </w:tc>
        <w:tc>
          <w:tcPr/>
          <w:p>
            <w:pPr>
              <w:pStyle w:val="Compact"/>
              <w:jc w:val="left"/>
            </w:pPr>
            <w:r>
              <w:t xml:space="preserve">ai_M_2021</w:t>
            </w:r>
          </w:p>
        </w:tc>
        <w:tc>
          <w:tcPr/>
          <w:p>
            <w:pPr>
              <w:pStyle w:val="Compact"/>
              <w:jc w:val="left"/>
            </w:pPr>
            <w:r>
              <w:t xml:space="preserve">ai_F_2021</w:t>
            </w:r>
          </w:p>
        </w:tc>
        <w:tc>
          <w:tcPr/>
          <w:p>
            <w:pPr>
              <w:pStyle w:val="Compact"/>
              <w:jc w:val="left"/>
            </w:pPr>
            <w:r>
              <w:t xml:space="preserve">dM</w:t>
            </w:r>
          </w:p>
        </w:tc>
        <w:tc>
          <w:tcPr/>
          <w:p>
            <w:pPr>
              <w:pStyle w:val="Compact"/>
              <w:jc w:val="left"/>
            </w:pPr>
            <w:r>
              <w:t xml:space="preserve">dF</w:t>
            </w:r>
          </w:p>
        </w:tc>
        <w:tc>
          <w:tcPr/>
          <w:p>
            <w:pPr>
              <w:pStyle w:val="Compact"/>
              <w:jc w:val="left"/>
            </w:pPr>
            <w:r>
              <w:t xml:space="preserve">gap24</w:t>
            </w:r>
          </w:p>
        </w:tc>
        <w:tc>
          <w:tcPr/>
          <w:p>
            <w:pPr>
              <w:pStyle w:val="Compact"/>
              <w:jc w:val="left"/>
            </w:pPr>
            <w:r>
              <w:t xml:space="preserve">country</w:t>
            </w:r>
          </w:p>
        </w:tc>
      </w:tr>
      <w:tr>
        <w:tc>
          <w:tcPr/>
          <w:p>
            <w:pPr>
              <w:pStyle w:val="Compact"/>
              <w:jc w:val="left"/>
            </w:pPr>
            <w:r>
              <w:t xml:space="preserve">AUT</w:t>
            </w:r>
          </w:p>
        </w:tc>
        <w:tc>
          <w:tcPr/>
          <w:p>
            <w:pPr>
              <w:pStyle w:val="Compact"/>
              <w:jc w:val="left"/>
            </w:pPr>
            <w:r>
              <w:t xml:space="preserve">39.59</w:t>
            </w:r>
          </w:p>
        </w:tc>
        <w:tc>
          <w:tcPr/>
          <w:p>
            <w:pPr>
              <w:pStyle w:val="Compact"/>
              <w:jc w:val="left"/>
            </w:pPr>
            <w:r>
              <w:t xml:space="preserve">7.35</w:t>
            </w:r>
          </w:p>
        </w:tc>
        <w:tc>
          <w:tcPr/>
          <w:p>
            <w:pPr>
              <w:pStyle w:val="Compact"/>
              <w:jc w:val="left"/>
            </w:pPr>
            <w:r>
              <w:t xml:space="preserve">20.93</w:t>
            </w:r>
          </w:p>
        </w:tc>
        <w:tc>
          <w:tcPr/>
          <w:p>
            <w:pPr>
              <w:pStyle w:val="Compact"/>
              <w:jc w:val="left"/>
            </w:pPr>
            <w:r>
              <w:t xml:space="preserve">3.12</w:t>
            </w:r>
          </w:p>
        </w:tc>
        <w:tc>
          <w:tcPr/>
          <w:p>
            <w:pPr>
              <w:pStyle w:val="Compact"/>
              <w:jc w:val="left"/>
            </w:pPr>
            <w:r>
              <w:t xml:space="preserve">18.66</w:t>
            </w:r>
          </w:p>
        </w:tc>
        <w:tc>
          <w:tcPr/>
          <w:p>
            <w:pPr>
              <w:pStyle w:val="Compact"/>
              <w:jc w:val="left"/>
            </w:pPr>
            <w:r>
              <w:t xml:space="preserve">4.23</w:t>
            </w:r>
          </w:p>
        </w:tc>
        <w:tc>
          <w:tcPr/>
          <w:p>
            <w:pPr>
              <w:pStyle w:val="Compact"/>
              <w:jc w:val="left"/>
            </w:pPr>
            <w:r>
              <w:t xml:space="preserve">32.24</w:t>
            </w:r>
          </w:p>
        </w:tc>
        <w:tc>
          <w:tcPr/>
          <w:p>
            <w:pPr>
              <w:pStyle w:val="Compact"/>
              <w:jc w:val="left"/>
            </w:pPr>
            <w:r>
              <w:t xml:space="preserve">Austria</w:t>
            </w:r>
          </w:p>
        </w:tc>
      </w:tr>
      <w:tr>
        <w:tc>
          <w:tcPr/>
          <w:p>
            <w:pPr>
              <w:pStyle w:val="Compact"/>
              <w:jc w:val="left"/>
            </w:pPr>
            <w:r>
              <w:t xml:space="preserve">BEL</w:t>
            </w:r>
          </w:p>
        </w:tc>
        <w:tc>
          <w:tcPr/>
          <w:p>
            <w:pPr>
              <w:pStyle w:val="Compact"/>
              <w:jc w:val="left"/>
            </w:pPr>
            <w:r>
              <w:t xml:space="preserve">42.92</w:t>
            </w:r>
          </w:p>
        </w:tc>
        <w:tc>
          <w:tcPr/>
          <w:p>
            <w:pPr>
              <w:pStyle w:val="Compact"/>
              <w:jc w:val="left"/>
            </w:pPr>
            <w:r>
              <w:t xml:space="preserve">11.08</w:t>
            </w:r>
          </w:p>
        </w:tc>
        <w:tc>
          <w:tcPr/>
          <w:p>
            <w:pPr>
              <w:pStyle w:val="Compact"/>
              <w:jc w:val="left"/>
            </w:pPr>
            <w:r>
              <w:t xml:space="preserve">20.24</w:t>
            </w:r>
          </w:p>
        </w:tc>
        <w:tc>
          <w:tcPr/>
          <w:p>
            <w:pPr>
              <w:pStyle w:val="Compact"/>
              <w:jc w:val="left"/>
            </w:pPr>
            <w:r>
              <w:t xml:space="preserve">8.3</w:t>
            </w:r>
          </w:p>
        </w:tc>
        <w:tc>
          <w:tcPr/>
          <w:p>
            <w:pPr>
              <w:pStyle w:val="Compact"/>
              <w:jc w:val="left"/>
            </w:pPr>
            <w:r>
              <w:t xml:space="preserve">22.68</w:t>
            </w:r>
          </w:p>
        </w:tc>
        <w:tc>
          <w:tcPr/>
          <w:p>
            <w:pPr>
              <w:pStyle w:val="Compact"/>
              <w:jc w:val="left"/>
            </w:pPr>
            <w:r>
              <w:t xml:space="preserve">2.78</w:t>
            </w:r>
          </w:p>
        </w:tc>
        <w:tc>
          <w:tcPr/>
          <w:p>
            <w:pPr>
              <w:pStyle w:val="Compact"/>
              <w:jc w:val="left"/>
            </w:pPr>
            <w:r>
              <w:t xml:space="preserve">31.84</w:t>
            </w:r>
          </w:p>
        </w:tc>
        <w:tc>
          <w:tcPr/>
          <w:p>
            <w:pPr>
              <w:pStyle w:val="Compact"/>
              <w:jc w:val="left"/>
            </w:pPr>
            <w:r>
              <w:t xml:space="preserve">Belgium</w:t>
            </w:r>
          </w:p>
        </w:tc>
      </w:tr>
      <w:tr>
        <w:tc>
          <w:tcPr/>
          <w:p>
            <w:pPr>
              <w:pStyle w:val="Compact"/>
              <w:jc w:val="left"/>
            </w:pPr>
            <w:r>
              <w:t xml:space="preserve">CZE</w:t>
            </w:r>
          </w:p>
        </w:tc>
        <w:tc>
          <w:tcPr/>
          <w:p>
            <w:pPr>
              <w:pStyle w:val="Compact"/>
              <w:jc w:val="left"/>
            </w:pPr>
            <w:r>
              <w:t xml:space="preserve">22.09</w:t>
            </w:r>
          </w:p>
        </w:tc>
        <w:tc>
          <w:tcPr/>
          <w:p>
            <w:pPr>
              <w:pStyle w:val="Compact"/>
              <w:jc w:val="left"/>
            </w:pPr>
            <w:r>
              <w:t xml:space="preserve">2.35</w:t>
            </w:r>
          </w:p>
        </w:tc>
        <w:tc>
          <w:tcPr/>
          <w:p>
            <w:pPr>
              <w:pStyle w:val="Compact"/>
              <w:jc w:val="left"/>
            </w:pPr>
            <w:r>
              <w:t xml:space="preserve">9.28</w:t>
            </w:r>
          </w:p>
        </w:tc>
        <w:tc>
          <w:tcPr/>
          <w:p>
            <w:pPr>
              <w:pStyle w:val="Compact"/>
              <w:jc w:val="left"/>
            </w:pPr>
            <w:r>
              <w:t xml:space="preserve">0.35</w:t>
            </w:r>
          </w:p>
        </w:tc>
        <w:tc>
          <w:tcPr/>
          <w:p>
            <w:pPr>
              <w:pStyle w:val="Compact"/>
              <w:jc w:val="left"/>
            </w:pPr>
            <w:r>
              <w:t xml:space="preserve">12.81</w:t>
            </w:r>
          </w:p>
        </w:tc>
        <w:tc>
          <w:tcPr/>
          <w:p>
            <w:pPr>
              <w:pStyle w:val="Compact"/>
              <w:jc w:val="left"/>
            </w:pPr>
            <w:r>
              <w:t xml:space="preserve">2.0</w:t>
            </w:r>
          </w:p>
        </w:tc>
        <w:tc>
          <w:tcPr/>
          <w:p>
            <w:pPr>
              <w:pStyle w:val="Compact"/>
              <w:jc w:val="left"/>
            </w:pPr>
            <w:r>
              <w:t xml:space="preserve">19.74</w:t>
            </w:r>
          </w:p>
        </w:tc>
        <w:tc>
          <w:tcPr/>
          <w:p>
            <w:pPr>
              <w:pStyle w:val="Compact"/>
              <w:jc w:val="left"/>
            </w:pPr>
            <w:r>
              <w:t xml:space="preserve">Czechia</w:t>
            </w:r>
          </w:p>
        </w:tc>
      </w:tr>
      <w:tr>
        <w:tc>
          <w:tcPr/>
          <w:p>
            <w:pPr>
              <w:pStyle w:val="Compact"/>
              <w:jc w:val="left"/>
            </w:pPr>
            <w:r>
              <w:t xml:space="preserve">DEU</w:t>
            </w:r>
          </w:p>
        </w:tc>
        <w:tc>
          <w:tcPr/>
          <w:p>
            <w:pPr>
              <w:pStyle w:val="Compact"/>
              <w:jc w:val="left"/>
            </w:pPr>
            <w:r>
              <w:t xml:space="preserve">42.29</w:t>
            </w:r>
          </w:p>
        </w:tc>
        <w:tc>
          <w:tcPr/>
          <w:p>
            <w:pPr>
              <w:pStyle w:val="Compact"/>
              <w:jc w:val="left"/>
            </w:pPr>
            <w:r>
              <w:t xml:space="preserve">10.01</w:t>
            </w:r>
          </w:p>
        </w:tc>
        <w:tc>
          <w:tcPr/>
          <w:p>
            <w:pPr>
              <w:pStyle w:val="Compact"/>
              <w:jc w:val="left"/>
            </w:pPr>
            <w:r>
              <w:t xml:space="preserve">25.54</w:t>
            </w:r>
          </w:p>
        </w:tc>
        <w:tc>
          <w:tcPr/>
          <w:p>
            <w:pPr>
              <w:pStyle w:val="Compact"/>
              <w:jc w:val="left"/>
            </w:pPr>
            <w:r>
              <w:t xml:space="preserve">8.29</w:t>
            </w:r>
          </w:p>
        </w:tc>
        <w:tc>
          <w:tcPr/>
          <w:p>
            <w:pPr>
              <w:pStyle w:val="Compact"/>
              <w:jc w:val="left"/>
            </w:pPr>
            <w:r>
              <w:t xml:space="preserve">16.75</w:t>
            </w:r>
          </w:p>
        </w:tc>
        <w:tc>
          <w:tcPr/>
          <w:p>
            <w:pPr>
              <w:pStyle w:val="Compact"/>
              <w:jc w:val="left"/>
            </w:pPr>
            <w:r>
              <w:t xml:space="preserve">1.72</w:t>
            </w:r>
          </w:p>
        </w:tc>
        <w:tc>
          <w:tcPr/>
          <w:p>
            <w:pPr>
              <w:pStyle w:val="Compact"/>
              <w:jc w:val="left"/>
            </w:pPr>
            <w:r>
              <w:t xml:space="preserve">32.28</w:t>
            </w:r>
          </w:p>
        </w:tc>
        <w:tc>
          <w:tcPr/>
          <w:p>
            <w:pPr>
              <w:pStyle w:val="Compact"/>
              <w:jc w:val="left"/>
            </w:pPr>
            <w:r>
              <w:t xml:space="preserve">Germany</w:t>
            </w:r>
          </w:p>
        </w:tc>
      </w:tr>
      <w:tr>
        <w:tc>
          <w:tcPr/>
          <w:p>
            <w:pPr>
              <w:pStyle w:val="Compact"/>
              <w:jc w:val="left"/>
            </w:pPr>
            <w:r>
              <w:t xml:space="preserve">DNK</w:t>
            </w:r>
          </w:p>
        </w:tc>
        <w:tc>
          <w:tcPr/>
          <w:p>
            <w:pPr>
              <w:pStyle w:val="Compact"/>
              <w:jc w:val="left"/>
            </w:pPr>
            <w:r>
              <w:t xml:space="preserve">44.9</w:t>
            </w:r>
          </w:p>
        </w:tc>
        <w:tc>
          <w:tcPr/>
          <w:p>
            <w:pPr>
              <w:pStyle w:val="Compact"/>
              <w:jc w:val="left"/>
            </w:pPr>
            <w:r>
              <w:t xml:space="preserve">11.7</w:t>
            </w:r>
          </w:p>
        </w:tc>
        <w:tc>
          <w:tcPr/>
          <w:p>
            <w:pPr>
              <w:pStyle w:val="Compact"/>
              <w:jc w:val="left"/>
            </w:pPr>
            <w:r>
              <w:t xml:space="preserve">39.22</w:t>
            </w:r>
          </w:p>
        </w:tc>
        <w:tc>
          <w:tcPr/>
          <w:p>
            <w:pPr>
              <w:pStyle w:val="Compact"/>
              <w:jc w:val="left"/>
            </w:pPr>
            <w:r>
              <w:t xml:space="preserve">8.87</w:t>
            </w:r>
          </w:p>
        </w:tc>
        <w:tc>
          <w:tcPr/>
          <w:p>
            <w:pPr>
              <w:pStyle w:val="Compact"/>
              <w:jc w:val="left"/>
            </w:pPr>
            <w:r>
              <w:t xml:space="preserve">5.68</w:t>
            </w:r>
          </w:p>
        </w:tc>
        <w:tc>
          <w:tcPr/>
          <w:p>
            <w:pPr>
              <w:pStyle w:val="Compact"/>
              <w:jc w:val="left"/>
            </w:pPr>
            <w:r>
              <w:t xml:space="preserve">2.83</w:t>
            </w:r>
          </w:p>
        </w:tc>
        <w:tc>
          <w:tcPr/>
          <w:p>
            <w:pPr>
              <w:pStyle w:val="Compact"/>
              <w:jc w:val="left"/>
            </w:pPr>
            <w:r>
              <w:t xml:space="preserve">33.2</w:t>
            </w:r>
          </w:p>
        </w:tc>
        <w:tc>
          <w:tcPr/>
          <w:p>
            <w:pPr>
              <w:pStyle w:val="Compact"/>
              <w:jc w:val="left"/>
            </w:pPr>
            <w:r>
              <w:t xml:space="preserve">Denmark</w:t>
            </w:r>
          </w:p>
        </w:tc>
      </w:tr>
      <w:tr>
        <w:tc>
          <w:tcPr/>
          <w:p>
            <w:pPr>
              <w:pStyle w:val="Compact"/>
              <w:jc w:val="left"/>
            </w:pPr>
            <w:r>
              <w:t xml:space="preserve">ESP</w:t>
            </w:r>
          </w:p>
        </w:tc>
        <w:tc>
          <w:tcPr/>
          <w:p>
            <w:pPr>
              <w:pStyle w:val="Compact"/>
              <w:jc w:val="left"/>
            </w:pPr>
            <w:r>
              <w:t xml:space="preserve">26.07</w:t>
            </w:r>
          </w:p>
        </w:tc>
        <w:tc>
          <w:tcPr/>
          <w:p>
            <w:pPr>
              <w:pStyle w:val="Compact"/>
              <w:jc w:val="left"/>
            </w:pPr>
            <w:r>
              <w:t xml:space="preserve">4.43</w:t>
            </w:r>
          </w:p>
        </w:tc>
        <w:tc>
          <w:tcPr/>
          <w:p>
            <w:pPr>
              <w:pStyle w:val="Compact"/>
              <w:jc w:val="left"/>
            </w:pPr>
            <w:r>
              <w:t xml:space="preserve">13.72</w:t>
            </w:r>
          </w:p>
        </w:tc>
        <w:tc>
          <w:tcPr/>
          <w:p>
            <w:pPr>
              <w:pStyle w:val="Compact"/>
              <w:jc w:val="left"/>
            </w:pPr>
            <w:r>
              <w:t xml:space="preserve">3.77</w:t>
            </w:r>
          </w:p>
        </w:tc>
        <w:tc>
          <w:tcPr/>
          <w:p>
            <w:pPr>
              <w:pStyle w:val="Compact"/>
              <w:jc w:val="left"/>
            </w:pPr>
            <w:r>
              <w:t xml:space="preserve">12.35</w:t>
            </w:r>
          </w:p>
        </w:tc>
        <w:tc>
          <w:tcPr/>
          <w:p>
            <w:pPr>
              <w:pStyle w:val="Compact"/>
              <w:jc w:val="left"/>
            </w:pPr>
            <w:r>
              <w:t xml:space="preserve">0.66</w:t>
            </w:r>
          </w:p>
        </w:tc>
        <w:tc>
          <w:tcPr/>
          <w:p>
            <w:pPr>
              <w:pStyle w:val="Compact"/>
              <w:jc w:val="left"/>
            </w:pPr>
            <w:r>
              <w:t xml:space="preserve">21.64</w:t>
            </w:r>
          </w:p>
        </w:tc>
        <w:tc>
          <w:tcPr/>
          <w:p>
            <w:pPr>
              <w:pStyle w:val="Compact"/>
              <w:jc w:val="left"/>
            </w:pPr>
            <w:r>
              <w:t xml:space="preserve">Spain</w:t>
            </w:r>
          </w:p>
        </w:tc>
      </w:tr>
      <w:tr>
        <w:tc>
          <w:tcPr/>
          <w:p>
            <w:pPr>
              <w:pStyle w:val="Compact"/>
              <w:jc w:val="left"/>
            </w:pPr>
            <w:r>
              <w:t xml:space="preserve">FIN</w:t>
            </w:r>
          </w:p>
        </w:tc>
        <w:tc>
          <w:tcPr/>
          <w:p>
            <w:pPr>
              <w:pStyle w:val="Compact"/>
              <w:jc w:val="left"/>
            </w:pPr>
            <w:r>
              <w:t xml:space="preserve">48.46</w:t>
            </w:r>
          </w:p>
        </w:tc>
        <w:tc>
          <w:tcPr/>
          <w:p>
            <w:pPr>
              <w:pStyle w:val="Compact"/>
              <w:jc w:val="left"/>
            </w:pPr>
            <w:r>
              <w:t xml:space="preserve">11.26</w:t>
            </w:r>
          </w:p>
        </w:tc>
        <w:tc>
          <w:tcPr/>
          <w:p>
            <w:pPr>
              <w:pStyle w:val="Compact"/>
              <w:jc w:val="left"/>
            </w:pPr>
            <w:r>
              <w:t xml:space="preserve">29.63</w:t>
            </w:r>
          </w:p>
        </w:tc>
        <w:tc>
          <w:tcPr/>
          <w:p>
            <w:pPr>
              <w:pStyle w:val="Compact"/>
              <w:jc w:val="left"/>
            </w:pPr>
            <w:r>
              <w:t xml:space="preserve">9.39</w:t>
            </w:r>
          </w:p>
        </w:tc>
        <w:tc>
          <w:tcPr/>
          <w:p>
            <w:pPr>
              <w:pStyle w:val="Compact"/>
              <w:jc w:val="left"/>
            </w:pPr>
            <w:r>
              <w:t xml:space="preserve">18.83</w:t>
            </w:r>
          </w:p>
        </w:tc>
        <w:tc>
          <w:tcPr/>
          <w:p>
            <w:pPr>
              <w:pStyle w:val="Compact"/>
              <w:jc w:val="left"/>
            </w:pPr>
            <w:r>
              <w:t xml:space="preserve">1.87</w:t>
            </w:r>
          </w:p>
        </w:tc>
        <w:tc>
          <w:tcPr/>
          <w:p>
            <w:pPr>
              <w:pStyle w:val="Compact"/>
              <w:jc w:val="left"/>
            </w:pPr>
            <w:r>
              <w:t xml:space="preserve">37.2</w:t>
            </w:r>
          </w:p>
        </w:tc>
        <w:tc>
          <w:tcPr/>
          <w:p>
            <w:pPr>
              <w:pStyle w:val="Compact"/>
              <w:jc w:val="left"/>
            </w:pPr>
            <w:r>
              <w:t xml:space="preserve">Finland</w:t>
            </w:r>
          </w:p>
        </w:tc>
      </w:tr>
      <w:tr>
        <w:tc>
          <w:tcPr/>
          <w:p>
            <w:pPr>
              <w:pStyle w:val="Compact"/>
              <w:jc w:val="left"/>
            </w:pPr>
            <w:r>
              <w:t xml:space="preserve">FRA</w:t>
            </w:r>
          </w:p>
        </w:tc>
        <w:tc>
          <w:tcPr/>
          <w:p>
            <w:pPr>
              <w:pStyle w:val="Compact"/>
              <w:jc w:val="left"/>
            </w:pPr>
            <w:r>
              <w:t xml:space="preserve">17.47</w:t>
            </w:r>
          </w:p>
        </w:tc>
        <w:tc>
          <w:tcPr/>
          <w:p>
            <w:pPr>
              <w:pStyle w:val="Compact"/>
              <w:jc w:val="left"/>
            </w:pPr>
            <w:r>
              <w:t xml:space="preserve">3.14</w:t>
            </w:r>
          </w:p>
        </w:tc>
        <w:tc>
          <w:tcPr/>
          <w:p>
            <w:pPr>
              <w:pStyle w:val="Compact"/>
              <w:jc w:val="left"/>
            </w:pPr>
            <w:r>
              <w:t xml:space="preserve">15.23</w:t>
            </w:r>
          </w:p>
        </w:tc>
        <w:tc>
          <w:tcPr/>
          <w:p>
            <w:pPr>
              <w:pStyle w:val="Compact"/>
              <w:jc w:val="left"/>
            </w:pPr>
            <w:r>
              <w:t xml:space="preserve">4.09</w:t>
            </w:r>
          </w:p>
        </w:tc>
        <w:tc>
          <w:tcPr/>
          <w:p>
            <w:pPr>
              <w:pStyle w:val="Compact"/>
              <w:jc w:val="left"/>
            </w:pPr>
            <w:r>
              <w:t xml:space="preserve">2.24</w:t>
            </w:r>
          </w:p>
        </w:tc>
        <w:tc>
          <w:tcPr/>
          <w:p>
            <w:pPr>
              <w:pStyle w:val="Compact"/>
              <w:jc w:val="left"/>
            </w:pPr>
            <w:r>
              <w:t xml:space="preserve">-0.95</w:t>
            </w:r>
          </w:p>
        </w:tc>
        <w:tc>
          <w:tcPr/>
          <w:p>
            <w:pPr>
              <w:pStyle w:val="Compact"/>
              <w:jc w:val="left"/>
            </w:pPr>
            <w:r>
              <w:t xml:space="preserve">14.33</w:t>
            </w:r>
          </w:p>
        </w:tc>
        <w:tc>
          <w:tcPr/>
          <w:p>
            <w:pPr>
              <w:pStyle w:val="Compact"/>
              <w:jc w:val="left"/>
            </w:pPr>
            <w:r>
              <w:t xml:space="preserve">France</w:t>
            </w:r>
          </w:p>
        </w:tc>
      </w:tr>
      <w:tr>
        <w:tc>
          <w:tcPr/>
          <w:p>
            <w:pPr>
              <w:pStyle w:val="Compact"/>
              <w:jc w:val="left"/>
            </w:pPr>
            <w:r>
              <w:t xml:space="preserve">GRC</w:t>
            </w:r>
          </w:p>
        </w:tc>
        <w:tc>
          <w:tcPr/>
          <w:p>
            <w:pPr>
              <w:pStyle w:val="Compact"/>
              <w:jc w:val="left"/>
            </w:pPr>
            <w:r>
              <w:t xml:space="preserve">21.02</w:t>
            </w:r>
          </w:p>
        </w:tc>
        <w:tc>
          <w:tcPr/>
          <w:p>
            <w:pPr>
              <w:pStyle w:val="Compact"/>
              <w:jc w:val="left"/>
            </w:pPr>
            <w:r>
              <w:t xml:space="preserve">5.17</w:t>
            </w:r>
          </w:p>
        </w:tc>
        <w:tc>
          <w:tcPr/>
          <w:p>
            <w:pPr>
              <w:pStyle w:val="Compact"/>
              <w:jc w:val="left"/>
            </w:pPr>
            <w:r>
              <w:t xml:space="preserve">9.2</w:t>
            </w:r>
          </w:p>
        </w:tc>
        <w:tc>
          <w:tcPr/>
          <w:p>
            <w:pPr>
              <w:pStyle w:val="Compact"/>
              <w:jc w:val="left"/>
            </w:pPr>
            <w:r>
              <w:t xml:space="preserve">2.82</w:t>
            </w:r>
          </w:p>
        </w:tc>
        <w:tc>
          <w:tcPr/>
          <w:p>
            <w:pPr>
              <w:pStyle w:val="Compact"/>
              <w:jc w:val="left"/>
            </w:pPr>
            <w:r>
              <w:t xml:space="preserve">11.82</w:t>
            </w:r>
          </w:p>
        </w:tc>
        <w:tc>
          <w:tcPr/>
          <w:p>
            <w:pPr>
              <w:pStyle w:val="Compact"/>
              <w:jc w:val="left"/>
            </w:pPr>
            <w:r>
              <w:t xml:space="preserve">2.35</w:t>
            </w:r>
          </w:p>
        </w:tc>
        <w:tc>
          <w:tcPr/>
          <w:p>
            <w:pPr>
              <w:pStyle w:val="Compact"/>
              <w:jc w:val="left"/>
            </w:pPr>
            <w:r>
              <w:t xml:space="preserve">15.85</w:t>
            </w:r>
          </w:p>
        </w:tc>
        <w:tc>
          <w:tcPr/>
          <w:p>
            <w:pPr>
              <w:pStyle w:val="Compact"/>
              <w:jc w:val="left"/>
            </w:pPr>
            <w:r>
              <w:t xml:space="preserve">Greece</w:t>
            </w:r>
          </w:p>
        </w:tc>
      </w:tr>
      <w:tr>
        <w:tc>
          <w:tcPr/>
          <w:p>
            <w:pPr>
              <w:pStyle w:val="Compact"/>
              <w:jc w:val="left"/>
            </w:pPr>
            <w:r>
              <w:t xml:space="preserve">HUN</w:t>
            </w:r>
          </w:p>
        </w:tc>
        <w:tc>
          <w:tcPr/>
          <w:p>
            <w:pPr>
              <w:pStyle w:val="Compact"/>
              <w:jc w:val="left"/>
            </w:pPr>
            <w:r>
              <w:t xml:space="preserve">17.3</w:t>
            </w:r>
          </w:p>
        </w:tc>
        <w:tc>
          <w:tcPr/>
          <w:p>
            <w:pPr>
              <w:pStyle w:val="Compact"/>
              <w:jc w:val="left"/>
            </w:pPr>
            <w:r>
              <w:t xml:space="preserve">4.27</w:t>
            </w:r>
          </w:p>
        </w:tc>
        <w:tc>
          <w:tcPr/>
          <w:p>
            <w:pPr>
              <w:pStyle w:val="Compact"/>
              <w:jc w:val="left"/>
            </w:pPr>
            <w:r>
              <w:t xml:space="preserve">3.71</w:t>
            </w:r>
          </w:p>
        </w:tc>
        <w:tc>
          <w:tcPr/>
          <w:p>
            <w:pPr>
              <w:pStyle w:val="Compact"/>
              <w:jc w:val="left"/>
            </w:pPr>
            <w:r>
              <w:t xml:space="preserve">0.55</w:t>
            </w:r>
          </w:p>
        </w:tc>
        <w:tc>
          <w:tcPr/>
          <w:p>
            <w:pPr>
              <w:pStyle w:val="Compact"/>
              <w:jc w:val="left"/>
            </w:pPr>
            <w:r>
              <w:t xml:space="preserve">13.59</w:t>
            </w:r>
          </w:p>
        </w:tc>
        <w:tc>
          <w:tcPr/>
          <w:p>
            <w:pPr>
              <w:pStyle w:val="Compact"/>
              <w:jc w:val="left"/>
            </w:pPr>
            <w:r>
              <w:t xml:space="preserve">3.72</w:t>
            </w:r>
          </w:p>
        </w:tc>
        <w:tc>
          <w:tcPr/>
          <w:p>
            <w:pPr>
              <w:pStyle w:val="Compact"/>
              <w:jc w:val="left"/>
            </w:pPr>
            <w:r>
              <w:t xml:space="preserve">13.03</w:t>
            </w:r>
          </w:p>
        </w:tc>
        <w:tc>
          <w:tcPr/>
          <w:p>
            <w:pPr>
              <w:pStyle w:val="Compact"/>
              <w:jc w:val="left"/>
            </w:pPr>
            <w:r>
              <w:t xml:space="preserve">Hungary</w:t>
            </w:r>
          </w:p>
        </w:tc>
      </w:tr>
      <w:tr>
        <w:tc>
          <w:tcPr/>
          <w:p>
            <w:pPr>
              <w:pStyle w:val="Compact"/>
              <w:jc w:val="left"/>
            </w:pPr>
            <w:r>
              <w:t xml:space="preserve">IRL</w:t>
            </w:r>
          </w:p>
        </w:tc>
        <w:tc>
          <w:tcPr/>
          <w:p>
            <w:pPr>
              <w:pStyle w:val="Compact"/>
              <w:jc w:val="left"/>
            </w:pPr>
            <w:r>
              <w:t xml:space="preserve">27.25</w:t>
            </w:r>
          </w:p>
        </w:tc>
        <w:tc>
          <w:tcPr/>
          <w:p>
            <w:pPr>
              <w:pStyle w:val="Compact"/>
              <w:jc w:val="left"/>
            </w:pPr>
            <w:r>
              <w:t xml:space="preserve">6.24</w:t>
            </w:r>
          </w:p>
        </w:tc>
        <w:tc>
          <w:tcPr/>
          <w:p>
            <w:pPr>
              <w:pStyle w:val="Compact"/>
              <w:jc w:val="left"/>
            </w:pPr>
            <w:r>
              <w:t xml:space="preserve">13.59</w:t>
            </w:r>
          </w:p>
        </w:tc>
        <w:tc>
          <w:tcPr/>
          <w:p>
            <w:pPr>
              <w:pStyle w:val="Compact"/>
              <w:jc w:val="left"/>
            </w:pPr>
            <w:r>
              <w:t xml:space="preserve">0.27</w:t>
            </w:r>
          </w:p>
        </w:tc>
        <w:tc>
          <w:tcPr/>
          <w:p>
            <w:pPr>
              <w:pStyle w:val="Compact"/>
              <w:jc w:val="left"/>
            </w:pPr>
            <w:r>
              <w:t xml:space="preserve">13.66</w:t>
            </w:r>
          </w:p>
        </w:tc>
        <w:tc>
          <w:tcPr/>
          <w:p>
            <w:pPr>
              <w:pStyle w:val="Compact"/>
              <w:jc w:val="left"/>
            </w:pPr>
            <w:r>
              <w:t xml:space="preserve">5.97</w:t>
            </w:r>
          </w:p>
        </w:tc>
        <w:tc>
          <w:tcPr/>
          <w:p>
            <w:pPr>
              <w:pStyle w:val="Compact"/>
              <w:jc w:val="left"/>
            </w:pPr>
            <w:r>
              <w:t xml:space="preserve">21.01</w:t>
            </w:r>
          </w:p>
        </w:tc>
        <w:tc>
          <w:tcPr/>
          <w:p>
            <w:pPr>
              <w:pStyle w:val="Compact"/>
              <w:jc w:val="left"/>
            </w:pPr>
            <w:r>
              <w:t xml:space="preserve">Ireland</w:t>
            </w:r>
          </w:p>
        </w:tc>
      </w:tr>
      <w:tr>
        <w:tc>
          <w:tcPr/>
          <w:p>
            <w:pPr>
              <w:pStyle w:val="Compact"/>
              <w:jc w:val="left"/>
            </w:pPr>
            <w:r>
              <w:t xml:space="preserve">ITA</w:t>
            </w:r>
          </w:p>
        </w:tc>
        <w:tc>
          <w:tcPr/>
          <w:p>
            <w:pPr>
              <w:pStyle w:val="Compact"/>
              <w:jc w:val="left"/>
            </w:pPr>
            <w:r>
              <w:t xml:space="preserve">19.56</w:t>
            </w:r>
          </w:p>
        </w:tc>
        <w:tc>
          <w:tcPr/>
          <w:p>
            <w:pPr>
              <w:pStyle w:val="Compact"/>
              <w:jc w:val="left"/>
            </w:pPr>
            <w:r>
              <w:t xml:space="preserve">5.24</w:t>
            </w:r>
          </w:p>
        </w:tc>
        <w:tc>
          <w:tcPr/>
          <w:p>
            <w:pPr>
              <w:pStyle w:val="Compact"/>
              <w:jc w:val="left"/>
            </w:pPr>
            <w:r>
              <w:t xml:space="preserve">8.68</w:t>
            </w:r>
          </w:p>
        </w:tc>
        <w:tc>
          <w:tcPr/>
          <w:p>
            <w:pPr>
              <w:pStyle w:val="Compact"/>
              <w:jc w:val="left"/>
            </w:pPr>
            <w:r>
              <w:t xml:space="preserve">5.24</w:t>
            </w:r>
          </w:p>
        </w:tc>
        <w:tc>
          <w:tcPr/>
          <w:p>
            <w:pPr>
              <w:pStyle w:val="Compact"/>
              <w:jc w:val="left"/>
            </w:pPr>
            <w:r>
              <w:t xml:space="preserve">10.88</w:t>
            </w:r>
          </w:p>
        </w:tc>
        <w:tc>
          <w:tcPr/>
          <w:p>
            <w:pPr>
              <w:pStyle w:val="Compact"/>
              <w:jc w:val="left"/>
            </w:pPr>
            <w:r>
              <w:t xml:space="preserve">0.0</w:t>
            </w:r>
          </w:p>
        </w:tc>
        <w:tc>
          <w:tcPr/>
          <w:p>
            <w:pPr>
              <w:pStyle w:val="Compact"/>
              <w:jc w:val="left"/>
            </w:pPr>
            <w:r>
              <w:t xml:space="preserve">14.32</w:t>
            </w:r>
          </w:p>
        </w:tc>
        <w:tc>
          <w:tcPr/>
          <w:p>
            <w:pPr>
              <w:pStyle w:val="Compact"/>
              <w:jc w:val="left"/>
            </w:pPr>
            <w:r>
              <w:t xml:space="preserve">Italy</w:t>
            </w:r>
          </w:p>
        </w:tc>
      </w:tr>
      <w:tr>
        <w:tc>
          <w:tcPr/>
          <w:p>
            <w:pPr>
              <w:pStyle w:val="Compact"/>
              <w:jc w:val="left"/>
            </w:pPr>
            <w:r>
              <w:t xml:space="preserve">NLD</w:t>
            </w:r>
          </w:p>
        </w:tc>
        <w:tc>
          <w:tcPr/>
          <w:p>
            <w:pPr>
              <w:pStyle w:val="Compact"/>
              <w:jc w:val="left"/>
            </w:pPr>
            <w:r>
              <w:t xml:space="preserve">39.78</w:t>
            </w:r>
          </w:p>
        </w:tc>
        <w:tc>
          <w:tcPr/>
          <w:p>
            <w:pPr>
              <w:pStyle w:val="Compact"/>
              <w:jc w:val="left"/>
            </w:pPr>
            <w:r>
              <w:t xml:space="preserve">8.88</w:t>
            </w:r>
          </w:p>
        </w:tc>
        <w:tc>
          <w:tcPr/>
          <w:p>
            <w:pPr>
              <w:pStyle w:val="Compact"/>
              <w:jc w:val="left"/>
            </w:pPr>
            <w:r>
              <w:t xml:space="preserve">20.05</w:t>
            </w:r>
          </w:p>
        </w:tc>
        <w:tc>
          <w:tcPr/>
          <w:p>
            <w:pPr>
              <w:pStyle w:val="Compact"/>
              <w:jc w:val="left"/>
            </w:pPr>
            <w:r>
              <w:t xml:space="preserve">7.39</w:t>
            </w:r>
          </w:p>
        </w:tc>
        <w:tc>
          <w:tcPr/>
          <w:p>
            <w:pPr>
              <w:pStyle w:val="Compact"/>
              <w:jc w:val="left"/>
            </w:pPr>
            <w:r>
              <w:t xml:space="preserve">19.73</w:t>
            </w:r>
          </w:p>
        </w:tc>
        <w:tc>
          <w:tcPr/>
          <w:p>
            <w:pPr>
              <w:pStyle w:val="Compact"/>
              <w:jc w:val="left"/>
            </w:pPr>
            <w:r>
              <w:t xml:space="preserve">1.49</w:t>
            </w:r>
          </w:p>
        </w:tc>
        <w:tc>
          <w:tcPr/>
          <w:p>
            <w:pPr>
              <w:pStyle w:val="Compact"/>
              <w:jc w:val="left"/>
            </w:pPr>
            <w:r>
              <w:t xml:space="preserve">30.9</w:t>
            </w:r>
          </w:p>
        </w:tc>
        <w:tc>
          <w:tcPr/>
          <w:p>
            <w:pPr>
              <w:pStyle w:val="Compact"/>
              <w:jc w:val="left"/>
            </w:pPr>
            <w:r>
              <w:t xml:space="preserve">Netherlands</w:t>
            </w:r>
          </w:p>
        </w:tc>
      </w:tr>
      <w:tr>
        <w:tc>
          <w:tcPr/>
          <w:p>
            <w:pPr>
              <w:pStyle w:val="Compact"/>
              <w:jc w:val="left"/>
            </w:pPr>
            <w:r>
              <w:t xml:space="preserve">POL</w:t>
            </w:r>
          </w:p>
        </w:tc>
        <w:tc>
          <w:tcPr/>
          <w:p>
            <w:pPr>
              <w:pStyle w:val="Compact"/>
              <w:jc w:val="left"/>
            </w:pPr>
            <w:r>
              <w:t xml:space="preserve">14.45</w:t>
            </w:r>
          </w:p>
        </w:tc>
        <w:tc>
          <w:tcPr/>
          <w:p>
            <w:pPr>
              <w:pStyle w:val="Compact"/>
              <w:jc w:val="left"/>
            </w:pPr>
            <w:r>
              <w:t xml:space="preserve">2.01</w:t>
            </w:r>
          </w:p>
        </w:tc>
        <w:tc>
          <w:tcPr/>
          <w:p>
            <w:pPr>
              <w:pStyle w:val="Compact"/>
              <w:jc w:val="left"/>
            </w:pPr>
            <w:r>
              <w:t xml:space="preserve">6.48</w:t>
            </w:r>
          </w:p>
        </w:tc>
        <w:tc>
          <w:tcPr/>
          <w:p>
            <w:pPr>
              <w:pStyle w:val="Compact"/>
              <w:jc w:val="left"/>
            </w:pPr>
            <w:r>
              <w:t xml:space="preserve">0.35</w:t>
            </w:r>
          </w:p>
        </w:tc>
        <w:tc>
          <w:tcPr/>
          <w:p>
            <w:pPr>
              <w:pStyle w:val="Compact"/>
              <w:jc w:val="left"/>
            </w:pPr>
            <w:r>
              <w:t xml:space="preserve">7.97</w:t>
            </w:r>
          </w:p>
        </w:tc>
        <w:tc>
          <w:tcPr/>
          <w:p>
            <w:pPr>
              <w:pStyle w:val="Compact"/>
              <w:jc w:val="left"/>
            </w:pPr>
            <w:r>
              <w:t xml:space="preserve">1.66</w:t>
            </w:r>
          </w:p>
        </w:tc>
        <w:tc>
          <w:tcPr/>
          <w:p>
            <w:pPr>
              <w:pStyle w:val="Compact"/>
              <w:jc w:val="left"/>
            </w:pPr>
            <w:r>
              <w:t xml:space="preserve">12.44</w:t>
            </w:r>
          </w:p>
        </w:tc>
        <w:tc>
          <w:tcPr/>
          <w:p>
            <w:pPr>
              <w:pStyle w:val="Compact"/>
              <w:jc w:val="left"/>
            </w:pPr>
            <w:r>
              <w:t xml:space="preserve">Poland</w:t>
            </w:r>
          </w:p>
        </w:tc>
      </w:tr>
      <w:tr>
        <w:tc>
          <w:tcPr/>
          <w:p>
            <w:pPr>
              <w:pStyle w:val="Compact"/>
              <w:jc w:val="left"/>
            </w:pPr>
            <w:r>
              <w:t xml:space="preserve">PRT</w:t>
            </w:r>
          </w:p>
        </w:tc>
        <w:tc>
          <w:tcPr/>
          <w:p>
            <w:pPr>
              <w:pStyle w:val="Compact"/>
              <w:jc w:val="left"/>
            </w:pPr>
            <w:r>
              <w:t xml:space="preserve">—</w:t>
            </w:r>
          </w:p>
        </w:tc>
        <w:tc>
          <w:tcPr/>
          <w:p>
            <w:pPr>
              <w:pStyle w:val="Compact"/>
              <w:jc w:val="left"/>
            </w:pPr>
            <w:r>
              <w:t xml:space="preserve">2.74</w:t>
            </w:r>
          </w:p>
        </w:tc>
        <w:tc>
          <w:tcPr/>
          <w:p>
            <w:pPr>
              <w:pStyle w:val="Compact"/>
              <w:jc w:val="left"/>
            </w:pPr>
            <w:r>
              <w:t xml:space="preserve">10.38</w:t>
            </w:r>
          </w:p>
        </w:tc>
        <w:tc>
          <w:tcPr/>
          <w:p>
            <w:pPr>
              <w:pStyle w:val="Compact"/>
              <w:jc w:val="left"/>
            </w:pPr>
            <w:r>
              <w:t xml:space="preserve">1.06</w:t>
            </w:r>
          </w:p>
        </w:tc>
        <w:tc>
          <w:tcPr/>
          <w:p>
            <w:pPr>
              <w:pStyle w:val="Compact"/>
              <w:jc w:val="left"/>
            </w:pPr>
            <w:r>
              <w:t xml:space="preserve">—</w:t>
            </w:r>
          </w:p>
        </w:tc>
        <w:tc>
          <w:tcPr/>
          <w:p>
            <w:pPr>
              <w:pStyle w:val="Compact"/>
              <w:jc w:val="left"/>
            </w:pPr>
            <w:r>
              <w:t xml:space="preserve">1.68</w:t>
            </w:r>
          </w:p>
        </w:tc>
        <w:tc>
          <w:tcPr/>
          <w:p>
            <w:pPr>
              <w:pStyle w:val="Compact"/>
              <w:jc w:val="left"/>
            </w:pPr>
            <w:r>
              <w:t xml:space="preserve">—</w:t>
            </w:r>
          </w:p>
        </w:tc>
        <w:tc>
          <w:tcPr/>
          <w:p>
            <w:pPr>
              <w:pStyle w:val="Compact"/>
              <w:jc w:val="left"/>
            </w:pPr>
            <w:r>
              <w:t xml:space="preserve">Portugal</w:t>
            </w:r>
          </w:p>
        </w:tc>
      </w:tr>
      <w:tr>
        <w:tc>
          <w:tcPr/>
          <w:p>
            <w:pPr>
              <w:pStyle w:val="Compact"/>
              <w:jc w:val="left"/>
            </w:pPr>
            <w:r>
              <w:t xml:space="preserve">ROU</w:t>
            </w:r>
          </w:p>
        </w:tc>
        <w:tc>
          <w:tcPr/>
          <w:p>
            <w:pPr>
              <w:pStyle w:val="Compact"/>
              <w:jc w:val="left"/>
            </w:pPr>
            <w:r>
              <w:t xml:space="preserve">9.06</w:t>
            </w:r>
          </w:p>
        </w:tc>
        <w:tc>
          <w:tcPr/>
          <w:p>
            <w:pPr>
              <w:pStyle w:val="Compact"/>
              <w:jc w:val="left"/>
            </w:pPr>
            <w:r>
              <w:t xml:space="preserve">0.18</w:t>
            </w:r>
          </w:p>
        </w:tc>
        <w:tc>
          <w:tcPr/>
          <w:p>
            <w:pPr>
              <w:pStyle w:val="Compact"/>
              <w:jc w:val="left"/>
            </w:pPr>
            <w:r>
              <w:t xml:space="preserve">6.68</w:t>
            </w:r>
          </w:p>
        </w:tc>
        <w:tc>
          <w:tcPr/>
          <w:p>
            <w:pPr>
              <w:pStyle w:val="Compact"/>
              <w:jc w:val="left"/>
            </w:pPr>
            <w:r>
              <w:t xml:space="preserve">0.05</w:t>
            </w:r>
          </w:p>
        </w:tc>
        <w:tc>
          <w:tcPr/>
          <w:p>
            <w:pPr>
              <w:pStyle w:val="Compact"/>
              <w:jc w:val="left"/>
            </w:pPr>
            <w:r>
              <w:t xml:space="preserve">2.38</w:t>
            </w:r>
          </w:p>
        </w:tc>
        <w:tc>
          <w:tcPr/>
          <w:p>
            <w:pPr>
              <w:pStyle w:val="Compact"/>
              <w:jc w:val="left"/>
            </w:pPr>
            <w:r>
              <w:t xml:space="preserve">0.13</w:t>
            </w:r>
          </w:p>
        </w:tc>
        <w:tc>
          <w:tcPr/>
          <w:p>
            <w:pPr>
              <w:pStyle w:val="Compact"/>
              <w:jc w:val="left"/>
            </w:pPr>
            <w:r>
              <w:t xml:space="preserve">8.88</w:t>
            </w:r>
          </w:p>
        </w:tc>
        <w:tc>
          <w:tcPr/>
          <w:p>
            <w:pPr>
              <w:pStyle w:val="Compact"/>
              <w:jc w:val="left"/>
            </w:pPr>
            <w:r>
              <w:t xml:space="preserve">Romania</w:t>
            </w:r>
          </w:p>
        </w:tc>
      </w:tr>
      <w:tr>
        <w:tc>
          <w:tcPr/>
          <w:p>
            <w:pPr>
              <w:pStyle w:val="Compact"/>
              <w:jc w:val="left"/>
            </w:pPr>
            <w:r>
              <w:t xml:space="preserve">SWE</w:t>
            </w:r>
          </w:p>
        </w:tc>
        <w:tc>
          <w:tcPr/>
          <w:p>
            <w:pPr>
              <w:pStyle w:val="Compact"/>
              <w:jc w:val="left"/>
            </w:pPr>
            <w:r>
              <w:t xml:space="preserve">53.71</w:t>
            </w:r>
          </w:p>
        </w:tc>
        <w:tc>
          <w:tcPr/>
          <w:p>
            <w:pPr>
              <w:pStyle w:val="Compact"/>
              <w:jc w:val="left"/>
            </w:pPr>
            <w:r>
              <w:t xml:space="preserve">13.15</w:t>
            </w:r>
          </w:p>
        </w:tc>
        <w:tc>
          <w:tcPr/>
          <w:p>
            <w:pPr>
              <w:pStyle w:val="Compact"/>
              <w:jc w:val="left"/>
            </w:pPr>
            <w:r>
              <w:t xml:space="preserve">16.47</w:t>
            </w:r>
          </w:p>
        </w:tc>
        <w:tc>
          <w:tcPr/>
          <w:p>
            <w:pPr>
              <w:pStyle w:val="Compact"/>
              <w:jc w:val="left"/>
            </w:pPr>
            <w:r>
              <w:t xml:space="preserve">2.32</w:t>
            </w:r>
          </w:p>
        </w:tc>
        <w:tc>
          <w:tcPr/>
          <w:p>
            <w:pPr>
              <w:pStyle w:val="Compact"/>
              <w:jc w:val="left"/>
            </w:pPr>
            <w:r>
              <w:t xml:space="preserve">37.24</w:t>
            </w:r>
          </w:p>
        </w:tc>
        <w:tc>
          <w:tcPr/>
          <w:p>
            <w:pPr>
              <w:pStyle w:val="Compact"/>
              <w:jc w:val="left"/>
            </w:pPr>
            <w:r>
              <w:t xml:space="preserve">10.83</w:t>
            </w:r>
          </w:p>
        </w:tc>
        <w:tc>
          <w:tcPr/>
          <w:p>
            <w:pPr>
              <w:pStyle w:val="Compact"/>
              <w:jc w:val="left"/>
            </w:pPr>
            <w:r>
              <w:t xml:space="preserve">40.56</w:t>
            </w:r>
          </w:p>
        </w:tc>
        <w:tc>
          <w:tcPr/>
          <w:p>
            <w:pPr>
              <w:pStyle w:val="Compact"/>
              <w:jc w:val="left"/>
            </w:pPr>
            <w:r>
              <w:t xml:space="preserve">Sweden</w:t>
            </w:r>
          </w:p>
        </w:tc>
      </w:tr>
    </w:tbl>
    <w:bookmarkEnd w:id="124"/>
    <w:bookmarkStart w:id="125" w:name="Xfefec55a100d403cd63c29981b4f481e6d53051"/>
    <w:p>
      <w:pPr>
        <w:pStyle w:val="Heading3"/>
      </w:pPr>
      <w:r>
        <w:t xml:space="preserve">Table 13. Generative NLG shock (log SJ3 unless noted)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(N1) Post×ΔM TNLG 2023–24 [preferred GenAI shock]</w:t>
            </w:r>
          </w:p>
        </w:tc>
        <w:tc>
          <w:tcPr/>
          <w:p>
            <w:pPr>
              <w:pStyle w:val="Compact"/>
              <w:jc w:val="left"/>
            </w:pPr>
            <w:r>
              <w:t xml:space="preserve">0.009 (0.005)</w:t>
            </w:r>
          </w:p>
        </w:tc>
        <w:tc>
          <w:tcPr/>
          <w:p>
            <w:pPr>
              <w:pStyle w:val="Compact"/>
              <w:jc w:val="left"/>
            </w:pPr>
            <w:r>
              <w:t xml:space="preserve">357</w:t>
            </w:r>
          </w:p>
        </w:tc>
        <w:tc>
          <w:tcPr/>
          <w:p>
            <w:pPr>
              <w:pStyle w:val="Compact"/>
              <w:jc w:val="left"/>
            </w:pPr>
            <w:r>
              <w:t xml:space="preserve">NLG jump is the ChatGPT window; EU × IND/PHL/VNM</w:t>
            </w:r>
          </w:p>
        </w:tc>
      </w:tr>
      <w:tr>
        <w:tc>
          <w:tcPr/>
          <w:p>
            <w:pPr>
              <w:pStyle w:val="Compact"/>
              <w:jc w:val="left"/>
            </w:pPr>
            <w:r>
              <w:t xml:space="preserve">(N2) Post2024×ΔM TNLG 2023–24</w:t>
            </w:r>
          </w:p>
        </w:tc>
        <w:tc>
          <w:tcPr/>
          <w:p>
            <w:pPr>
              <w:pStyle w:val="Compact"/>
              <w:jc w:val="left"/>
            </w:pPr>
            <w:r>
              <w:t xml:space="preserve">0.007** (0.003)</w:t>
            </w:r>
          </w:p>
        </w:tc>
        <w:tc>
          <w:tcPr/>
          <w:p>
            <w:pPr>
              <w:pStyle w:val="Compact"/>
              <w:jc w:val="left"/>
            </w:pPr>
            <w:r>
              <w:t xml:space="preserve">357</w:t>
            </w:r>
          </w:p>
        </w:tc>
        <w:tc>
          <w:tcPr/>
          <w:p>
            <w:pPr>
              <w:pStyle w:val="Compact"/>
              <w:jc w:val="left"/>
            </w:pPr>
            <w:r>
              <w:t xml:space="preserve">Treat only 2024 as post (BaTIS ends 2024)</w:t>
            </w:r>
          </w:p>
        </w:tc>
      </w:tr>
      <w:tr>
        <w:tc>
          <w:tcPr/>
          <w:p>
            <w:pPr>
              <w:pStyle w:val="Compact"/>
              <w:jc w:val="left"/>
            </w:pPr>
            <w:r>
              <w:t xml:space="preserve">(N3) Post×ΔM TNLG 2021–24</w:t>
            </w:r>
          </w:p>
        </w:tc>
        <w:tc>
          <w:tcPr/>
          <w:p>
            <w:pPr>
              <w:pStyle w:val="Compact"/>
              <w:jc w:val="left"/>
            </w:pPr>
            <w:r>
              <w:t xml:space="preserve">0.007 (0.005)</w:t>
            </w:r>
          </w:p>
        </w:tc>
        <w:tc>
          <w:tcPr/>
          <w:p>
            <w:pPr>
              <w:pStyle w:val="Compact"/>
              <w:jc w:val="left"/>
            </w:pPr>
            <w:r>
              <w:t xml:space="preserve">357</w:t>
            </w:r>
          </w:p>
        </w:tc>
        <w:tc>
          <w:tcPr/>
          <w:p>
            <w:pPr>
              <w:pStyle w:val="Compact"/>
              <w:jc w:val="left"/>
            </w:pPr>
            <w:r>
              <w:t xml:space="preserve">Comparable window to generic TANY ΔM</w:t>
            </w:r>
          </w:p>
        </w:tc>
      </w:tr>
      <w:tr>
        <w:tc>
          <w:tcPr/>
          <w:p>
            <w:pPr>
              <w:pStyle w:val="Compact"/>
              <w:jc w:val="left"/>
            </w:pPr>
            <w:r>
              <w:t xml:space="preserve">(N4) Post× TNLG M 2024 level</w:t>
            </w:r>
          </w:p>
        </w:tc>
        <w:tc>
          <w:tcPr/>
          <w:p>
            <w:pPr>
              <w:pStyle w:val="Compact"/>
              <w:jc w:val="left"/>
            </w:pPr>
            <w:r>
              <w:t xml:space="preserve">0.006 (0.004)</w:t>
            </w:r>
          </w:p>
        </w:tc>
        <w:tc>
          <w:tcPr/>
          <w:p>
            <w:pPr>
              <w:pStyle w:val="Compact"/>
              <w:jc w:val="left"/>
            </w:pPr>
            <w:r>
              <w:t xml:space="preserve">357</w:t>
            </w:r>
          </w:p>
        </w:tc>
        <w:tc>
          <w:tcPr/>
          <w:p>
            <w:pPr>
              <w:pStyle w:val="Compact"/>
              <w:jc w:val="left"/>
            </w:pPr>
            <w:r>
              <w:t xml:space="preserve">Level not change</w:t>
            </w:r>
          </w:p>
        </w:tc>
      </w:tr>
      <w:tr>
        <w:tc>
          <w:tcPr/>
          <w:p>
            <w:pPr>
              <w:pStyle w:val="Compact"/>
              <w:jc w:val="left"/>
            </w:pPr>
            <w:r>
              <w:t xml:space="preserve">(N5) Placebo Post×ΔF TNLG 2023–24</w:t>
            </w:r>
          </w:p>
        </w:tc>
        <w:tc>
          <w:tcPr/>
          <w:p>
            <w:pPr>
              <w:pStyle w:val="Compact"/>
              <w:jc w:val="left"/>
            </w:pPr>
            <w:r>
              <w:t xml:space="preserve">0.015 (0.020)</w:t>
            </w:r>
          </w:p>
        </w:tc>
        <w:tc>
          <w:tcPr/>
          <w:p>
            <w:pPr>
              <w:pStyle w:val="Compact"/>
              <w:jc w:val="left"/>
            </w:pPr>
            <w:r>
              <w:t xml:space="preserve">357</w:t>
            </w:r>
          </w:p>
        </w:tc>
        <w:tc>
          <w:tcPr/>
          <w:p>
            <w:pPr>
              <w:pStyle w:val="Compact"/>
              <w:jc w:val="left"/>
            </w:pPr>
            <w:r>
              <w:t xml:space="preserve">Construction enterprises using NLG</w:t>
            </w:r>
          </w:p>
        </w:tc>
      </w:tr>
      <w:tr>
        <w:tc>
          <w:tcPr/>
          <w:p>
            <w:pPr>
              <w:pStyle w:val="Compact"/>
              <w:jc w:val="left"/>
            </w:pPr>
            <w:r>
              <w:t xml:space="preserve">(N6) Horse: Post×ΔM TNLG</w:t>
            </w:r>
          </w:p>
        </w:tc>
        <w:tc>
          <w:tcPr/>
          <w:p>
            <w:pPr>
              <w:pStyle w:val="Compact"/>
              <w:jc w:val="left"/>
            </w:pPr>
            <w:r>
              <w:t xml:space="preserve">0.015*** (0.004)</w:t>
            </w:r>
          </w:p>
        </w:tc>
        <w:tc>
          <w:tcPr/>
          <w:p>
            <w:pPr>
              <w:pStyle w:val="Compact"/>
              <w:jc w:val="left"/>
            </w:pPr>
            <w:r>
              <w:t xml:space="preserve">357</w:t>
            </w:r>
          </w:p>
        </w:tc>
        <w:tc>
          <w:tcPr/>
          <w:p>
            <w:pPr>
              <w:pStyle w:val="Compact"/>
              <w:jc w:val="left"/>
            </w:pPr>
            <w:r>
              <w:t xml:space="preserve">Same regression as N7</w:t>
            </w:r>
          </w:p>
        </w:tc>
      </w:tr>
      <w:tr>
        <w:tc>
          <w:tcPr/>
          <w:p>
            <w:pPr>
              <w:pStyle w:val="Compact"/>
              <w:jc w:val="left"/>
            </w:pPr>
            <w:r>
              <w:t xml:space="preserve">(N7) Horse: Post×ΔM TML (ML placebo)</w:t>
            </w:r>
          </w:p>
        </w:tc>
        <w:tc>
          <w:tcPr/>
          <w:p>
            <w:pPr>
              <w:pStyle w:val="Compact"/>
              <w:jc w:val="left"/>
            </w:pPr>
            <w:r>
              <w:t xml:space="preserve">-0.026* (0.014)</w:t>
            </w:r>
          </w:p>
        </w:tc>
        <w:tc>
          <w:tcPr/>
          <w:p>
            <w:pPr>
              <w:pStyle w:val="Compact"/>
              <w:jc w:val="left"/>
            </w:pPr>
            <w:r>
              <w:t xml:space="preserve">357</w:t>
            </w:r>
          </w:p>
        </w:tc>
        <w:tc>
          <w:tcPr/>
          <w:p>
            <w:pPr>
              <w:pStyle w:val="Compact"/>
              <w:jc w:val="left"/>
            </w:pPr>
            <w:r>
              <w:t xml:space="preserve">Machine learning, not generative NLG</w:t>
            </w:r>
          </w:p>
        </w:tc>
      </w:tr>
      <w:tr>
        <w:tc>
          <w:tcPr/>
          <w:p>
            <w:pPr>
              <w:pStyle w:val="Compact"/>
              <w:jc w:val="left"/>
            </w:pPr>
            <w:r>
              <w:t xml:space="preserve">(N8) Placebo Post×ΔM TTM 2023–24</w:t>
            </w:r>
          </w:p>
        </w:tc>
        <w:tc>
          <w:tcPr/>
          <w:p>
            <w:pPr>
              <w:pStyle w:val="Compact"/>
              <w:jc w:val="left"/>
            </w:pPr>
            <w:r>
              <w:t xml:space="preserve">0.004 (0.008)</w:t>
            </w:r>
          </w:p>
        </w:tc>
        <w:tc>
          <w:tcPr/>
          <w:p>
            <w:pPr>
              <w:pStyle w:val="Compact"/>
              <w:jc w:val="left"/>
            </w:pPr>
            <w:r>
              <w:t xml:space="preserve">357</w:t>
            </w:r>
          </w:p>
        </w:tc>
        <w:tc>
          <w:tcPr/>
          <w:p>
            <w:pPr>
              <w:pStyle w:val="Compact"/>
              <w:jc w:val="left"/>
            </w:pPr>
            <w:r>
              <w:t xml:space="preserve">Text mining (also jumped; not NLG)</w:t>
            </w:r>
          </w:p>
        </w:tc>
      </w:tr>
      <w:tr>
        <w:tc>
          <w:tcPr/>
          <w:p>
            <w:pPr>
              <w:pStyle w:val="Compact"/>
              <w:jc w:val="left"/>
            </w:pPr>
            <w:r>
              <w:t xml:space="preserve">(N9) Placebo Post×ΔM TIR 2023–24</w:t>
            </w:r>
          </w:p>
        </w:tc>
        <w:tc>
          <w:tcPr/>
          <w:p>
            <w:pPr>
              <w:pStyle w:val="Compact"/>
              <w:jc w:val="left"/>
            </w:pPr>
            <w:r>
              <w:t xml:space="preserve">-0.010 (0.020)</w:t>
            </w:r>
          </w:p>
        </w:tc>
        <w:tc>
          <w:tcPr/>
          <w:p>
            <w:pPr>
              <w:pStyle w:val="Compact"/>
              <w:jc w:val="left"/>
            </w:pPr>
            <w:r>
              <w:t xml:space="preserve">357</w:t>
            </w:r>
          </w:p>
        </w:tc>
        <w:tc>
          <w:tcPr/>
          <w:p>
            <w:pPr>
              <w:pStyle w:val="Compact"/>
              <w:jc w:val="left"/>
            </w:pPr>
            <w:r>
              <w:t xml:space="preserve">Image recognition</w:t>
            </w:r>
          </w:p>
        </w:tc>
      </w:tr>
      <w:tr>
        <w:tc>
          <w:tcPr/>
          <w:p>
            <w:pPr>
              <w:pStyle w:val="Compact"/>
              <w:jc w:val="left"/>
            </w:pPr>
            <w:r>
              <w:t xml:space="preserve">(N10) Comparison Post×ΔM TANY 2021–24</w:t>
            </w:r>
          </w:p>
        </w:tc>
        <w:tc>
          <w:tcPr/>
          <w:p>
            <w:pPr>
              <w:pStyle w:val="Compact"/>
              <w:jc w:val="left"/>
            </w:pPr>
            <w:r>
              <w:t xml:space="preserve">0.000 (0.006)</w:t>
            </w:r>
          </w:p>
        </w:tc>
        <w:tc>
          <w:tcPr/>
          <w:p>
            <w:pPr>
              <w:pStyle w:val="Compact"/>
              <w:jc w:val="left"/>
            </w:pPr>
            <w:r>
              <w:t xml:space="preserve">336</w:t>
            </w:r>
          </w:p>
        </w:tc>
        <w:tc>
          <w:tcPr/>
          <w:p>
            <w:pPr>
              <w:pStyle w:val="Compact"/>
              <w:jc w:val="left"/>
            </w:pPr>
            <w:r>
              <w:t xml:space="preserve">Generic any-AI; mixes ML and GenAI</w:t>
            </w:r>
          </w:p>
        </w:tc>
      </w:tr>
      <w:tr>
        <w:tc>
          <w:tcPr/>
          <w:p>
            <w:pPr>
              <w:pStyle w:val="Compact"/>
              <w:jc w:val="left"/>
            </w:pPr>
            <w:r>
              <w:t xml:space="preserve">(N11) Placebo SI Post×ΔM TNLG</w:t>
            </w:r>
          </w:p>
        </w:tc>
        <w:tc>
          <w:tcPr/>
          <w:p>
            <w:pPr>
              <w:pStyle w:val="Compact"/>
              <w:jc w:val="left"/>
            </w:pPr>
            <w:r>
              <w:t xml:space="preserve">-0.002 (0.006)</w:t>
            </w:r>
          </w:p>
        </w:tc>
        <w:tc>
          <w:tcPr/>
          <w:p>
            <w:pPr>
              <w:pStyle w:val="Compact"/>
              <w:jc w:val="left"/>
            </w:pPr>
            <w:r>
              <w:t xml:space="preserve">357</w:t>
            </w:r>
          </w:p>
        </w:tc>
        <w:tc>
          <w:tcPr/>
          <w:p>
            <w:pPr>
              <w:pStyle w:val="Compact"/>
              <w:jc w:val="left"/>
            </w:pPr>
            <w:r>
              <w:t xml:space="preserve">Computer services from same partners</w:t>
            </w:r>
          </w:p>
        </w:tc>
      </w:tr>
      <w:tr>
        <w:tc>
          <w:tcPr/>
          <w:p>
            <w:pPr>
              <w:pStyle w:val="Compact"/>
              <w:jc w:val="left"/>
            </w:pPr>
            <w:r>
              <w:t xml:space="preserve">(N12) Placebo China SE Post×ΔM TNLG</w:t>
            </w:r>
          </w:p>
        </w:tc>
        <w:tc>
          <w:tcPr/>
          <w:p>
            <w:pPr>
              <w:pStyle w:val="Compact"/>
              <w:jc w:val="left"/>
            </w:pPr>
            <w:r>
              <w:t xml:space="preserve">-0.008 (0.009)</w:t>
            </w:r>
          </w:p>
        </w:tc>
        <w:tc>
          <w:tcPr/>
          <w:p>
            <w:pPr>
              <w:pStyle w:val="Compact"/>
              <w:jc w:val="left"/>
            </w:pPr>
            <w:r>
              <w:t xml:space="preserve">119</w:t>
            </w:r>
          </w:p>
        </w:tc>
        <w:tc>
          <w:tcPr/>
          <w:p>
            <w:pPr>
              <w:pStyle w:val="Compact"/>
              <w:jc w:val="left"/>
            </w:pPr>
            <w:r>
              <w:t xml:space="preserve">Mode-3 construction from China</w:t>
            </w:r>
          </w:p>
        </w:tc>
      </w:tr>
      <w:tr>
        <w:tc>
          <w:tcPr/>
          <w:p>
            <w:pPr>
              <w:pStyle w:val="Compact"/>
              <w:jc w:val="left"/>
            </w:pPr>
            <w:r>
              <w:t xml:space="preserve">(N13) Placebo China SJ3 Post×ΔM TNLG</w:t>
            </w:r>
          </w:p>
        </w:tc>
        <w:tc>
          <w:tcPr/>
          <w:p>
            <w:pPr>
              <w:pStyle w:val="Compact"/>
              <w:jc w:val="left"/>
            </w:pPr>
            <w:r>
              <w:t xml:space="preserve">0.005 (0.010)</w:t>
            </w:r>
          </w:p>
        </w:tc>
        <w:tc>
          <w:tcPr/>
          <w:p>
            <w:pPr>
              <w:pStyle w:val="Compact"/>
              <w:jc w:val="left"/>
            </w:pPr>
            <w:r>
              <w:t xml:space="preserve">119</w:t>
            </w:r>
          </w:p>
        </w:tc>
        <w:tc>
          <w:tcPr/>
          <w:p>
            <w:pPr>
              <w:pStyle w:val="Compact"/>
              <w:jc w:val="left"/>
            </w:pPr>
            <w:r>
              <w:t xml:space="preserve">SJ3 from China</w:t>
            </w:r>
          </w:p>
        </w:tc>
      </w:tr>
      <w:tr>
        <w:tc>
          <w:tcPr/>
          <w:p>
            <w:pPr>
              <w:pStyle w:val="Compact"/>
              <w:jc w:val="left"/>
            </w:pPr>
            <w:r>
              <w:t xml:space="preserve">(N14) Placebo Post×ΔJ TNLG 2023–24</w:t>
            </w:r>
          </w:p>
        </w:tc>
        <w:tc>
          <w:tcPr/>
          <w:p>
            <w:pPr>
              <w:pStyle w:val="Compact"/>
              <w:jc w:val="left"/>
            </w:pPr>
            <w:r>
              <w:t xml:space="preserve">0.009** (0.004)</w:t>
            </w:r>
          </w:p>
        </w:tc>
        <w:tc>
          <w:tcPr/>
          <w:p>
            <w:pPr>
              <w:pStyle w:val="Compact"/>
              <w:jc w:val="left"/>
            </w:pPr>
            <w:r>
              <w:t xml:space="preserve">357</w:t>
            </w:r>
          </w:p>
        </w:tc>
        <w:tc>
          <w:tcPr/>
          <w:p>
            <w:pPr>
              <w:pStyle w:val="Compact"/>
              <w:jc w:val="left"/>
            </w:pPr>
            <w:r>
              <w:t xml:space="preserve">ICT sector NLG (NACE J), not M71-containing M</w:t>
            </w:r>
          </w:p>
        </w:tc>
      </w:tr>
      <w:tr>
        <w:tc>
          <w:tcPr/>
          <w:p>
            <w:pPr>
              <w:pStyle w:val="Compact"/>
              <w:jc w:val="left"/>
            </w:pPr>
            <w:r>
              <w:t xml:space="preserve">(N15) Placebo Post×ΔC TNLG 2023–24</w:t>
            </w:r>
          </w:p>
        </w:tc>
        <w:tc>
          <w:tcPr/>
          <w:p>
            <w:pPr>
              <w:pStyle w:val="Compact"/>
              <w:jc w:val="left"/>
            </w:pPr>
            <w:r>
              <w:t xml:space="preserve">0.017** (0.008)</w:t>
            </w:r>
          </w:p>
        </w:tc>
        <w:tc>
          <w:tcPr/>
          <w:p>
            <w:pPr>
              <w:pStyle w:val="Compact"/>
              <w:jc w:val="left"/>
            </w:pPr>
            <w:r>
              <w:t xml:space="preserve">357</w:t>
            </w:r>
          </w:p>
        </w:tc>
        <w:tc>
          <w:tcPr/>
          <w:p>
            <w:pPr>
              <w:pStyle w:val="Compact"/>
              <w:jc w:val="left"/>
            </w:pPr>
            <w:r>
              <w:t xml:space="preserve">Manufacturing NLG</w:t>
            </w:r>
          </w:p>
        </w:tc>
      </w:tr>
      <w:tr>
        <w:tc>
          <w:tcPr/>
          <w:p>
            <w:pPr>
              <w:pStyle w:val="Compact"/>
              <w:jc w:val="left"/>
            </w:pPr>
            <w:r>
              <w:t xml:space="preserve">(N16) Placebo Post×ΔN TNLG 2023–24</w:t>
            </w:r>
          </w:p>
        </w:tc>
        <w:tc>
          <w:tcPr/>
          <w:p>
            <w:pPr>
              <w:pStyle w:val="Compact"/>
              <w:jc w:val="left"/>
            </w:pPr>
            <w:r>
              <w:t xml:space="preserve">0.015** (0.007)</w:t>
            </w:r>
          </w:p>
        </w:tc>
        <w:tc>
          <w:tcPr/>
          <w:p>
            <w:pPr>
              <w:pStyle w:val="Compact"/>
              <w:jc w:val="left"/>
            </w:pPr>
            <w:r>
              <w:t xml:space="preserve">357</w:t>
            </w:r>
          </w:p>
        </w:tc>
        <w:tc>
          <w:tcPr/>
          <w:p>
            <w:pPr>
              <w:pStyle w:val="Compact"/>
              <w:jc w:val="left"/>
            </w:pPr>
            <w:r>
              <w:t xml:space="preserve">Administrative/support NLG</w:t>
            </w:r>
          </w:p>
        </w:tc>
      </w:tr>
      <w:tr>
        <w:tc>
          <w:tcPr/>
          <w:p>
            <w:pPr>
              <w:pStyle w:val="Compact"/>
              <w:jc w:val="left"/>
            </w:pPr>
            <w:r>
              <w:t xml:space="preserve">(NH) India only Post×ΔM TNLG 2023–24</w:t>
            </w:r>
          </w:p>
        </w:tc>
        <w:tc>
          <w:tcPr/>
          <w:p>
            <w:pPr>
              <w:pStyle w:val="Compact"/>
              <w:jc w:val="left"/>
            </w:pPr>
            <w:r>
              <w:t xml:space="preserve">0.021*** (0.008)</w:t>
            </w:r>
          </w:p>
        </w:tc>
        <w:tc>
          <w:tcPr/>
          <w:p>
            <w:pPr>
              <w:pStyle w:val="Compact"/>
              <w:jc w:val="left"/>
            </w:pPr>
            <w:r>
              <w:t xml:space="preserve">119</w:t>
            </w:r>
          </w:p>
        </w:tc>
        <w:tc>
          <w:tcPr/>
          <w:p>
            <w:pPr>
              <w:pStyle w:val="Compact"/>
              <w:jc w:val="left"/>
            </w:pPr>
            <w:r>
              <w:t xml:space="preserve">Partner = IND</w:t>
            </w:r>
          </w:p>
        </w:tc>
      </w:tr>
      <w:tr>
        <w:tc>
          <w:tcPr/>
          <w:p>
            <w:pPr>
              <w:pStyle w:val="Compact"/>
              <w:jc w:val="left"/>
            </w:pPr>
            <w:r>
              <w:t xml:space="preserve">(NH) Philippines only Post×ΔM TNLG 2023–24</w:t>
            </w:r>
          </w:p>
        </w:tc>
        <w:tc>
          <w:tcPr/>
          <w:p>
            <w:pPr>
              <w:pStyle w:val="Compact"/>
              <w:jc w:val="left"/>
            </w:pPr>
            <w:r>
              <w:t xml:space="preserve">-0.007 (0.015)</w:t>
            </w:r>
          </w:p>
        </w:tc>
        <w:tc>
          <w:tcPr/>
          <w:p>
            <w:pPr>
              <w:pStyle w:val="Compact"/>
              <w:jc w:val="left"/>
            </w:pPr>
            <w:r>
              <w:t xml:space="preserve">119</w:t>
            </w:r>
          </w:p>
        </w:tc>
        <w:tc>
          <w:tcPr/>
          <w:p>
            <w:pPr>
              <w:pStyle w:val="Compact"/>
              <w:jc w:val="left"/>
            </w:pPr>
            <w:r>
              <w:t xml:space="preserve">Partner = PHL</w:t>
            </w:r>
          </w:p>
        </w:tc>
      </w:tr>
      <w:tr>
        <w:tc>
          <w:tcPr/>
          <w:p>
            <w:pPr>
              <w:pStyle w:val="Compact"/>
              <w:jc w:val="left"/>
            </w:pPr>
            <w:r>
              <w:t xml:space="preserve">(NH) Viet Nam only Post×ΔM TNLG 2023–24</w:t>
            </w:r>
          </w:p>
        </w:tc>
        <w:tc>
          <w:tcPr/>
          <w:p>
            <w:pPr>
              <w:pStyle w:val="Compact"/>
              <w:jc w:val="left"/>
            </w:pPr>
            <w:r>
              <w:t xml:space="preserve">0.011 (0.008)</w:t>
            </w:r>
          </w:p>
        </w:tc>
        <w:tc>
          <w:tcPr/>
          <w:p>
            <w:pPr>
              <w:pStyle w:val="Compact"/>
              <w:jc w:val="left"/>
            </w:pPr>
            <w:r>
              <w:t xml:space="preserve">119</w:t>
            </w:r>
          </w:p>
        </w:tc>
        <w:tc>
          <w:tcPr/>
          <w:p>
            <w:pPr>
              <w:pStyle w:val="Compact"/>
              <w:jc w:val="left"/>
            </w:pPr>
            <w:r>
              <w:t xml:space="preserve">Partner = VNM</w:t>
            </w:r>
          </w:p>
        </w:tc>
      </w:tr>
      <w:tr>
        <w:tc>
          <w:tcPr/>
          <w:p>
            <w:pPr>
              <w:pStyle w:val="Compact"/>
              <w:jc w:val="left"/>
            </w:pPr>
            <w:r>
              <w:t xml:space="preserve">(N17) EU-8 Post×ΔM TNLG 2023–24</w:t>
            </w:r>
          </w:p>
        </w:tc>
        <w:tc>
          <w:tcPr/>
          <w:p>
            <w:pPr>
              <w:pStyle w:val="Compact"/>
              <w:jc w:val="left"/>
            </w:pPr>
            <w:r>
              <w:t xml:space="preserve">0.029*** (0.006)</w:t>
            </w:r>
          </w:p>
        </w:tc>
        <w:tc>
          <w:tcPr/>
          <w:p>
            <w:pPr>
              <w:pStyle w:val="Compact"/>
              <w:jc w:val="left"/>
            </w:pPr>
            <w:r>
              <w:t xml:space="preserve">168</w:t>
            </w:r>
          </w:p>
        </w:tc>
        <w:tc>
          <w:tcPr/>
          <w:p>
            <w:pPr>
              <w:pStyle w:val="Compact"/>
              <w:jc w:val="left"/>
            </w:pPr>
            <w:r>
              <w:t xml:space="preserve">Same fragile eight-country sample as TANY EU-8</w:t>
            </w:r>
          </w:p>
        </w:tc>
      </w:tr>
      <w:tr>
        <w:tc>
          <w:tcPr/>
          <w:p>
            <w:pPr>
              <w:pStyle w:val="Compact"/>
              <w:jc w:val="left"/>
            </w:pPr>
            <w:r>
              <w:t xml:space="preserve">(N18) Cross-section Δlog IN SJ3 22–24 on ΔTNLG 23–24</w:t>
            </w:r>
          </w:p>
        </w:tc>
        <w:tc>
          <w:tcPr/>
          <w:p>
            <w:pPr>
              <w:pStyle w:val="Compact"/>
              <w:jc w:val="left"/>
            </w:pPr>
            <w:r>
              <w:t xml:space="preserve">0.017*** (0.004)</w:t>
            </w:r>
          </w:p>
        </w:tc>
        <w:tc>
          <w:tcPr/>
          <w:p>
            <w:pPr>
              <w:pStyle w:val="Compact"/>
              <w:jc w:val="left"/>
            </w:pPr>
            <w:r>
              <w:t xml:space="preserve">17</w:t>
            </w:r>
          </w:p>
        </w:tc>
        <w:tc>
          <w:tcPr/>
          <w:p>
            <w:pPr>
              <w:pStyle w:val="Compact"/>
              <w:jc w:val="left"/>
            </w:pPr>
            <w:r>
              <w:t xml:space="preserve">No FE; one obs per importer</w:t>
            </w:r>
          </w:p>
        </w:tc>
      </w:tr>
      <w:tr>
        <w:tc>
          <w:tcPr/>
          <w:p>
            <w:pPr>
              <w:pStyle w:val="Compact"/>
              <w:jc w:val="left"/>
            </w:pPr>
            <w:r>
              <w:t xml:space="preserve">(N19) log M71 GVA Post×ΔM TNLG 2023–24</w:t>
            </w:r>
          </w:p>
        </w:tc>
        <w:tc>
          <w:tcPr/>
          <w:p>
            <w:pPr>
              <w:pStyle w:val="Compact"/>
              <w:jc w:val="left"/>
            </w:pPr>
            <w:r>
              <w:t xml:space="preserve">-0.007* (0.004)</w:t>
            </w:r>
          </w:p>
        </w:tc>
        <w:tc>
          <w:tcPr/>
          <w:p>
            <w:pPr>
              <w:pStyle w:val="Compact"/>
              <w:jc w:val="left"/>
            </w:pPr>
            <w:r>
              <w:t xml:space="preserve">96</w:t>
            </w:r>
          </w:p>
        </w:tc>
        <w:tc>
          <w:tcPr/>
          <w:p>
            <w:pPr>
              <w:pStyle w:val="Compact"/>
              <w:jc w:val="left"/>
            </w:pPr>
            <w:r>
              <w:t xml:space="preserve">Domestic architectural &amp; engineering GVA; GVA only to 2023</w:t>
            </w:r>
          </w:p>
        </w:tc>
      </w:tr>
      <w:tr>
        <w:tc>
          <w:tcPr/>
          <w:p>
            <w:pPr>
              <w:pStyle w:val="Compact"/>
              <w:jc w:val="left"/>
            </w:pPr>
            <w:r>
              <w:t xml:space="preserve">(N20) SJ2 consulting Post×ΔM TNLG</w:t>
            </w:r>
          </w:p>
        </w:tc>
        <w:tc>
          <w:tcPr/>
          <w:p>
            <w:pPr>
              <w:pStyle w:val="Compact"/>
              <w:jc w:val="left"/>
            </w:pPr>
            <w:r>
              <w:t xml:space="preserve">0.006 (0.011)</w:t>
            </w:r>
          </w:p>
        </w:tc>
        <w:tc>
          <w:tcPr/>
          <w:p>
            <w:pPr>
              <w:pStyle w:val="Compact"/>
              <w:jc w:val="left"/>
            </w:pPr>
            <w:r>
              <w:t xml:space="preserve">357</w:t>
            </w:r>
          </w:p>
        </w:tc>
        <w:tc>
          <w:tcPr/>
          <w:p>
            <w:pPr>
              <w:pStyle w:val="Compact"/>
              <w:jc w:val="left"/>
            </w:pPr>
            <w:r>
              <w:t xml:space="preserve">Same importers/partners as SJ3</w:t>
            </w:r>
          </w:p>
        </w:tc>
      </w:tr>
      <w:tr>
        <w:tc>
          <w:tcPr/>
          <w:p>
            <w:pPr>
              <w:pStyle w:val="Compact"/>
              <w:jc w:val="left"/>
            </w:pPr>
            <w:r>
              <w:t xml:space="preserve">(N20) SJ1 R&amp;D Post×ΔM TNLG</w:t>
            </w:r>
          </w:p>
        </w:tc>
        <w:tc>
          <w:tcPr/>
          <w:p>
            <w:pPr>
              <w:pStyle w:val="Compact"/>
              <w:jc w:val="left"/>
            </w:pPr>
            <w:r>
              <w:t xml:space="preserve">0.007 (0.011)</w:t>
            </w:r>
          </w:p>
        </w:tc>
        <w:tc>
          <w:tcPr/>
          <w:p>
            <w:pPr>
              <w:pStyle w:val="Compact"/>
              <w:jc w:val="left"/>
            </w:pPr>
            <w:r>
              <w:t xml:space="preserve">357</w:t>
            </w:r>
          </w:p>
        </w:tc>
        <w:tc>
          <w:tcPr/>
          <w:p>
            <w:pPr>
              <w:pStyle w:val="Compact"/>
              <w:jc w:val="left"/>
            </w:pPr>
            <w:r>
              <w:t xml:space="preserve">Same importers/partners as SJ3</w:t>
            </w:r>
          </w:p>
        </w:tc>
      </w:tr>
    </w:tbl>
    <w:bookmarkEnd w:id="125"/>
    <w:bookmarkStart w:id="126" w:name="X4674d1542aea018c780f7e117e58fb6f0efc6f6"/>
    <w:p>
      <w:pPr>
        <w:pStyle w:val="Heading3"/>
      </w:pPr>
      <w:r>
        <w:t xml:space="preserve">Table 14. Event study: year × ΔM TNLG 2023–24 (omit 2022)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coef</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2018.0</w:t>
            </w:r>
          </w:p>
        </w:tc>
        <w:tc>
          <w:tcPr/>
          <w:p>
            <w:pPr>
              <w:pStyle w:val="Compact"/>
              <w:jc w:val="left"/>
            </w:pPr>
            <w:r>
              <w:t xml:space="preserve">0.007</w:t>
            </w:r>
          </w:p>
        </w:tc>
        <w:tc>
          <w:tcPr/>
          <w:p>
            <w:pPr>
              <w:pStyle w:val="Compact"/>
              <w:jc w:val="left"/>
            </w:pPr>
            <w:r>
              <w:t xml:space="preserve">0.014</w:t>
            </w:r>
          </w:p>
        </w:tc>
        <w:tc>
          <w:tcPr/>
          <w:p>
            <w:pPr>
              <w:pStyle w:val="Compact"/>
              <w:jc w:val="left"/>
            </w:pPr>
            <w:r>
              <w:t xml:space="preserve">0.606</w:t>
            </w:r>
          </w:p>
        </w:tc>
      </w:tr>
      <w:tr>
        <w:tc>
          <w:tcPr/>
          <w:p>
            <w:pPr>
              <w:pStyle w:val="Compact"/>
              <w:jc w:val="left"/>
            </w:pPr>
            <w:r>
              <w:t xml:space="preserve">2019.0</w:t>
            </w:r>
          </w:p>
        </w:tc>
        <w:tc>
          <w:tcPr/>
          <w:p>
            <w:pPr>
              <w:pStyle w:val="Compact"/>
              <w:jc w:val="left"/>
            </w:pPr>
            <w:r>
              <w:t xml:space="preserve">0.003</w:t>
            </w:r>
          </w:p>
        </w:tc>
        <w:tc>
          <w:tcPr/>
          <w:p>
            <w:pPr>
              <w:pStyle w:val="Compact"/>
              <w:jc w:val="left"/>
            </w:pPr>
            <w:r>
              <w:t xml:space="preserve">0.012</w:t>
            </w:r>
          </w:p>
        </w:tc>
        <w:tc>
          <w:tcPr/>
          <w:p>
            <w:pPr>
              <w:pStyle w:val="Compact"/>
              <w:jc w:val="left"/>
            </w:pPr>
            <w:r>
              <w:t xml:space="preserve">0.779</w:t>
            </w:r>
          </w:p>
        </w:tc>
      </w:tr>
      <w:tr>
        <w:tc>
          <w:tcPr/>
          <w:p>
            <w:pPr>
              <w:pStyle w:val="Compact"/>
              <w:jc w:val="left"/>
            </w:pPr>
            <w:r>
              <w:t xml:space="preserve">2020.0</w:t>
            </w:r>
          </w:p>
        </w:tc>
        <w:tc>
          <w:tcPr/>
          <w:p>
            <w:pPr>
              <w:pStyle w:val="Compact"/>
              <w:jc w:val="left"/>
            </w:pPr>
            <w:r>
              <w:t xml:space="preserve">0.014</w:t>
            </w:r>
          </w:p>
        </w:tc>
        <w:tc>
          <w:tcPr/>
          <w:p>
            <w:pPr>
              <w:pStyle w:val="Compact"/>
              <w:jc w:val="left"/>
            </w:pPr>
            <w:r>
              <w:t xml:space="preserve">0.013</w:t>
            </w:r>
          </w:p>
        </w:tc>
        <w:tc>
          <w:tcPr/>
          <w:p>
            <w:pPr>
              <w:pStyle w:val="Compact"/>
              <w:jc w:val="left"/>
            </w:pPr>
            <w:r>
              <w:t xml:space="preserve">0.294</w:t>
            </w:r>
          </w:p>
        </w:tc>
      </w:tr>
      <w:tr>
        <w:tc>
          <w:tcPr/>
          <w:p>
            <w:pPr>
              <w:pStyle w:val="Compact"/>
              <w:jc w:val="left"/>
            </w:pPr>
            <w:r>
              <w:t xml:space="preserve">2021.0</w:t>
            </w:r>
          </w:p>
        </w:tc>
        <w:tc>
          <w:tcPr/>
          <w:p>
            <w:pPr>
              <w:pStyle w:val="Compact"/>
              <w:jc w:val="left"/>
            </w:pPr>
            <w:r>
              <w:t xml:space="preserve">0.009</w:t>
            </w:r>
          </w:p>
        </w:tc>
        <w:tc>
          <w:tcPr/>
          <w:p>
            <w:pPr>
              <w:pStyle w:val="Compact"/>
              <w:jc w:val="left"/>
            </w:pPr>
            <w:r>
              <w:t xml:space="preserve">0.011</w:t>
            </w:r>
          </w:p>
        </w:tc>
        <w:tc>
          <w:tcPr/>
          <w:p>
            <w:pPr>
              <w:pStyle w:val="Compact"/>
              <w:jc w:val="left"/>
            </w:pPr>
            <w:r>
              <w:t xml:space="preserve">0.409</w:t>
            </w:r>
          </w:p>
        </w:tc>
      </w:tr>
      <w:tr>
        <w:tc>
          <w:tcPr/>
          <w:p>
            <w:pPr>
              <w:pStyle w:val="Compact"/>
              <w:jc w:val="left"/>
            </w:pPr>
            <w:r>
              <w:t xml:space="preserve">2022.0</w:t>
            </w:r>
          </w:p>
        </w:tc>
        <w:tc>
          <w:tcPr/>
          <w:p>
            <w:pPr>
              <w:pStyle w:val="Compact"/>
              <w:jc w:val="left"/>
            </w:pPr>
            <w:r>
              <w:t xml:space="preserve">0.0</w:t>
            </w:r>
          </w:p>
        </w:tc>
        <w:tc>
          <w:tcPr/>
          <w:p>
            <w:pPr>
              <w:pStyle w:val="Compact"/>
              <w:jc w:val="left"/>
            </w:pPr>
            <w:r>
              <w:t xml:space="preserve">0.0</w:t>
            </w:r>
          </w:p>
        </w:tc>
        <w:tc>
          <w:tcPr/>
          <w:p>
            <w:pPr>
              <w:pStyle w:val="Compact"/>
              <w:jc w:val="left"/>
            </w:pPr>
            <w:r>
              <w:t xml:space="preserve">1.0</w:t>
            </w:r>
          </w:p>
        </w:tc>
      </w:tr>
      <w:tr>
        <w:tc>
          <w:tcPr/>
          <w:p>
            <w:pPr>
              <w:pStyle w:val="Compact"/>
              <w:jc w:val="left"/>
            </w:pPr>
            <w:r>
              <w:t xml:space="preserve">2023.0</w:t>
            </w:r>
          </w:p>
        </w:tc>
        <w:tc>
          <w:tcPr/>
          <w:p>
            <w:pPr>
              <w:pStyle w:val="Compact"/>
              <w:jc w:val="left"/>
            </w:pPr>
            <w:r>
              <w:t xml:space="preserve">0.016</w:t>
            </w:r>
          </w:p>
        </w:tc>
        <w:tc>
          <w:tcPr/>
          <w:p>
            <w:pPr>
              <w:pStyle w:val="Compact"/>
              <w:jc w:val="left"/>
            </w:pPr>
            <w:r>
              <w:t xml:space="preserve">0.008</w:t>
            </w:r>
          </w:p>
        </w:tc>
        <w:tc>
          <w:tcPr/>
          <w:p>
            <w:pPr>
              <w:pStyle w:val="Compact"/>
              <w:jc w:val="left"/>
            </w:pPr>
            <w:r>
              <w:t xml:space="preserve">0.041</w:t>
            </w:r>
          </w:p>
        </w:tc>
      </w:tr>
      <w:tr>
        <w:tc>
          <w:tcPr/>
          <w:p>
            <w:pPr>
              <w:pStyle w:val="Compact"/>
              <w:jc w:val="left"/>
            </w:pPr>
            <w:r>
              <w:t xml:space="preserve">2024.0</w:t>
            </w:r>
          </w:p>
        </w:tc>
        <w:tc>
          <w:tcPr/>
          <w:p>
            <w:pPr>
              <w:pStyle w:val="Compact"/>
              <w:jc w:val="left"/>
            </w:pPr>
            <w:r>
              <w:t xml:space="preserve">0.015</w:t>
            </w:r>
          </w:p>
        </w:tc>
        <w:tc>
          <w:tcPr/>
          <w:p>
            <w:pPr>
              <w:pStyle w:val="Compact"/>
              <w:jc w:val="left"/>
            </w:pPr>
            <w:r>
              <w:t xml:space="preserve">0.008</w:t>
            </w:r>
          </w:p>
        </w:tc>
        <w:tc>
          <w:tcPr/>
          <w:p>
            <w:pPr>
              <w:pStyle w:val="Compact"/>
              <w:jc w:val="left"/>
            </w:pPr>
            <w:r>
              <w:t xml:space="preserve">0.072</w:t>
            </w:r>
          </w:p>
        </w:tc>
      </w:tr>
    </w:tbl>
    <w:bookmarkEnd w:id="126"/>
    <w:bookmarkStart w:id="127" w:name="X5e74ad6f7d79c838cc9409e45a412a30096f183"/>
    <w:p>
      <w:pPr>
        <w:pStyle w:val="Heading3"/>
      </w:pPr>
      <w:r>
        <w:t xml:space="preserve">Table 15. EU-27 Eurostat AI types by NACE (% of enterprises,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nace</w:t>
            </w:r>
          </w:p>
        </w:tc>
        <w:tc>
          <w:tcPr/>
          <w:p>
            <w:pPr>
              <w:pStyle w:val="Compact"/>
              <w:jc w:val="left"/>
            </w:pPr>
            <w:r>
              <w:t xml:space="preserve">indic</w:t>
            </w:r>
          </w:p>
        </w:tc>
        <w:tc>
          <w:tcPr/>
          <w:p>
            <w:pPr>
              <w:pStyle w:val="Compact"/>
              <w:jc w:val="left"/>
            </w:pPr>
            <w:r>
              <w:t xml:space="preserve">2021</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C</w:t>
            </w:r>
          </w:p>
        </w:tc>
        <w:tc>
          <w:tcPr/>
          <w:p>
            <w:pPr>
              <w:pStyle w:val="Compact"/>
              <w:jc w:val="left"/>
            </w:pPr>
            <w:r>
              <w:t xml:space="preserve">E_AI_TANY</w:t>
            </w:r>
          </w:p>
        </w:tc>
        <w:tc>
          <w:tcPr/>
          <w:p>
            <w:pPr>
              <w:pStyle w:val="Compact"/>
              <w:jc w:val="left"/>
            </w:pPr>
            <w:r>
              <w:t xml:space="preserve">6.93</w:t>
            </w:r>
          </w:p>
        </w:tc>
        <w:tc>
          <w:tcPr/>
          <w:p>
            <w:pPr>
              <w:pStyle w:val="Compact"/>
              <w:jc w:val="left"/>
            </w:pPr>
            <w:r>
              <w:t xml:space="preserve">6.79</w:t>
            </w:r>
          </w:p>
        </w:tc>
        <w:tc>
          <w:tcPr/>
          <w:p>
            <w:pPr>
              <w:pStyle w:val="Compact"/>
              <w:jc w:val="left"/>
            </w:pPr>
            <w:r>
              <w:t xml:space="preserve">10.57</w:t>
            </w:r>
          </w:p>
        </w:tc>
        <w:tc>
          <w:tcPr/>
          <w:p>
            <w:pPr>
              <w:pStyle w:val="Compact"/>
              <w:jc w:val="left"/>
            </w:pPr>
            <w:r>
              <w:t xml:space="preserve">17.27</w:t>
            </w:r>
          </w:p>
        </w:tc>
      </w:tr>
      <w:tr>
        <w:tc>
          <w:tcPr/>
          <w:p>
            <w:pPr>
              <w:pStyle w:val="Compact"/>
              <w:jc w:val="left"/>
            </w:pPr>
            <w:r>
              <w:t xml:space="preserve">C</w:t>
            </w:r>
          </w:p>
        </w:tc>
        <w:tc>
          <w:tcPr/>
          <w:p>
            <w:pPr>
              <w:pStyle w:val="Compact"/>
              <w:jc w:val="left"/>
            </w:pPr>
            <w:r>
              <w:t xml:space="preserve">E_AI_TIR</w:t>
            </w:r>
          </w:p>
        </w:tc>
        <w:tc>
          <w:tcPr/>
          <w:p>
            <w:pPr>
              <w:pStyle w:val="Compact"/>
              <w:jc w:val="left"/>
            </w:pPr>
            <w:r>
              <w:t xml:space="preserve">2.16</w:t>
            </w:r>
          </w:p>
        </w:tc>
        <w:tc>
          <w:tcPr/>
          <w:p>
            <w:pPr>
              <w:pStyle w:val="Compact"/>
              <w:jc w:val="left"/>
            </w:pPr>
            <w:r>
              <w:t xml:space="preserve">2.23</w:t>
            </w:r>
          </w:p>
        </w:tc>
        <w:tc>
          <w:tcPr/>
          <w:p>
            <w:pPr>
              <w:pStyle w:val="Compact"/>
              <w:jc w:val="left"/>
            </w:pPr>
            <w:r>
              <w:t xml:space="preserve">2.74</w:t>
            </w:r>
          </w:p>
        </w:tc>
        <w:tc>
          <w:tcPr/>
          <w:p>
            <w:pPr>
              <w:pStyle w:val="Compact"/>
              <w:jc w:val="left"/>
            </w:pPr>
            <w:r>
              <w:t xml:space="preserve">3.14</w:t>
            </w:r>
          </w:p>
        </w:tc>
      </w:tr>
      <w:tr>
        <w:tc>
          <w:tcPr/>
          <w:p>
            <w:pPr>
              <w:pStyle w:val="Compact"/>
              <w:jc w:val="left"/>
            </w:pPr>
            <w:r>
              <w:t xml:space="preserve">C</w:t>
            </w:r>
          </w:p>
        </w:tc>
        <w:tc>
          <w:tcPr/>
          <w:p>
            <w:pPr>
              <w:pStyle w:val="Compact"/>
              <w:jc w:val="left"/>
            </w:pPr>
            <w:r>
              <w:t xml:space="preserve">E_AI_TML</w:t>
            </w:r>
          </w:p>
        </w:tc>
        <w:tc>
          <w:tcPr/>
          <w:p>
            <w:pPr>
              <w:pStyle w:val="Compact"/>
              <w:jc w:val="left"/>
            </w:pPr>
            <w:r>
              <w:t xml:space="preserve">1.67</w:t>
            </w:r>
          </w:p>
        </w:tc>
        <w:tc>
          <w:tcPr/>
          <w:p>
            <w:pPr>
              <w:pStyle w:val="Compact"/>
              <w:jc w:val="left"/>
            </w:pPr>
            <w:r>
              <w:t xml:space="preserve">1.73</w:t>
            </w:r>
          </w:p>
        </w:tc>
        <w:tc>
          <w:tcPr/>
          <w:p>
            <w:pPr>
              <w:pStyle w:val="Compact"/>
              <w:jc w:val="left"/>
            </w:pPr>
            <w:r>
              <w:t xml:space="preserve">2.73</w:t>
            </w:r>
          </w:p>
        </w:tc>
        <w:tc>
          <w:tcPr/>
          <w:p>
            <w:pPr>
              <w:pStyle w:val="Compact"/>
              <w:jc w:val="left"/>
            </w:pPr>
            <w:r>
              <w:t xml:space="preserve">3.66</w:t>
            </w:r>
          </w:p>
        </w:tc>
      </w:tr>
      <w:tr>
        <w:tc>
          <w:tcPr/>
          <w:p>
            <w:pPr>
              <w:pStyle w:val="Compact"/>
              <w:jc w:val="left"/>
            </w:pPr>
            <w:r>
              <w:t xml:space="preserve">C</w:t>
            </w:r>
          </w:p>
        </w:tc>
        <w:tc>
          <w:tcPr/>
          <w:p>
            <w:pPr>
              <w:pStyle w:val="Compact"/>
              <w:jc w:val="left"/>
            </w:pPr>
            <w:r>
              <w:t xml:space="preserve">E_AI_TNLG</w:t>
            </w:r>
          </w:p>
        </w:tc>
        <w:tc>
          <w:tcPr/>
          <w:p>
            <w:pPr>
              <w:pStyle w:val="Compact"/>
              <w:jc w:val="left"/>
            </w:pPr>
            <w:r>
              <w:t xml:space="preserve">0.85</w:t>
            </w:r>
          </w:p>
        </w:tc>
        <w:tc>
          <w:tcPr/>
          <w:p>
            <w:pPr>
              <w:pStyle w:val="Compact"/>
              <w:jc w:val="left"/>
            </w:pPr>
            <w:r>
              <w:t xml:space="preserve">1.19</w:t>
            </w:r>
          </w:p>
        </w:tc>
        <w:tc>
          <w:tcPr/>
          <w:p>
            <w:pPr>
              <w:pStyle w:val="Compact"/>
              <w:jc w:val="left"/>
            </w:pPr>
            <w:r>
              <w:t xml:space="preserve">3.53</w:t>
            </w:r>
          </w:p>
        </w:tc>
        <w:tc>
          <w:tcPr/>
          <w:p>
            <w:pPr>
              <w:pStyle w:val="Compact"/>
              <w:jc w:val="left"/>
            </w:pPr>
            <w:r>
              <w:t xml:space="preserve">7.09</w:t>
            </w:r>
          </w:p>
        </w:tc>
      </w:tr>
      <w:tr>
        <w:tc>
          <w:tcPr/>
          <w:p>
            <w:pPr>
              <w:pStyle w:val="Compact"/>
              <w:jc w:val="left"/>
            </w:pPr>
            <w:r>
              <w:t xml:space="preserve">C</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7.54</w:t>
            </w:r>
          </w:p>
        </w:tc>
      </w:tr>
      <w:tr>
        <w:tc>
          <w:tcPr/>
          <w:p>
            <w:pPr>
              <w:pStyle w:val="Compact"/>
              <w:jc w:val="left"/>
            </w:pPr>
            <w:r>
              <w:t xml:space="preserve">C</w:t>
            </w:r>
          </w:p>
        </w:tc>
        <w:tc>
          <w:tcPr/>
          <w:p>
            <w:pPr>
              <w:pStyle w:val="Compact"/>
              <w:jc w:val="left"/>
            </w:pPr>
            <w:r>
              <w:t xml:space="preserve">E_AI_TTM</w:t>
            </w:r>
          </w:p>
        </w:tc>
        <w:tc>
          <w:tcPr/>
          <w:p>
            <w:pPr>
              <w:pStyle w:val="Compact"/>
              <w:jc w:val="left"/>
            </w:pPr>
            <w:r>
              <w:t xml:space="preserve">1.62</w:t>
            </w:r>
          </w:p>
        </w:tc>
        <w:tc>
          <w:tcPr/>
          <w:p>
            <w:pPr>
              <w:pStyle w:val="Compact"/>
              <w:jc w:val="left"/>
            </w:pPr>
            <w:r>
              <w:t xml:space="preserve">1.82</w:t>
            </w:r>
          </w:p>
        </w:tc>
        <w:tc>
          <w:tcPr/>
          <w:p>
            <w:pPr>
              <w:pStyle w:val="Compact"/>
              <w:jc w:val="left"/>
            </w:pPr>
            <w:r>
              <w:t xml:space="preserve">4.58</w:t>
            </w:r>
          </w:p>
        </w:tc>
        <w:tc>
          <w:tcPr/>
          <w:p>
            <w:pPr>
              <w:pStyle w:val="Compact"/>
              <w:jc w:val="left"/>
            </w:pPr>
            <w:r>
              <w:t xml:space="preserve">9.42</w:t>
            </w:r>
          </w:p>
        </w:tc>
      </w:tr>
      <w:tr>
        <w:tc>
          <w:tcPr/>
          <w:p>
            <w:pPr>
              <w:pStyle w:val="Compact"/>
              <w:jc w:val="left"/>
            </w:pPr>
            <w:r>
              <w:t xml:space="preserve">F</w:t>
            </w:r>
          </w:p>
        </w:tc>
        <w:tc>
          <w:tcPr/>
          <w:p>
            <w:pPr>
              <w:pStyle w:val="Compact"/>
              <w:jc w:val="left"/>
            </w:pPr>
            <w:r>
              <w:t xml:space="preserve">E_AI_TIR</w:t>
            </w:r>
          </w:p>
        </w:tc>
        <w:tc>
          <w:tcPr/>
          <w:p>
            <w:pPr>
              <w:pStyle w:val="Compact"/>
              <w:jc w:val="left"/>
            </w:pPr>
            <w:r>
              <w:t xml:space="preserve">1.17</w:t>
            </w:r>
          </w:p>
        </w:tc>
        <w:tc>
          <w:tcPr/>
          <w:p>
            <w:pPr>
              <w:pStyle w:val="Compact"/>
              <w:jc w:val="left"/>
            </w:pPr>
            <w:r>
              <w:t xml:space="preserve">0.82</w:t>
            </w:r>
          </w:p>
        </w:tc>
        <w:tc>
          <w:tcPr/>
          <w:p>
            <w:pPr>
              <w:pStyle w:val="Compact"/>
              <w:jc w:val="left"/>
            </w:pPr>
            <w:r>
              <w:t xml:space="preserve">1.49</w:t>
            </w:r>
          </w:p>
        </w:tc>
        <w:tc>
          <w:tcPr/>
          <w:p>
            <w:pPr>
              <w:pStyle w:val="Compact"/>
              <w:jc w:val="left"/>
            </w:pPr>
            <w:r>
              <w:t xml:space="preserve">2.27</w:t>
            </w:r>
          </w:p>
        </w:tc>
      </w:tr>
      <w:tr>
        <w:tc>
          <w:tcPr/>
          <w:p>
            <w:pPr>
              <w:pStyle w:val="Compact"/>
              <w:jc w:val="left"/>
            </w:pPr>
            <w:r>
              <w:t xml:space="preserve">F</w:t>
            </w:r>
          </w:p>
        </w:tc>
        <w:tc>
          <w:tcPr/>
          <w:p>
            <w:pPr>
              <w:pStyle w:val="Compact"/>
              <w:jc w:val="left"/>
            </w:pPr>
            <w:r>
              <w:t xml:space="preserve">E_AI_TML</w:t>
            </w:r>
          </w:p>
        </w:tc>
        <w:tc>
          <w:tcPr/>
          <w:p>
            <w:pPr>
              <w:pStyle w:val="Compact"/>
              <w:jc w:val="left"/>
            </w:pPr>
            <w:r>
              <w:t xml:space="preserve">0.68</w:t>
            </w:r>
          </w:p>
        </w:tc>
        <w:tc>
          <w:tcPr/>
          <w:p>
            <w:pPr>
              <w:pStyle w:val="Compact"/>
              <w:jc w:val="left"/>
            </w:pPr>
            <w:r>
              <w:t xml:space="preserve">0.43</w:t>
            </w:r>
          </w:p>
        </w:tc>
        <w:tc>
          <w:tcPr/>
          <w:p>
            <w:pPr>
              <w:pStyle w:val="Compact"/>
              <w:jc w:val="left"/>
            </w:pPr>
            <w:r>
              <w:t xml:space="preserve">0.83</w:t>
            </w:r>
          </w:p>
        </w:tc>
        <w:tc>
          <w:tcPr/>
          <w:p>
            <w:pPr>
              <w:pStyle w:val="Compact"/>
              <w:jc w:val="left"/>
            </w:pPr>
            <w:r>
              <w:t xml:space="preserve">1.62</w:t>
            </w:r>
          </w:p>
        </w:tc>
      </w:tr>
      <w:tr>
        <w:tc>
          <w:tcPr/>
          <w:p>
            <w:pPr>
              <w:pStyle w:val="Compact"/>
              <w:jc w:val="left"/>
            </w:pPr>
            <w:r>
              <w:t xml:space="preserve">F</w:t>
            </w:r>
          </w:p>
        </w:tc>
        <w:tc>
          <w:tcPr/>
          <w:p>
            <w:pPr>
              <w:pStyle w:val="Compact"/>
              <w:jc w:val="left"/>
            </w:pPr>
            <w:r>
              <w:t xml:space="preserve">E_AI_TNLG</w:t>
            </w:r>
          </w:p>
        </w:tc>
        <w:tc>
          <w:tcPr/>
          <w:p>
            <w:pPr>
              <w:pStyle w:val="Compact"/>
              <w:jc w:val="left"/>
            </w:pPr>
            <w:r>
              <w:t xml:space="preserve">0.99</w:t>
            </w:r>
          </w:p>
        </w:tc>
        <w:tc>
          <w:tcPr/>
          <w:p>
            <w:pPr>
              <w:pStyle w:val="Compact"/>
              <w:jc w:val="left"/>
            </w:pPr>
            <w:r>
              <w:t xml:space="preserve">0.58</w:t>
            </w:r>
          </w:p>
        </w:tc>
        <w:tc>
          <w:tcPr/>
          <w:p>
            <w:pPr>
              <w:pStyle w:val="Compact"/>
              <w:jc w:val="left"/>
            </w:pPr>
            <w:r>
              <w:t xml:space="preserve">2.42</w:t>
            </w:r>
          </w:p>
        </w:tc>
        <w:tc>
          <w:tcPr/>
          <w:p>
            <w:pPr>
              <w:pStyle w:val="Compact"/>
              <w:jc w:val="left"/>
            </w:pPr>
            <w:r>
              <w:t xml:space="preserve">3.25</w:t>
            </w:r>
          </w:p>
        </w:tc>
      </w:tr>
      <w:tr>
        <w:tc>
          <w:tcPr/>
          <w:p>
            <w:pPr>
              <w:pStyle w:val="Compact"/>
              <w:jc w:val="left"/>
            </w:pPr>
            <w:r>
              <w:t xml:space="preserve">F</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4.47</w:t>
            </w:r>
          </w:p>
        </w:tc>
      </w:tr>
      <w:tr>
        <w:tc>
          <w:tcPr/>
          <w:p>
            <w:pPr>
              <w:pStyle w:val="Compact"/>
              <w:jc w:val="left"/>
            </w:pPr>
            <w:r>
              <w:t xml:space="preserve">F</w:t>
            </w:r>
          </w:p>
        </w:tc>
        <w:tc>
          <w:tcPr/>
          <w:p>
            <w:pPr>
              <w:pStyle w:val="Compact"/>
              <w:jc w:val="left"/>
            </w:pPr>
            <w:r>
              <w:t xml:space="preserve">E_AI_TTM</w:t>
            </w:r>
          </w:p>
        </w:tc>
        <w:tc>
          <w:tcPr/>
          <w:p>
            <w:pPr>
              <w:pStyle w:val="Compact"/>
              <w:jc w:val="left"/>
            </w:pPr>
            <w:r>
              <w:t xml:space="preserve">1.43</w:t>
            </w:r>
          </w:p>
        </w:tc>
        <w:tc>
          <w:tcPr/>
          <w:p>
            <w:pPr>
              <w:pStyle w:val="Compact"/>
              <w:jc w:val="left"/>
            </w:pPr>
            <w:r>
              <w:t xml:space="preserve">0.98</w:t>
            </w:r>
          </w:p>
        </w:tc>
        <w:tc>
          <w:tcPr/>
          <w:p>
            <w:pPr>
              <w:pStyle w:val="Compact"/>
              <w:jc w:val="left"/>
            </w:pPr>
            <w:r>
              <w:t xml:space="preserve">2.81</w:t>
            </w:r>
          </w:p>
        </w:tc>
        <w:tc>
          <w:tcPr/>
          <w:p>
            <w:pPr>
              <w:pStyle w:val="Compact"/>
              <w:jc w:val="left"/>
            </w:pPr>
            <w:r>
              <w:t xml:space="preserve">6.09</w:t>
            </w:r>
          </w:p>
        </w:tc>
      </w:tr>
      <w:tr>
        <w:tc>
          <w:tcPr/>
          <w:p>
            <w:pPr>
              <w:pStyle w:val="Compact"/>
              <w:jc w:val="left"/>
            </w:pPr>
            <w:r>
              <w:t xml:space="preserve">J</w:t>
            </w:r>
          </w:p>
        </w:tc>
        <w:tc>
          <w:tcPr/>
          <w:p>
            <w:pPr>
              <w:pStyle w:val="Compact"/>
              <w:jc w:val="left"/>
            </w:pPr>
            <w:r>
              <w:t xml:space="preserve">E_AI_TANY</w:t>
            </w:r>
          </w:p>
        </w:tc>
        <w:tc>
          <w:tcPr/>
          <w:p>
            <w:pPr>
              <w:pStyle w:val="Compact"/>
              <w:jc w:val="left"/>
            </w:pPr>
            <w:r>
              <w:t xml:space="preserve">25.37</w:t>
            </w:r>
          </w:p>
        </w:tc>
        <w:tc>
          <w:tcPr/>
          <w:p>
            <w:pPr>
              <w:pStyle w:val="Compact"/>
              <w:jc w:val="left"/>
            </w:pPr>
            <w:r>
              <w:t xml:space="preserve">29.53</w:t>
            </w:r>
          </w:p>
        </w:tc>
        <w:tc>
          <w:tcPr/>
          <w:p>
            <w:pPr>
              <w:pStyle w:val="Compact"/>
              <w:jc w:val="left"/>
            </w:pPr>
            <w:r>
              <w:t xml:space="preserve">48.72</w:t>
            </w:r>
          </w:p>
        </w:tc>
        <w:tc>
          <w:tcPr/>
          <w:p>
            <w:pPr>
              <w:pStyle w:val="Compact"/>
              <w:jc w:val="left"/>
            </w:pPr>
            <w:r>
              <w:t xml:space="preserve">62.52</w:t>
            </w:r>
          </w:p>
        </w:tc>
      </w:tr>
      <w:tr>
        <w:tc>
          <w:tcPr/>
          <w:p>
            <w:pPr>
              <w:pStyle w:val="Compact"/>
              <w:jc w:val="left"/>
            </w:pPr>
            <w:r>
              <w:t xml:space="preserve">J</w:t>
            </w:r>
          </w:p>
        </w:tc>
        <w:tc>
          <w:tcPr/>
          <w:p>
            <w:pPr>
              <w:pStyle w:val="Compact"/>
              <w:jc w:val="left"/>
            </w:pPr>
            <w:r>
              <w:t xml:space="preserve">E_AI_TIR</w:t>
            </w:r>
          </w:p>
        </w:tc>
        <w:tc>
          <w:tcPr/>
          <w:p>
            <w:pPr>
              <w:pStyle w:val="Compact"/>
              <w:jc w:val="left"/>
            </w:pPr>
            <w:r>
              <w:t xml:space="preserve">8.56</w:t>
            </w:r>
          </w:p>
        </w:tc>
        <w:tc>
          <w:tcPr/>
          <w:p>
            <w:pPr>
              <w:pStyle w:val="Compact"/>
              <w:jc w:val="left"/>
            </w:pPr>
            <w:r>
              <w:t xml:space="preserve">9.87</w:t>
            </w:r>
          </w:p>
        </w:tc>
        <w:tc>
          <w:tcPr/>
          <w:p>
            <w:pPr>
              <w:pStyle w:val="Compact"/>
              <w:jc w:val="left"/>
            </w:pPr>
            <w:r>
              <w:t xml:space="preserve">13.54</w:t>
            </w:r>
          </w:p>
        </w:tc>
        <w:tc>
          <w:tcPr/>
          <w:p>
            <w:pPr>
              <w:pStyle w:val="Compact"/>
              <w:jc w:val="left"/>
            </w:pPr>
            <w:r>
              <w:t xml:space="preserve">15.97</w:t>
            </w:r>
          </w:p>
        </w:tc>
      </w:tr>
      <w:tr>
        <w:tc>
          <w:tcPr/>
          <w:p>
            <w:pPr>
              <w:pStyle w:val="Compact"/>
              <w:jc w:val="left"/>
            </w:pPr>
            <w:r>
              <w:t xml:space="preserve">J</w:t>
            </w:r>
          </w:p>
        </w:tc>
        <w:tc>
          <w:tcPr/>
          <w:p>
            <w:pPr>
              <w:pStyle w:val="Compact"/>
              <w:jc w:val="left"/>
            </w:pPr>
            <w:r>
              <w:t xml:space="preserve">E_AI_TML</w:t>
            </w:r>
          </w:p>
        </w:tc>
        <w:tc>
          <w:tcPr/>
          <w:p>
            <w:pPr>
              <w:pStyle w:val="Compact"/>
              <w:jc w:val="left"/>
            </w:pPr>
            <w:r>
              <w:t xml:space="preserve">15.14</w:t>
            </w:r>
          </w:p>
        </w:tc>
        <w:tc>
          <w:tcPr/>
          <w:p>
            <w:pPr>
              <w:pStyle w:val="Compact"/>
              <w:jc w:val="left"/>
            </w:pPr>
            <w:r>
              <w:t xml:space="preserve">16.28</w:t>
            </w:r>
          </w:p>
        </w:tc>
        <w:tc>
          <w:tcPr/>
          <w:p>
            <w:pPr>
              <w:pStyle w:val="Compact"/>
              <w:jc w:val="left"/>
            </w:pPr>
            <w:r>
              <w:t xml:space="preserve">25.66</w:t>
            </w:r>
          </w:p>
        </w:tc>
        <w:tc>
          <w:tcPr/>
          <w:p>
            <w:pPr>
              <w:pStyle w:val="Compact"/>
              <w:jc w:val="left"/>
            </w:pPr>
            <w:r>
              <w:t xml:space="preserve">28.58</w:t>
            </w:r>
          </w:p>
        </w:tc>
      </w:tr>
      <w:tr>
        <w:tc>
          <w:tcPr/>
          <w:p>
            <w:pPr>
              <w:pStyle w:val="Compact"/>
              <w:jc w:val="left"/>
            </w:pPr>
            <w:r>
              <w:t xml:space="preserve">J</w:t>
            </w:r>
          </w:p>
        </w:tc>
        <w:tc>
          <w:tcPr/>
          <w:p>
            <w:pPr>
              <w:pStyle w:val="Compact"/>
              <w:jc w:val="left"/>
            </w:pPr>
            <w:r>
              <w:t xml:space="preserve">E_AI_TNLG</w:t>
            </w:r>
          </w:p>
        </w:tc>
        <w:tc>
          <w:tcPr/>
          <w:p>
            <w:pPr>
              <w:pStyle w:val="Compact"/>
              <w:jc w:val="left"/>
            </w:pPr>
            <w:r>
              <w:t xml:space="preserve">6.34</w:t>
            </w:r>
          </w:p>
        </w:tc>
        <w:tc>
          <w:tcPr/>
          <w:p>
            <w:pPr>
              <w:pStyle w:val="Compact"/>
              <w:jc w:val="left"/>
            </w:pPr>
            <w:r>
              <w:t xml:space="preserve">11.14</w:t>
            </w:r>
          </w:p>
        </w:tc>
        <w:tc>
          <w:tcPr/>
          <w:p>
            <w:pPr>
              <w:pStyle w:val="Compact"/>
              <w:jc w:val="left"/>
            </w:pPr>
            <w:r>
              <w:t xml:space="preserve">25.83</w:t>
            </w:r>
          </w:p>
        </w:tc>
        <w:tc>
          <w:tcPr/>
          <w:p>
            <w:pPr>
              <w:pStyle w:val="Compact"/>
              <w:jc w:val="left"/>
            </w:pPr>
            <w:r>
              <w:t xml:space="preserve">42.23</w:t>
            </w:r>
          </w:p>
        </w:tc>
      </w:tr>
      <w:tr>
        <w:tc>
          <w:tcPr/>
          <w:p>
            <w:pPr>
              <w:pStyle w:val="Compact"/>
              <w:jc w:val="left"/>
            </w:pPr>
            <w:r>
              <w:t xml:space="preserve">J</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35.53</w:t>
            </w:r>
          </w:p>
        </w:tc>
      </w:tr>
      <w:tr>
        <w:tc>
          <w:tcPr/>
          <w:p>
            <w:pPr>
              <w:pStyle w:val="Compact"/>
              <w:jc w:val="left"/>
            </w:pPr>
            <w:r>
              <w:t xml:space="preserve">J</w:t>
            </w:r>
          </w:p>
        </w:tc>
        <w:tc>
          <w:tcPr/>
          <w:p>
            <w:pPr>
              <w:pStyle w:val="Compact"/>
              <w:jc w:val="left"/>
            </w:pPr>
            <w:r>
              <w:t xml:space="preserve">E_AI_TTM</w:t>
            </w:r>
          </w:p>
        </w:tc>
        <w:tc>
          <w:tcPr/>
          <w:p>
            <w:pPr>
              <w:pStyle w:val="Compact"/>
              <w:jc w:val="left"/>
            </w:pPr>
            <w:r>
              <w:t xml:space="preserve">11.54</w:t>
            </w:r>
          </w:p>
        </w:tc>
        <w:tc>
          <w:tcPr/>
          <w:p>
            <w:pPr>
              <w:pStyle w:val="Compact"/>
              <w:jc w:val="left"/>
            </w:pPr>
            <w:r>
              <w:t xml:space="preserve">14.25</w:t>
            </w:r>
          </w:p>
        </w:tc>
        <w:tc>
          <w:tcPr/>
          <w:p>
            <w:pPr>
              <w:pStyle w:val="Compact"/>
              <w:jc w:val="left"/>
            </w:pPr>
            <w:r>
              <w:t xml:space="preserve">30.11</w:t>
            </w:r>
          </w:p>
        </w:tc>
        <w:tc>
          <w:tcPr/>
          <w:p>
            <w:pPr>
              <w:pStyle w:val="Compact"/>
              <w:jc w:val="left"/>
            </w:pPr>
            <w:r>
              <w:t xml:space="preserve">42.22</w:t>
            </w:r>
          </w:p>
        </w:tc>
      </w:tr>
      <w:tr>
        <w:tc>
          <w:tcPr/>
          <w:p>
            <w:pPr>
              <w:pStyle w:val="Compact"/>
              <w:jc w:val="left"/>
            </w:pPr>
            <w:r>
              <w:t xml:space="preserve">M</w:t>
            </w:r>
          </w:p>
        </w:tc>
        <w:tc>
          <w:tcPr/>
          <w:p>
            <w:pPr>
              <w:pStyle w:val="Compact"/>
              <w:jc w:val="left"/>
            </w:pPr>
            <w:r>
              <w:t xml:space="preserve">E_AI_TIR</w:t>
            </w:r>
          </w:p>
        </w:tc>
        <w:tc>
          <w:tcPr/>
          <w:p>
            <w:pPr>
              <w:pStyle w:val="Compact"/>
              <w:jc w:val="left"/>
            </w:pPr>
            <w:r>
              <w:t xml:space="preserve">3.98</w:t>
            </w:r>
          </w:p>
        </w:tc>
        <w:tc>
          <w:tcPr/>
          <w:p>
            <w:pPr>
              <w:pStyle w:val="Compact"/>
              <w:jc w:val="left"/>
            </w:pPr>
            <w:r>
              <w:t xml:space="preserve">4.18</w:t>
            </w:r>
          </w:p>
        </w:tc>
        <w:tc>
          <w:tcPr/>
          <w:p>
            <w:pPr>
              <w:pStyle w:val="Compact"/>
              <w:jc w:val="left"/>
            </w:pPr>
            <w:r>
              <w:t xml:space="preserve">7.35</w:t>
            </w:r>
          </w:p>
        </w:tc>
        <w:tc>
          <w:tcPr/>
          <w:p>
            <w:pPr>
              <w:pStyle w:val="Compact"/>
              <w:jc w:val="left"/>
            </w:pPr>
            <w:r>
              <w:t xml:space="preserve">6.81</w:t>
            </w:r>
          </w:p>
        </w:tc>
      </w:tr>
      <w:tr>
        <w:tc>
          <w:tcPr/>
          <w:p>
            <w:pPr>
              <w:pStyle w:val="Compact"/>
              <w:jc w:val="left"/>
            </w:pPr>
            <w:r>
              <w:t xml:space="preserve">M</w:t>
            </w:r>
          </w:p>
        </w:tc>
        <w:tc>
          <w:tcPr/>
          <w:p>
            <w:pPr>
              <w:pStyle w:val="Compact"/>
              <w:jc w:val="left"/>
            </w:pPr>
            <w:r>
              <w:t xml:space="preserve">E_AI_TML</w:t>
            </w:r>
          </w:p>
        </w:tc>
        <w:tc>
          <w:tcPr/>
          <w:p>
            <w:pPr>
              <w:pStyle w:val="Compact"/>
              <w:jc w:val="left"/>
            </w:pPr>
            <w:r>
              <w:t xml:space="preserve">6.46</w:t>
            </w:r>
          </w:p>
        </w:tc>
        <w:tc>
          <w:tcPr/>
          <w:p>
            <w:pPr>
              <w:pStyle w:val="Compact"/>
              <w:jc w:val="left"/>
            </w:pPr>
            <w:r>
              <w:t xml:space="preserve">6.82</w:t>
            </w:r>
          </w:p>
        </w:tc>
        <w:tc>
          <w:tcPr/>
          <w:p>
            <w:pPr>
              <w:pStyle w:val="Compact"/>
              <w:jc w:val="left"/>
            </w:pPr>
            <w:r>
              <w:t xml:space="preserve">11.35</w:t>
            </w:r>
          </w:p>
        </w:tc>
        <w:tc>
          <w:tcPr/>
          <w:p>
            <w:pPr>
              <w:pStyle w:val="Compact"/>
              <w:jc w:val="left"/>
            </w:pPr>
            <w:r>
              <w:t xml:space="preserve">12.46</w:t>
            </w:r>
          </w:p>
        </w:tc>
      </w:tr>
      <w:tr>
        <w:tc>
          <w:tcPr/>
          <w:p>
            <w:pPr>
              <w:pStyle w:val="Compact"/>
              <w:jc w:val="left"/>
            </w:pPr>
            <w:r>
              <w:t xml:space="preserve">M</w:t>
            </w:r>
          </w:p>
        </w:tc>
        <w:tc>
          <w:tcPr/>
          <w:p>
            <w:pPr>
              <w:pStyle w:val="Compact"/>
              <w:jc w:val="left"/>
            </w:pPr>
            <w:r>
              <w:t xml:space="preserve">E_AI_TNLG</w:t>
            </w:r>
          </w:p>
        </w:tc>
        <w:tc>
          <w:tcPr/>
          <w:p>
            <w:pPr>
              <w:pStyle w:val="Compact"/>
              <w:jc w:val="left"/>
            </w:pPr>
            <w:r>
              <w:t xml:space="preserve">2.6</w:t>
            </w:r>
          </w:p>
        </w:tc>
        <w:tc>
          <w:tcPr/>
          <w:p>
            <w:pPr>
              <w:pStyle w:val="Compact"/>
              <w:jc w:val="left"/>
            </w:pPr>
            <w:r>
              <w:t xml:space="preserve">4.55</w:t>
            </w:r>
          </w:p>
        </w:tc>
        <w:tc>
          <w:tcPr/>
          <w:p>
            <w:pPr>
              <w:pStyle w:val="Compact"/>
              <w:jc w:val="left"/>
            </w:pPr>
            <w:r>
              <w:t xml:space="preserve">11.51</w:t>
            </w:r>
          </w:p>
        </w:tc>
        <w:tc>
          <w:tcPr/>
          <w:p>
            <w:pPr>
              <w:pStyle w:val="Compact"/>
              <w:jc w:val="left"/>
            </w:pPr>
            <w:r>
              <w:t xml:space="preserve">17.74</w:t>
            </w:r>
          </w:p>
        </w:tc>
      </w:tr>
      <w:tr>
        <w:tc>
          <w:tcPr/>
          <w:p>
            <w:pPr>
              <w:pStyle w:val="Compact"/>
              <w:jc w:val="left"/>
            </w:pPr>
            <w:r>
              <w:t xml:space="preserve">M</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18.72</w:t>
            </w:r>
          </w:p>
        </w:tc>
      </w:tr>
      <w:tr>
        <w:tc>
          <w:tcPr/>
          <w:p>
            <w:pPr>
              <w:pStyle w:val="Compact"/>
              <w:jc w:val="left"/>
            </w:pPr>
            <w:r>
              <w:t xml:space="preserve">M</w:t>
            </w:r>
          </w:p>
        </w:tc>
        <w:tc>
          <w:tcPr/>
          <w:p>
            <w:pPr>
              <w:pStyle w:val="Compact"/>
              <w:jc w:val="left"/>
            </w:pPr>
            <w:r>
              <w:t xml:space="preserve">E_AI_TTM</w:t>
            </w:r>
          </w:p>
        </w:tc>
        <w:tc>
          <w:tcPr/>
          <w:p>
            <w:pPr>
              <w:pStyle w:val="Compact"/>
              <w:jc w:val="left"/>
            </w:pPr>
            <w:r>
              <w:t xml:space="preserve">6.13</w:t>
            </w:r>
          </w:p>
        </w:tc>
        <w:tc>
          <w:tcPr/>
          <w:p>
            <w:pPr>
              <w:pStyle w:val="Compact"/>
              <w:jc w:val="left"/>
            </w:pPr>
            <w:r>
              <w:t xml:space="preserve">6.92</w:t>
            </w:r>
          </w:p>
        </w:tc>
        <w:tc>
          <w:tcPr/>
          <w:p>
            <w:pPr>
              <w:pStyle w:val="Compact"/>
              <w:jc w:val="left"/>
            </w:pPr>
            <w:r>
              <w:t xml:space="preserve">15.61</w:t>
            </w:r>
          </w:p>
        </w:tc>
        <w:tc>
          <w:tcPr/>
          <w:p>
            <w:pPr>
              <w:pStyle w:val="Compact"/>
              <w:jc w:val="left"/>
            </w:pPr>
            <w:r>
              <w:t xml:space="preserve">25.22</w:t>
            </w:r>
          </w:p>
        </w:tc>
      </w:tr>
      <w:tr>
        <w:tc>
          <w:tcPr/>
          <w:p>
            <w:pPr>
              <w:pStyle w:val="Compact"/>
              <w:jc w:val="left"/>
            </w:pPr>
            <w:r>
              <w:t xml:space="preserve">N</w:t>
            </w:r>
          </w:p>
        </w:tc>
        <w:tc>
          <w:tcPr/>
          <w:p>
            <w:pPr>
              <w:pStyle w:val="Compact"/>
              <w:jc w:val="left"/>
            </w:pPr>
            <w:r>
              <w:t xml:space="preserve">E_AI_TANY</w:t>
            </w:r>
          </w:p>
        </w:tc>
        <w:tc>
          <w:tcPr/>
          <w:p>
            <w:pPr>
              <w:pStyle w:val="Compact"/>
              <w:jc w:val="left"/>
            </w:pPr>
            <w:r>
              <w:t xml:space="preserve">7.19</w:t>
            </w:r>
          </w:p>
        </w:tc>
        <w:tc>
          <w:tcPr/>
          <w:p>
            <w:pPr>
              <w:pStyle w:val="Compact"/>
              <w:jc w:val="left"/>
            </w:pPr>
            <w:r>
              <w:t xml:space="preserve">8.33</w:t>
            </w:r>
          </w:p>
        </w:tc>
        <w:tc>
          <w:tcPr/>
          <w:p>
            <w:pPr>
              <w:pStyle w:val="Compact"/>
              <w:jc w:val="left"/>
            </w:pPr>
            <w:r>
              <w:t xml:space="preserve">14.33</w:t>
            </w:r>
          </w:p>
        </w:tc>
        <w:tc>
          <w:tcPr/>
          <w:p>
            <w:pPr>
              <w:pStyle w:val="Compact"/>
              <w:jc w:val="left"/>
            </w:pPr>
            <w:r>
              <w:t xml:space="preserve">19.86</w:t>
            </w:r>
          </w:p>
        </w:tc>
      </w:tr>
      <w:tr>
        <w:tc>
          <w:tcPr/>
          <w:p>
            <w:pPr>
              <w:pStyle w:val="Compact"/>
              <w:jc w:val="left"/>
            </w:pPr>
            <w:r>
              <w:t xml:space="preserve">N</w:t>
            </w:r>
          </w:p>
        </w:tc>
        <w:tc>
          <w:tcPr/>
          <w:p>
            <w:pPr>
              <w:pStyle w:val="Compact"/>
              <w:jc w:val="left"/>
            </w:pPr>
            <w:r>
              <w:t xml:space="preserve">E_AI_TIR</w:t>
            </w:r>
          </w:p>
        </w:tc>
        <w:tc>
          <w:tcPr/>
          <w:p>
            <w:pPr>
              <w:pStyle w:val="Compact"/>
              <w:jc w:val="left"/>
            </w:pPr>
            <w:r>
              <w:t xml:space="preserve">1.88</w:t>
            </w:r>
          </w:p>
        </w:tc>
        <w:tc>
          <w:tcPr/>
          <w:p>
            <w:pPr>
              <w:pStyle w:val="Compact"/>
              <w:jc w:val="left"/>
            </w:pPr>
            <w:r>
              <w:t xml:space="preserve">1.9</w:t>
            </w:r>
          </w:p>
        </w:tc>
        <w:tc>
          <w:tcPr/>
          <w:p>
            <w:pPr>
              <w:pStyle w:val="Compact"/>
              <w:jc w:val="left"/>
            </w:pPr>
            <w:r>
              <w:t xml:space="preserve">2.96</w:t>
            </w:r>
          </w:p>
        </w:tc>
        <w:tc>
          <w:tcPr/>
          <w:p>
            <w:pPr>
              <w:pStyle w:val="Compact"/>
              <w:jc w:val="left"/>
            </w:pPr>
            <w:r>
              <w:t xml:space="preserve">4.01</w:t>
            </w:r>
          </w:p>
        </w:tc>
      </w:tr>
      <w:tr>
        <w:tc>
          <w:tcPr/>
          <w:p>
            <w:pPr>
              <w:pStyle w:val="Compact"/>
              <w:jc w:val="left"/>
            </w:pPr>
            <w:r>
              <w:t xml:space="preserve">N</w:t>
            </w:r>
          </w:p>
        </w:tc>
        <w:tc>
          <w:tcPr/>
          <w:p>
            <w:pPr>
              <w:pStyle w:val="Compact"/>
              <w:jc w:val="left"/>
            </w:pPr>
            <w:r>
              <w:t xml:space="preserve">E_AI_TML</w:t>
            </w:r>
          </w:p>
        </w:tc>
        <w:tc>
          <w:tcPr/>
          <w:p>
            <w:pPr>
              <w:pStyle w:val="Compact"/>
              <w:jc w:val="left"/>
            </w:pPr>
            <w:r>
              <w:t xml:space="preserve">1.63</w:t>
            </w:r>
          </w:p>
        </w:tc>
        <w:tc>
          <w:tcPr/>
          <w:p>
            <w:pPr>
              <w:pStyle w:val="Compact"/>
              <w:jc w:val="left"/>
            </w:pPr>
            <w:r>
              <w:t xml:space="preserve">2.31</w:t>
            </w:r>
          </w:p>
        </w:tc>
        <w:tc>
          <w:tcPr/>
          <w:p>
            <w:pPr>
              <w:pStyle w:val="Compact"/>
              <w:jc w:val="left"/>
            </w:pPr>
            <w:r>
              <w:t xml:space="preserve">3.96</w:t>
            </w:r>
          </w:p>
        </w:tc>
        <w:tc>
          <w:tcPr/>
          <w:p>
            <w:pPr>
              <w:pStyle w:val="Compact"/>
              <w:jc w:val="left"/>
            </w:pPr>
            <w:r>
              <w:t xml:space="preserve">4.43</w:t>
            </w:r>
          </w:p>
        </w:tc>
      </w:tr>
      <w:tr>
        <w:tc>
          <w:tcPr/>
          <w:p>
            <w:pPr>
              <w:pStyle w:val="Compact"/>
              <w:jc w:val="left"/>
            </w:pPr>
            <w:r>
              <w:t xml:space="preserve">N</w:t>
            </w:r>
          </w:p>
        </w:tc>
        <w:tc>
          <w:tcPr/>
          <w:p>
            <w:pPr>
              <w:pStyle w:val="Compact"/>
              <w:jc w:val="left"/>
            </w:pPr>
            <w:r>
              <w:t xml:space="preserve">E_AI_TNLG</w:t>
            </w:r>
          </w:p>
        </w:tc>
        <w:tc>
          <w:tcPr/>
          <w:p>
            <w:pPr>
              <w:pStyle w:val="Compact"/>
              <w:jc w:val="left"/>
            </w:pPr>
            <w:r>
              <w:t xml:space="preserve">1.11</w:t>
            </w:r>
          </w:p>
        </w:tc>
        <w:tc>
          <w:tcPr/>
          <w:p>
            <w:pPr>
              <w:pStyle w:val="Compact"/>
              <w:jc w:val="left"/>
            </w:pPr>
            <w:r>
              <w:t xml:space="preserve">2.52</w:t>
            </w:r>
          </w:p>
        </w:tc>
        <w:tc>
          <w:tcPr/>
          <w:p>
            <w:pPr>
              <w:pStyle w:val="Compact"/>
              <w:jc w:val="left"/>
            </w:pPr>
            <w:r>
              <w:t xml:space="preserve">4.96</w:t>
            </w:r>
          </w:p>
        </w:tc>
        <w:tc>
          <w:tcPr/>
          <w:p>
            <w:pPr>
              <w:pStyle w:val="Compact"/>
              <w:jc w:val="left"/>
            </w:pPr>
            <w:r>
              <w:t xml:space="preserve">8.58</w:t>
            </w:r>
          </w:p>
        </w:tc>
      </w:tr>
      <w:tr>
        <w:tc>
          <w:tcPr/>
          <w:p>
            <w:pPr>
              <w:pStyle w:val="Compact"/>
              <w:jc w:val="left"/>
            </w:pPr>
            <w:r>
              <w:t xml:space="preserve">N</w:t>
            </w:r>
          </w:p>
        </w:tc>
        <w:tc>
          <w:tcPr/>
          <w:p>
            <w:pPr>
              <w:pStyle w:val="Compact"/>
              <w:jc w:val="left"/>
            </w:pPr>
            <w:r>
              <w:t xml:space="preserve">E_AI_TPVSG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9.48</w:t>
            </w:r>
          </w:p>
        </w:tc>
      </w:tr>
      <w:tr>
        <w:tc>
          <w:tcPr/>
          <w:p>
            <w:pPr>
              <w:pStyle w:val="Compact"/>
              <w:jc w:val="left"/>
            </w:pPr>
            <w:r>
              <w:t xml:space="preserve">N</w:t>
            </w:r>
          </w:p>
        </w:tc>
        <w:tc>
          <w:tcPr/>
          <w:p>
            <w:pPr>
              <w:pStyle w:val="Compact"/>
              <w:jc w:val="left"/>
            </w:pPr>
            <w:r>
              <w:t xml:space="preserve">E_AI_TTM</w:t>
            </w:r>
          </w:p>
        </w:tc>
        <w:tc>
          <w:tcPr/>
          <w:p>
            <w:pPr>
              <w:pStyle w:val="Compact"/>
              <w:jc w:val="left"/>
            </w:pPr>
            <w:r>
              <w:t xml:space="preserve">2.35</w:t>
            </w:r>
          </w:p>
        </w:tc>
        <w:tc>
          <w:tcPr/>
          <w:p>
            <w:pPr>
              <w:pStyle w:val="Compact"/>
              <w:jc w:val="left"/>
            </w:pPr>
            <w:r>
              <w:t xml:space="preserve">3.56</w:t>
            </w:r>
          </w:p>
        </w:tc>
        <w:tc>
          <w:tcPr/>
          <w:p>
            <w:pPr>
              <w:pStyle w:val="Compact"/>
              <w:jc w:val="left"/>
            </w:pPr>
            <w:r>
              <w:t xml:space="preserve">8.06</w:t>
            </w:r>
          </w:p>
        </w:tc>
        <w:tc>
          <w:tcPr/>
          <w:p>
            <w:pPr>
              <w:pStyle w:val="Compact"/>
              <w:jc w:val="left"/>
            </w:pPr>
            <w:r>
              <w:t xml:space="preserve">12.2</w:t>
            </w:r>
          </w:p>
        </w:tc>
      </w:tr>
    </w:tbl>
    <w:bookmarkEnd w:id="127"/>
    <w:bookmarkStart w:id="128" w:name="X74b0964ca7aeac3406fbe20007ab5cc67a09e34"/>
    <w:p>
      <w:pPr>
        <w:pStyle w:val="Heading3"/>
      </w:pPr>
      <w:r>
        <w:t xml:space="preserve">Table 16. M71 industry economy under TNLG (SBS 2021–24 and nama)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Coefficient (s.e.)</w:t>
            </w:r>
          </w:p>
        </w:tc>
        <w:tc>
          <w:tcPr/>
          <w:p>
            <w:pPr>
              <w:pStyle w:val="Compact"/>
              <w:jc w:val="left"/>
            </w:pPr>
            <w:r>
              <w:t xml:space="preserve">N</w:t>
            </w:r>
          </w:p>
        </w:tc>
        <w:tc>
          <w:tcPr/>
          <w:p>
            <w:pPr>
              <w:pStyle w:val="Compact"/>
              <w:jc w:val="left"/>
            </w:pPr>
            <w:r>
              <w:t xml:space="preserve">Note</w:t>
            </w:r>
          </w:p>
        </w:tc>
      </w:tr>
      <w:tr>
        <w:tc>
          <w:tcPr/>
          <w:p>
            <w:pPr>
              <w:pStyle w:val="Compact"/>
              <w:jc w:val="left"/>
            </w:pPr>
            <w:r>
              <w:t xml:space="preserve">(I1) log M71 turnover Post2024×ΔTNLG</w:t>
            </w:r>
          </w:p>
        </w:tc>
        <w:tc>
          <w:tcPr/>
          <w:p>
            <w:pPr>
              <w:pStyle w:val="Compact"/>
              <w:jc w:val="left"/>
            </w:pPr>
            <w:r>
              <w:t xml:space="preserve">-0.007** (0.003)</w:t>
            </w:r>
          </w:p>
        </w:tc>
        <w:tc>
          <w:tcPr/>
          <w:p>
            <w:pPr>
              <w:pStyle w:val="Compact"/>
              <w:jc w:val="left"/>
            </w:pPr>
            <w:r>
              <w:t xml:space="preserve">68</w:t>
            </w:r>
          </w:p>
        </w:tc>
        <w:tc>
          <w:tcPr/>
          <w:p>
            <w:pPr>
              <w:pStyle w:val="Compact"/>
              <w:jc w:val="left"/>
            </w:pPr>
            <w:r>
              <w:t xml:space="preserve">SBS sbs_sc_ovw M71 NETTUR_MEUR; country+year FE</w:t>
            </w:r>
          </w:p>
        </w:tc>
      </w:tr>
      <w:tr>
        <w:tc>
          <w:tcPr/>
          <w:p>
            <w:pPr>
              <w:pStyle w:val="Compact"/>
              <w:jc w:val="left"/>
            </w:pPr>
            <w:r>
              <w:t xml:space="preserve">(I2) log M71 employment Post2024×ΔTNLG</w:t>
            </w:r>
          </w:p>
        </w:tc>
        <w:tc>
          <w:tcPr/>
          <w:p>
            <w:pPr>
              <w:pStyle w:val="Compact"/>
              <w:jc w:val="left"/>
            </w:pPr>
            <w:r>
              <w:t xml:space="preserve">-0.000 (0.002)</w:t>
            </w:r>
          </w:p>
        </w:tc>
        <w:tc>
          <w:tcPr/>
          <w:p>
            <w:pPr>
              <w:pStyle w:val="Compact"/>
              <w:jc w:val="left"/>
            </w:pPr>
            <w:r>
              <w:t xml:space="preserve">68</w:t>
            </w:r>
          </w:p>
        </w:tc>
        <w:tc>
          <w:tcPr/>
          <w:p>
            <w:pPr>
              <w:pStyle w:val="Compact"/>
              <w:jc w:val="left"/>
            </w:pPr>
            <w:r>
              <w:t xml:space="preserve">SBS sbs_ovw_act M71 EMP_NR; country+year FE</w:t>
            </w:r>
          </w:p>
        </w:tc>
      </w:tr>
      <w:tr>
        <w:tc>
          <w:tcPr/>
          <w:p>
            <w:pPr>
              <w:pStyle w:val="Compact"/>
              <w:jc w:val="left"/>
            </w:pPr>
            <w:r>
              <w:t xml:space="preserve">(I3) log M71 wages Post2024×ΔTNLG</w:t>
            </w:r>
          </w:p>
        </w:tc>
        <w:tc>
          <w:tcPr/>
          <w:p>
            <w:pPr>
              <w:pStyle w:val="Compact"/>
              <w:jc w:val="left"/>
            </w:pPr>
            <w:r>
              <w:t xml:space="preserve">-0.009*** (0.003)</w:t>
            </w:r>
          </w:p>
        </w:tc>
        <w:tc>
          <w:tcPr/>
          <w:p>
            <w:pPr>
              <w:pStyle w:val="Compact"/>
              <w:jc w:val="left"/>
            </w:pPr>
            <w:r>
              <w:t xml:space="preserve">68</w:t>
            </w:r>
          </w:p>
        </w:tc>
        <w:tc>
          <w:tcPr/>
          <w:p>
            <w:pPr>
              <w:pStyle w:val="Compact"/>
              <w:jc w:val="left"/>
            </w:pPr>
            <w:r>
              <w:t xml:space="preserve">SBS sbs_ovw_act M71 WAGE_MEUR; country+year FE</w:t>
            </w:r>
          </w:p>
        </w:tc>
      </w:tr>
      <w:tr>
        <w:tc>
          <w:tcPr/>
          <w:p>
            <w:pPr>
              <w:pStyle w:val="Compact"/>
              <w:jc w:val="left"/>
            </w:pPr>
            <w:r>
              <w:t xml:space="preserve">(I4) log M71 value added Post2024×ΔTNLG</w:t>
            </w:r>
          </w:p>
        </w:tc>
        <w:tc>
          <w:tcPr/>
          <w:p>
            <w:pPr>
              <w:pStyle w:val="Compact"/>
              <w:jc w:val="left"/>
            </w:pPr>
            <w:r>
              <w:t xml:space="preserve">-0.006*** (0.002)</w:t>
            </w:r>
          </w:p>
        </w:tc>
        <w:tc>
          <w:tcPr/>
          <w:p>
            <w:pPr>
              <w:pStyle w:val="Compact"/>
              <w:jc w:val="left"/>
            </w:pPr>
            <w:r>
              <w:t xml:space="preserve">68</w:t>
            </w:r>
          </w:p>
        </w:tc>
        <w:tc>
          <w:tcPr/>
          <w:p>
            <w:pPr>
              <w:pStyle w:val="Compact"/>
              <w:jc w:val="left"/>
            </w:pPr>
            <w:r>
              <w:t xml:space="preserve">SBS sbs_ovw_act M71 AV_MEUR; country+year FE</w:t>
            </w:r>
          </w:p>
        </w:tc>
      </w:tr>
      <w:tr>
        <w:tc>
          <w:tcPr/>
          <w:p>
            <w:pPr>
              <w:pStyle w:val="Compact"/>
              <w:jc w:val="left"/>
            </w:pPr>
            <w:r>
              <w:t xml:space="preserve">(I5) log M71 GOS Post2024×ΔTNLG</w:t>
            </w:r>
          </w:p>
        </w:tc>
        <w:tc>
          <w:tcPr/>
          <w:p>
            <w:pPr>
              <w:pStyle w:val="Compact"/>
              <w:jc w:val="left"/>
            </w:pPr>
            <w:r>
              <w:t xml:space="preserve">-0.003 (0.005)</w:t>
            </w:r>
          </w:p>
        </w:tc>
        <w:tc>
          <w:tcPr/>
          <w:p>
            <w:pPr>
              <w:pStyle w:val="Compact"/>
              <w:jc w:val="left"/>
            </w:pPr>
            <w:r>
              <w:t xml:space="preserve">68</w:t>
            </w:r>
          </w:p>
        </w:tc>
        <w:tc>
          <w:tcPr/>
          <w:p>
            <w:pPr>
              <w:pStyle w:val="Compact"/>
              <w:jc w:val="left"/>
            </w:pPr>
            <w:r>
              <w:t xml:space="preserve">SBS sbs_ovw_act M71 GOS_MEUR; country+year FE</w:t>
            </w:r>
          </w:p>
        </w:tc>
      </w:tr>
      <w:tr>
        <w:tc>
          <w:tcPr/>
          <w:p>
            <w:pPr>
              <w:pStyle w:val="Compact"/>
              <w:jc w:val="left"/>
            </w:pPr>
            <w:r>
              <w:t xml:space="preserve">(I6) log F turnover Post2024×ΔTNLG placebo</w:t>
            </w:r>
          </w:p>
        </w:tc>
        <w:tc>
          <w:tcPr/>
          <w:p>
            <w:pPr>
              <w:pStyle w:val="Compact"/>
              <w:jc w:val="left"/>
            </w:pPr>
            <w:r>
              <w:t xml:space="preserve">-0.010*** (0.003)</w:t>
            </w:r>
          </w:p>
        </w:tc>
        <w:tc>
          <w:tcPr/>
          <w:p>
            <w:pPr>
              <w:pStyle w:val="Compact"/>
              <w:jc w:val="left"/>
            </w:pPr>
            <w:r>
              <w:t xml:space="preserve">68</w:t>
            </w:r>
          </w:p>
        </w:tc>
        <w:tc>
          <w:tcPr/>
          <w:p>
            <w:pPr>
              <w:pStyle w:val="Compact"/>
              <w:jc w:val="left"/>
            </w:pPr>
            <w:r>
              <w:t xml:space="preserve">SBS sbs_sc_ovw F NETTUR_MEUR; country+year FE</w:t>
            </w:r>
          </w:p>
        </w:tc>
      </w:tr>
      <w:tr>
        <w:tc>
          <w:tcPr/>
          <w:p>
            <w:pPr>
              <w:pStyle w:val="Compact"/>
              <w:jc w:val="left"/>
            </w:pPr>
            <w:r>
              <w:t xml:space="preserve">(I7) log F employment Post2024×ΔTNLG placebo</w:t>
            </w:r>
          </w:p>
        </w:tc>
        <w:tc>
          <w:tcPr/>
          <w:p>
            <w:pPr>
              <w:pStyle w:val="Compact"/>
              <w:jc w:val="left"/>
            </w:pPr>
            <w:r>
              <w:t xml:space="preserve">-0.003 (0.002)</w:t>
            </w:r>
          </w:p>
        </w:tc>
        <w:tc>
          <w:tcPr/>
          <w:p>
            <w:pPr>
              <w:pStyle w:val="Compact"/>
              <w:jc w:val="left"/>
            </w:pPr>
            <w:r>
              <w:t xml:space="preserve">68</w:t>
            </w:r>
          </w:p>
        </w:tc>
        <w:tc>
          <w:tcPr/>
          <w:p>
            <w:pPr>
              <w:pStyle w:val="Compact"/>
              <w:jc w:val="left"/>
            </w:pPr>
            <w:r>
              <w:t xml:space="preserve">SBS sbs_ovw_act F EMP_NR; country+year FE</w:t>
            </w:r>
          </w:p>
        </w:tc>
      </w:tr>
      <w:tr>
        <w:tc>
          <w:tcPr/>
          <w:p>
            <w:pPr>
              <w:pStyle w:val="Compact"/>
              <w:jc w:val="left"/>
            </w:pPr>
            <w:r>
              <w:t xml:space="preserve">(I8) log M turnover Post2024×ΔTNLG placebo</w:t>
            </w:r>
          </w:p>
        </w:tc>
        <w:tc>
          <w:tcPr/>
          <w:p>
            <w:pPr>
              <w:pStyle w:val="Compact"/>
              <w:jc w:val="left"/>
            </w:pPr>
            <w:r>
              <w:t xml:space="preserve">-0.005** (0.002)</w:t>
            </w:r>
          </w:p>
        </w:tc>
        <w:tc>
          <w:tcPr/>
          <w:p>
            <w:pPr>
              <w:pStyle w:val="Compact"/>
              <w:jc w:val="left"/>
            </w:pPr>
            <w:r>
              <w:t xml:space="preserve">68</w:t>
            </w:r>
          </w:p>
        </w:tc>
        <w:tc>
          <w:tcPr/>
          <w:p>
            <w:pPr>
              <w:pStyle w:val="Compact"/>
              <w:jc w:val="left"/>
            </w:pPr>
            <w:r>
              <w:t xml:space="preserve">SBS sbs_sc_ovw M NETTUR_MEUR; country+year FE</w:t>
            </w:r>
          </w:p>
        </w:tc>
      </w:tr>
      <w:tr>
        <w:tc>
          <w:tcPr/>
          <w:p>
            <w:pPr>
              <w:pStyle w:val="Compact"/>
              <w:jc w:val="left"/>
            </w:pPr>
            <w:r>
              <w:t xml:space="preserve">(I9) log M71 turnover Post2023×ΔTNLG</w:t>
            </w:r>
          </w:p>
        </w:tc>
        <w:tc>
          <w:tcPr/>
          <w:p>
            <w:pPr>
              <w:pStyle w:val="Compact"/>
              <w:jc w:val="left"/>
            </w:pPr>
            <w:r>
              <w:t xml:space="preserve">-0.009** (0.004)</w:t>
            </w:r>
          </w:p>
        </w:tc>
        <w:tc>
          <w:tcPr/>
          <w:p>
            <w:pPr>
              <w:pStyle w:val="Compact"/>
              <w:jc w:val="left"/>
            </w:pPr>
            <w:r>
              <w:t xml:space="preserve">68</w:t>
            </w:r>
          </w:p>
        </w:tc>
        <w:tc>
          <w:tcPr/>
          <w:p>
            <w:pPr>
              <w:pStyle w:val="Compact"/>
              <w:jc w:val="left"/>
            </w:pPr>
            <w:r>
              <w:t xml:space="preserve">SBS sbs_sc_ovw M71 NETTUR_MEUR; country+year FE</w:t>
            </w:r>
          </w:p>
        </w:tc>
      </w:tr>
      <w:tr>
        <w:tc>
          <w:tcPr/>
          <w:p>
            <w:pPr>
              <w:pStyle w:val="Compact"/>
              <w:jc w:val="left"/>
            </w:pPr>
            <w:r>
              <w:t xml:space="preserve">(I10) Δlog≈ M71 turnover 2023–24 on ΔTNLG</w:t>
            </w:r>
          </w:p>
        </w:tc>
        <w:tc>
          <w:tcPr/>
          <w:p>
            <w:pPr>
              <w:pStyle w:val="Compact"/>
              <w:jc w:val="left"/>
            </w:pPr>
            <w:r>
              <w:t xml:space="preserve">-0.002 (0.001)</w:t>
            </w:r>
          </w:p>
        </w:tc>
        <w:tc>
          <w:tcPr/>
          <w:p>
            <w:pPr>
              <w:pStyle w:val="Compact"/>
              <w:jc w:val="left"/>
            </w:pPr>
            <w:r>
              <w:t xml:space="preserve">17</w:t>
            </w:r>
          </w:p>
        </w:tc>
        <w:tc>
          <w:tcPr/>
          <w:p>
            <w:pPr>
              <w:pStyle w:val="Compact"/>
              <w:jc w:val="left"/>
            </w:pPr>
            <w:r>
              <w:t xml:space="preserve">Cross-section; LHS is percent/100</w:t>
            </w:r>
          </w:p>
        </w:tc>
      </w:tr>
      <w:tr>
        <w:tc>
          <w:tcPr/>
          <w:p>
            <w:pPr>
              <w:pStyle w:val="Compact"/>
              <w:jc w:val="left"/>
            </w:pPr>
            <w:r>
              <w:t xml:space="preserve">(I11) M71 employment % 2023–24 on ΔTNLG</w:t>
            </w:r>
          </w:p>
        </w:tc>
        <w:tc>
          <w:tcPr/>
          <w:p>
            <w:pPr>
              <w:pStyle w:val="Compact"/>
              <w:jc w:val="left"/>
            </w:pPr>
            <w:r>
              <w:t xml:space="preserve">-0.000 (0.001)</w:t>
            </w:r>
          </w:p>
        </w:tc>
        <w:tc>
          <w:tcPr/>
          <w:p>
            <w:pPr>
              <w:pStyle w:val="Compact"/>
              <w:jc w:val="left"/>
            </w:pPr>
            <w:r>
              <w:t xml:space="preserve">17</w:t>
            </w:r>
          </w:p>
        </w:tc>
        <w:tc>
          <w:tcPr/>
          <w:p>
            <w:pPr>
              <w:pStyle w:val="Compact"/>
              <w:jc w:val="left"/>
            </w:pPr>
            <w:r>
              <w:t xml:space="preserve">Cross-section; LHS percent/100</w:t>
            </w:r>
          </w:p>
        </w:tc>
      </w:tr>
      <w:tr>
        <w:tc>
          <w:tcPr/>
          <w:p>
            <w:pPr>
              <w:pStyle w:val="Compact"/>
              <w:jc w:val="left"/>
            </w:pPr>
            <w:r>
              <w:t xml:space="preserve">(I12) log M71 compensation Post×ΔTNLG</w:t>
            </w:r>
          </w:p>
        </w:tc>
        <w:tc>
          <w:tcPr/>
          <w:p>
            <w:pPr>
              <w:pStyle w:val="Compact"/>
              <w:jc w:val="left"/>
            </w:pPr>
            <w:r>
              <w:t xml:space="preserve">-0.009** (0.004)</w:t>
            </w:r>
          </w:p>
        </w:tc>
        <w:tc>
          <w:tcPr/>
          <w:p>
            <w:pPr>
              <w:pStyle w:val="Compact"/>
              <w:jc w:val="left"/>
            </w:pPr>
            <w:r>
              <w:t xml:space="preserve">96</w:t>
            </w:r>
          </w:p>
        </w:tc>
        <w:tc>
          <w:tcPr/>
          <w:p>
            <w:pPr>
              <w:pStyle w:val="Compact"/>
              <w:jc w:val="left"/>
            </w:pPr>
            <w:r>
              <w:t xml:space="preserve">nama_10_a64 current EUR; series ends 2023 so misses 2024 NLG year</w:t>
            </w:r>
          </w:p>
        </w:tc>
      </w:tr>
      <w:tr>
        <w:tc>
          <w:tcPr/>
          <w:p>
            <w:pPr>
              <w:pStyle w:val="Compact"/>
              <w:jc w:val="left"/>
            </w:pPr>
            <w:r>
              <w:t xml:space="preserve">(I12) log M71 output Post×ΔTNLG</w:t>
            </w:r>
          </w:p>
        </w:tc>
        <w:tc>
          <w:tcPr/>
          <w:p>
            <w:pPr>
              <w:pStyle w:val="Compact"/>
              <w:jc w:val="left"/>
            </w:pPr>
            <w:r>
              <w:t xml:space="preserve">-0.009*** (0.003)</w:t>
            </w:r>
          </w:p>
        </w:tc>
        <w:tc>
          <w:tcPr/>
          <w:p>
            <w:pPr>
              <w:pStyle w:val="Compact"/>
              <w:jc w:val="left"/>
            </w:pPr>
            <w:r>
              <w:t xml:space="preserve">96</w:t>
            </w:r>
          </w:p>
        </w:tc>
        <w:tc>
          <w:tcPr/>
          <w:p>
            <w:pPr>
              <w:pStyle w:val="Compact"/>
              <w:jc w:val="left"/>
            </w:pPr>
            <w:r>
              <w:t xml:space="preserve">nama_10_a64 current EUR; series ends 2023 so misses 2024 NLG year</w:t>
            </w:r>
          </w:p>
        </w:tc>
      </w:tr>
      <w:tr>
        <w:tc>
          <w:tcPr/>
          <w:p>
            <w:pPr>
              <w:pStyle w:val="Compact"/>
              <w:jc w:val="left"/>
            </w:pPr>
            <w:r>
              <w:t xml:space="preserve">(I12) log F compensation Post×ΔTNLG</w:t>
            </w:r>
          </w:p>
        </w:tc>
        <w:tc>
          <w:tcPr/>
          <w:p>
            <w:pPr>
              <w:pStyle w:val="Compact"/>
              <w:jc w:val="left"/>
            </w:pPr>
            <w:r>
              <w:t xml:space="preserve">-0.011*** (0.004)</w:t>
            </w:r>
          </w:p>
        </w:tc>
        <w:tc>
          <w:tcPr/>
          <w:p>
            <w:pPr>
              <w:pStyle w:val="Compact"/>
              <w:jc w:val="left"/>
            </w:pPr>
            <w:r>
              <w:t xml:space="preserve">102</w:t>
            </w:r>
          </w:p>
        </w:tc>
        <w:tc>
          <w:tcPr/>
          <w:p>
            <w:pPr>
              <w:pStyle w:val="Compact"/>
              <w:jc w:val="left"/>
            </w:pPr>
            <w:r>
              <w:t xml:space="preserve">nama_10_a64 current EUR; series ends 2023 so misses 2024 NLG year</w:t>
            </w:r>
          </w:p>
        </w:tc>
      </w:tr>
      <w:tr>
        <w:tc>
          <w:tcPr/>
          <w:p>
            <w:pPr>
              <w:pStyle w:val="Compact"/>
              <w:jc w:val="left"/>
            </w:pPr>
            <w:r>
              <w:t xml:space="preserve">(I12) log F output Post×ΔTNLG</w:t>
            </w:r>
          </w:p>
        </w:tc>
        <w:tc>
          <w:tcPr/>
          <w:p>
            <w:pPr>
              <w:pStyle w:val="Compact"/>
              <w:jc w:val="left"/>
            </w:pPr>
            <w:r>
              <w:t xml:space="preserve">-0.014*** (0.004)</w:t>
            </w:r>
          </w:p>
        </w:tc>
        <w:tc>
          <w:tcPr/>
          <w:p>
            <w:pPr>
              <w:pStyle w:val="Compact"/>
              <w:jc w:val="left"/>
            </w:pPr>
            <w:r>
              <w:t xml:space="preserve">102</w:t>
            </w:r>
          </w:p>
        </w:tc>
        <w:tc>
          <w:tcPr/>
          <w:p>
            <w:pPr>
              <w:pStyle w:val="Compact"/>
              <w:jc w:val="left"/>
            </w:pPr>
            <w:r>
              <w:t xml:space="preserve">nama_10_a64 current EUR; series ends 2023 so misses 2024 NLG year</w:t>
            </w:r>
          </w:p>
        </w:tc>
      </w:tr>
    </w:tbl>
    <w:bookmarkEnd w:id="128"/>
    <w:bookmarkStart w:id="129" w:name="Xaace61c10f997e79b4ccc1145f4be78af115f5b"/>
    <w:p>
      <w:pPr>
        <w:pStyle w:val="Heading3"/>
      </w:pPr>
      <w:r>
        <w:t xml:space="preserve">Table 17. SBS growth, NACE M71 vs F, 2021–2024</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left"/>
            </w:pPr>
            <w:r>
              <w:t xml:space="preserve">M71 turnover 21–24 %</w:t>
            </w:r>
          </w:p>
        </w:tc>
        <w:tc>
          <w:tcPr/>
          <w:p>
            <w:pPr>
              <w:pStyle w:val="Compact"/>
              <w:jc w:val="left"/>
            </w:pPr>
            <w:r>
              <w:t xml:space="preserve">F turnover 21–24 %</w:t>
            </w:r>
          </w:p>
        </w:tc>
        <w:tc>
          <w:tcPr/>
          <w:p>
            <w:pPr>
              <w:pStyle w:val="Compact"/>
              <w:jc w:val="left"/>
            </w:pPr>
            <w:r>
              <w:t xml:space="preserve">M71 emp 21–24 %</w:t>
            </w:r>
          </w:p>
        </w:tc>
        <w:tc>
          <w:tcPr/>
          <w:p>
            <w:pPr>
              <w:pStyle w:val="Compact"/>
              <w:jc w:val="left"/>
            </w:pPr>
            <w:r>
              <w:t xml:space="preserve">F emp 21–24 %</w:t>
            </w:r>
          </w:p>
        </w:tc>
        <w:tc>
          <w:tcPr/>
          <w:p>
            <w:pPr>
              <w:pStyle w:val="Compact"/>
              <w:jc w:val="left"/>
            </w:pPr>
            <w:r>
              <w:t xml:space="preserve">ΔTNLG M 23–24</w:t>
            </w:r>
          </w:p>
        </w:tc>
      </w:tr>
      <w:tr>
        <w:tc>
          <w:tcPr/>
          <w:p>
            <w:pPr>
              <w:pStyle w:val="Compact"/>
              <w:jc w:val="left"/>
            </w:pPr>
            <w:r>
              <w:t xml:space="preserve">Austria</w:t>
            </w:r>
          </w:p>
        </w:tc>
        <w:tc>
          <w:tcPr/>
          <w:p>
            <w:pPr>
              <w:pStyle w:val="Compact"/>
              <w:jc w:val="left"/>
            </w:pPr>
            <w:r>
              <w:t xml:space="preserve">21.6</w:t>
            </w:r>
          </w:p>
        </w:tc>
        <w:tc>
          <w:tcPr/>
          <w:p>
            <w:pPr>
              <w:pStyle w:val="Compact"/>
              <w:jc w:val="left"/>
            </w:pPr>
            <w:r>
              <w:t xml:space="preserve">14.6</w:t>
            </w:r>
          </w:p>
        </w:tc>
        <w:tc>
          <w:tcPr/>
          <w:p>
            <w:pPr>
              <w:pStyle w:val="Compact"/>
              <w:jc w:val="left"/>
            </w:pPr>
            <w:r>
              <w:t xml:space="preserve">3.1</w:t>
            </w:r>
          </w:p>
        </w:tc>
        <w:tc>
          <w:tcPr/>
          <w:p>
            <w:pPr>
              <w:pStyle w:val="Compact"/>
              <w:jc w:val="left"/>
            </w:pPr>
            <w:r>
              <w:t xml:space="preserve">-0.0</w:t>
            </w:r>
          </w:p>
        </w:tc>
        <w:tc>
          <w:tcPr/>
          <w:p>
            <w:pPr>
              <w:pStyle w:val="Compact"/>
              <w:jc w:val="left"/>
            </w:pPr>
            <w:r>
              <w:t xml:space="preserve">8.2</w:t>
            </w:r>
          </w:p>
        </w:tc>
      </w:tr>
      <w:tr>
        <w:tc>
          <w:tcPr/>
          <w:p>
            <w:pPr>
              <w:pStyle w:val="Compact"/>
              <w:jc w:val="left"/>
            </w:pPr>
            <w:r>
              <w:t xml:space="preserve">Belgium</w:t>
            </w:r>
          </w:p>
        </w:tc>
        <w:tc>
          <w:tcPr/>
          <w:p>
            <w:pPr>
              <w:pStyle w:val="Compact"/>
              <w:jc w:val="left"/>
            </w:pPr>
            <w:r>
              <w:t xml:space="preserve">26.0</w:t>
            </w:r>
          </w:p>
        </w:tc>
        <w:tc>
          <w:tcPr/>
          <w:p>
            <w:pPr>
              <w:pStyle w:val="Compact"/>
              <w:jc w:val="left"/>
            </w:pPr>
            <w:r>
              <w:t xml:space="preserve">30.4</w:t>
            </w:r>
          </w:p>
        </w:tc>
        <w:tc>
          <w:tcPr/>
          <w:p>
            <w:pPr>
              <w:pStyle w:val="Compact"/>
              <w:jc w:val="left"/>
            </w:pPr>
            <w:r>
              <w:t xml:space="preserve">7.5</w:t>
            </w:r>
          </w:p>
        </w:tc>
        <w:tc>
          <w:tcPr/>
          <w:p>
            <w:pPr>
              <w:pStyle w:val="Compact"/>
              <w:jc w:val="left"/>
            </w:pPr>
            <w:r>
              <w:t xml:space="preserve">4.9</w:t>
            </w:r>
          </w:p>
        </w:tc>
        <w:tc>
          <w:tcPr/>
          <w:p>
            <w:pPr>
              <w:pStyle w:val="Compact"/>
              <w:jc w:val="left"/>
            </w:pPr>
            <w:r>
              <w:t xml:space="preserve">11.3</w:t>
            </w:r>
          </w:p>
        </w:tc>
      </w:tr>
      <w:tr>
        <w:tc>
          <w:tcPr/>
          <w:p>
            <w:pPr>
              <w:pStyle w:val="Compact"/>
              <w:jc w:val="left"/>
            </w:pPr>
            <w:r>
              <w:t xml:space="preserve">Czechia</w:t>
            </w:r>
          </w:p>
        </w:tc>
        <w:tc>
          <w:tcPr/>
          <w:p>
            <w:pPr>
              <w:pStyle w:val="Compact"/>
              <w:jc w:val="left"/>
            </w:pPr>
            <w:r>
              <w:t xml:space="preserve">31.6</w:t>
            </w:r>
          </w:p>
        </w:tc>
        <w:tc>
          <w:tcPr/>
          <w:p>
            <w:pPr>
              <w:pStyle w:val="Compact"/>
              <w:jc w:val="left"/>
            </w:pPr>
            <w:r>
              <w:t xml:space="preserve">32.1</w:t>
            </w:r>
          </w:p>
        </w:tc>
        <w:tc>
          <w:tcPr/>
          <w:p>
            <w:pPr>
              <w:pStyle w:val="Compact"/>
              <w:jc w:val="left"/>
            </w:pPr>
            <w:r>
              <w:t xml:space="preserve">6.8</w:t>
            </w:r>
          </w:p>
        </w:tc>
        <w:tc>
          <w:tcPr/>
          <w:p>
            <w:pPr>
              <w:pStyle w:val="Compact"/>
              <w:jc w:val="left"/>
            </w:pPr>
            <w:r>
              <w:t xml:space="preserve">3.4</w:t>
            </w:r>
          </w:p>
        </w:tc>
        <w:tc>
          <w:tcPr/>
          <w:p>
            <w:pPr>
              <w:pStyle w:val="Compact"/>
              <w:jc w:val="left"/>
            </w:pPr>
            <w:r>
              <w:t xml:space="preserve">10.3</w:t>
            </w:r>
          </w:p>
        </w:tc>
      </w:tr>
      <w:tr>
        <w:tc>
          <w:tcPr/>
          <w:p>
            <w:pPr>
              <w:pStyle w:val="Compact"/>
              <w:jc w:val="left"/>
            </w:pPr>
            <w:r>
              <w:t xml:space="preserve">Germany</w:t>
            </w:r>
          </w:p>
        </w:tc>
        <w:tc>
          <w:tcPr/>
          <w:p>
            <w:pPr>
              <w:pStyle w:val="Compact"/>
              <w:jc w:val="left"/>
            </w:pPr>
            <w:r>
              <w:t xml:space="preserve">16.5</w:t>
            </w:r>
          </w:p>
        </w:tc>
        <w:tc>
          <w:tcPr/>
          <w:p>
            <w:pPr>
              <w:pStyle w:val="Compact"/>
              <w:jc w:val="left"/>
            </w:pPr>
            <w:r>
              <w:t xml:space="preserve">12.5</w:t>
            </w:r>
          </w:p>
        </w:tc>
        <w:tc>
          <w:tcPr/>
          <w:p>
            <w:pPr>
              <w:pStyle w:val="Compact"/>
              <w:jc w:val="left"/>
            </w:pPr>
            <w:r>
              <w:t xml:space="preserve">2.0</w:t>
            </w:r>
          </w:p>
        </w:tc>
        <w:tc>
          <w:tcPr/>
          <w:p>
            <w:pPr>
              <w:pStyle w:val="Compact"/>
              <w:jc w:val="left"/>
            </w:pPr>
            <w:r>
              <w:t xml:space="preserve">-0.5</w:t>
            </w:r>
          </w:p>
        </w:tc>
        <w:tc>
          <w:tcPr/>
          <w:p>
            <w:pPr>
              <w:pStyle w:val="Compact"/>
              <w:jc w:val="left"/>
            </w:pPr>
            <w:r>
              <w:t xml:space="preserve">6.3</w:t>
            </w:r>
          </w:p>
        </w:tc>
      </w:tr>
      <w:tr>
        <w:tc>
          <w:tcPr/>
          <w:p>
            <w:pPr>
              <w:pStyle w:val="Compact"/>
              <w:jc w:val="left"/>
            </w:pPr>
            <w:r>
              <w:t xml:space="preserve">Denmark</w:t>
            </w:r>
          </w:p>
        </w:tc>
        <w:tc>
          <w:tcPr/>
          <w:p>
            <w:pPr>
              <w:pStyle w:val="Compact"/>
              <w:jc w:val="left"/>
            </w:pPr>
            <w:r>
              <w:t xml:space="preserve">26.2</w:t>
            </w:r>
          </w:p>
        </w:tc>
        <w:tc>
          <w:tcPr/>
          <w:p>
            <w:pPr>
              <w:pStyle w:val="Compact"/>
              <w:jc w:val="left"/>
            </w:pPr>
            <w:r>
              <w:t xml:space="preserve">10.9</w:t>
            </w:r>
          </w:p>
        </w:tc>
        <w:tc>
          <w:tcPr/>
          <w:p>
            <w:pPr>
              <w:pStyle w:val="Compact"/>
              <w:jc w:val="left"/>
            </w:pPr>
            <w:r>
              <w:t xml:space="preserve">15.7</w:t>
            </w:r>
          </w:p>
        </w:tc>
        <w:tc>
          <w:tcPr/>
          <w:p>
            <w:pPr>
              <w:pStyle w:val="Compact"/>
              <w:jc w:val="left"/>
            </w:pPr>
            <w:r>
              <w:t xml:space="preserve">2.7</w:t>
            </w:r>
          </w:p>
        </w:tc>
        <w:tc>
          <w:tcPr/>
          <w:p>
            <w:pPr>
              <w:pStyle w:val="Compact"/>
              <w:jc w:val="left"/>
            </w:pPr>
            <w:r>
              <w:t xml:space="preserve">25.7</w:t>
            </w:r>
          </w:p>
        </w:tc>
      </w:tr>
      <w:tr>
        <w:tc>
          <w:tcPr/>
          <w:p>
            <w:pPr>
              <w:pStyle w:val="Compact"/>
              <w:jc w:val="left"/>
            </w:pPr>
            <w:r>
              <w:t xml:space="preserve">Spain</w:t>
            </w:r>
          </w:p>
        </w:tc>
        <w:tc>
          <w:tcPr/>
          <w:p>
            <w:pPr>
              <w:pStyle w:val="Compact"/>
              <w:jc w:val="left"/>
            </w:pPr>
            <w:r>
              <w:t xml:space="preserve">35.0</w:t>
            </w:r>
          </w:p>
        </w:tc>
        <w:tc>
          <w:tcPr/>
          <w:p>
            <w:pPr>
              <w:pStyle w:val="Compact"/>
              <w:jc w:val="left"/>
            </w:pPr>
            <w:r>
              <w:t xml:space="preserve">34.4</w:t>
            </w:r>
          </w:p>
        </w:tc>
        <w:tc>
          <w:tcPr/>
          <w:p>
            <w:pPr>
              <w:pStyle w:val="Compact"/>
              <w:jc w:val="left"/>
            </w:pPr>
            <w:r>
              <w:t xml:space="preserve">6.8</w:t>
            </w:r>
          </w:p>
        </w:tc>
        <w:tc>
          <w:tcPr/>
          <w:p>
            <w:pPr>
              <w:pStyle w:val="Compact"/>
              <w:jc w:val="left"/>
            </w:pPr>
            <w:r>
              <w:t xml:space="preserve">1.8</w:t>
            </w:r>
          </w:p>
        </w:tc>
        <w:tc>
          <w:tcPr/>
          <w:p>
            <w:pPr>
              <w:pStyle w:val="Compact"/>
              <w:jc w:val="left"/>
            </w:pPr>
            <w:r>
              <w:t xml:space="preserve">7.5</w:t>
            </w:r>
          </w:p>
        </w:tc>
      </w:tr>
      <w:tr>
        <w:tc>
          <w:tcPr/>
          <w:p>
            <w:pPr>
              <w:pStyle w:val="Compact"/>
              <w:jc w:val="left"/>
            </w:pPr>
            <w:r>
              <w:t xml:space="preserve">Finland</w:t>
            </w:r>
          </w:p>
        </w:tc>
        <w:tc>
          <w:tcPr/>
          <w:p>
            <w:pPr>
              <w:pStyle w:val="Compact"/>
              <w:jc w:val="left"/>
            </w:pPr>
            <w:r>
              <w:t xml:space="preserve">17.1</w:t>
            </w:r>
          </w:p>
        </w:tc>
        <w:tc>
          <w:tcPr/>
          <w:p>
            <w:pPr>
              <w:pStyle w:val="Compact"/>
              <w:jc w:val="left"/>
            </w:pPr>
            <w:r>
              <w:t xml:space="preserve">-5.0</w:t>
            </w:r>
          </w:p>
        </w:tc>
        <w:tc>
          <w:tcPr/>
          <w:p>
            <w:pPr>
              <w:pStyle w:val="Compact"/>
              <w:jc w:val="left"/>
            </w:pPr>
            <w:r>
              <w:t xml:space="preserve">2.0</w:t>
            </w:r>
          </w:p>
        </w:tc>
        <w:tc>
          <w:tcPr/>
          <w:p>
            <w:pPr>
              <w:pStyle w:val="Compact"/>
              <w:jc w:val="left"/>
            </w:pPr>
            <w:r>
              <w:t xml:space="preserve">-5.8</w:t>
            </w:r>
          </w:p>
        </w:tc>
        <w:tc>
          <w:tcPr/>
          <w:p>
            <w:pPr>
              <w:pStyle w:val="Compact"/>
              <w:jc w:val="left"/>
            </w:pPr>
            <w:r>
              <w:t xml:space="preserve">18.8</w:t>
            </w:r>
          </w:p>
        </w:tc>
      </w:tr>
      <w:tr>
        <w:tc>
          <w:tcPr/>
          <w:p>
            <w:pPr>
              <w:pStyle w:val="Compact"/>
              <w:jc w:val="left"/>
            </w:pPr>
            <w:r>
              <w:t xml:space="preserve">France</w:t>
            </w:r>
          </w:p>
        </w:tc>
        <w:tc>
          <w:tcPr/>
          <w:p>
            <w:pPr>
              <w:pStyle w:val="Compact"/>
              <w:jc w:val="left"/>
            </w:pPr>
            <w:r>
              <w:t xml:space="preserve">15.5</w:t>
            </w:r>
          </w:p>
        </w:tc>
        <w:tc>
          <w:tcPr/>
          <w:p>
            <w:pPr>
              <w:pStyle w:val="Compact"/>
              <w:jc w:val="left"/>
            </w:pPr>
            <w:r>
              <w:t xml:space="preserve">12.1</w:t>
            </w:r>
          </w:p>
        </w:tc>
        <w:tc>
          <w:tcPr/>
          <w:p>
            <w:pPr>
              <w:pStyle w:val="Compact"/>
              <w:jc w:val="left"/>
            </w:pPr>
            <w:r>
              <w:t xml:space="preserve">12.6</w:t>
            </w:r>
          </w:p>
        </w:tc>
        <w:tc>
          <w:tcPr/>
          <w:p>
            <w:pPr>
              <w:pStyle w:val="Compact"/>
              <w:jc w:val="left"/>
            </w:pPr>
            <w:r>
              <w:t xml:space="preserve">3.2</w:t>
            </w:r>
          </w:p>
        </w:tc>
        <w:tc>
          <w:tcPr/>
          <w:p>
            <w:pPr>
              <w:pStyle w:val="Compact"/>
              <w:jc w:val="left"/>
            </w:pPr>
            <w:r>
              <w:t xml:space="preserve">2.6</w:t>
            </w:r>
          </w:p>
        </w:tc>
      </w:tr>
      <w:tr>
        <w:tc>
          <w:tcPr/>
          <w:p>
            <w:pPr>
              <w:pStyle w:val="Compact"/>
              <w:jc w:val="left"/>
            </w:pPr>
            <w:r>
              <w:t xml:space="preserve">Greece</w:t>
            </w:r>
          </w:p>
        </w:tc>
        <w:tc>
          <w:tcPr/>
          <w:p>
            <w:pPr>
              <w:pStyle w:val="Compact"/>
              <w:jc w:val="left"/>
            </w:pPr>
            <w:r>
              <w:t xml:space="preserve">74.7</w:t>
            </w:r>
          </w:p>
        </w:tc>
        <w:tc>
          <w:tcPr/>
          <w:p>
            <w:pPr>
              <w:pStyle w:val="Compact"/>
              <w:jc w:val="left"/>
            </w:pPr>
            <w:r>
              <w:t xml:space="preserve">98.6</w:t>
            </w:r>
          </w:p>
        </w:tc>
        <w:tc>
          <w:tcPr/>
          <w:p>
            <w:pPr>
              <w:pStyle w:val="Compact"/>
              <w:jc w:val="left"/>
            </w:pPr>
            <w:r>
              <w:t xml:space="preserve">13.2</w:t>
            </w:r>
          </w:p>
        </w:tc>
        <w:tc>
          <w:tcPr/>
          <w:p>
            <w:pPr>
              <w:pStyle w:val="Compact"/>
              <w:jc w:val="left"/>
            </w:pPr>
            <w:r>
              <w:t xml:space="preserve">25.3</w:t>
            </w:r>
          </w:p>
        </w:tc>
        <w:tc>
          <w:tcPr/>
          <w:p>
            <w:pPr>
              <w:pStyle w:val="Compact"/>
              <w:jc w:val="left"/>
            </w:pPr>
            <w:r>
              <w:t xml:space="preserve">5.4</w:t>
            </w:r>
          </w:p>
        </w:tc>
      </w:tr>
      <w:tr>
        <w:tc>
          <w:tcPr/>
          <w:p>
            <w:pPr>
              <w:pStyle w:val="Compact"/>
              <w:jc w:val="left"/>
            </w:pPr>
            <w:r>
              <w:t xml:space="preserve">Hungary</w:t>
            </w:r>
          </w:p>
        </w:tc>
        <w:tc>
          <w:tcPr/>
          <w:p>
            <w:pPr>
              <w:pStyle w:val="Compact"/>
              <w:jc w:val="left"/>
            </w:pPr>
            <w:r>
              <w:t xml:space="preserve">13.0</w:t>
            </w:r>
          </w:p>
        </w:tc>
        <w:tc>
          <w:tcPr/>
          <w:p>
            <w:pPr>
              <w:pStyle w:val="Compact"/>
              <w:jc w:val="left"/>
            </w:pPr>
            <w:r>
              <w:t xml:space="preserve">17.1</w:t>
            </w:r>
          </w:p>
        </w:tc>
        <w:tc>
          <w:tcPr/>
          <w:p>
            <w:pPr>
              <w:pStyle w:val="Compact"/>
              <w:jc w:val="left"/>
            </w:pPr>
            <w:r>
              <w:t xml:space="preserve">-0.9</w:t>
            </w:r>
          </w:p>
        </w:tc>
        <w:tc>
          <w:tcPr/>
          <w:p>
            <w:pPr>
              <w:pStyle w:val="Compact"/>
              <w:jc w:val="left"/>
            </w:pPr>
            <w:r>
              <w:t xml:space="preserve">-0.7</w:t>
            </w:r>
          </w:p>
        </w:tc>
        <w:tc>
          <w:tcPr/>
          <w:p>
            <w:pPr>
              <w:pStyle w:val="Compact"/>
              <w:jc w:val="left"/>
            </w:pPr>
            <w:r>
              <w:t xml:space="preserve">3.4</w:t>
            </w:r>
          </w:p>
        </w:tc>
      </w:tr>
      <w:tr>
        <w:tc>
          <w:tcPr/>
          <w:p>
            <w:pPr>
              <w:pStyle w:val="Compact"/>
              <w:jc w:val="left"/>
            </w:pPr>
            <w:r>
              <w:t xml:space="preserve">Ireland</w:t>
            </w:r>
          </w:p>
        </w:tc>
        <w:tc>
          <w:tcPr/>
          <w:p>
            <w:pPr>
              <w:pStyle w:val="Compact"/>
              <w:jc w:val="left"/>
            </w:pPr>
            <w:r>
              <w:t xml:space="preserve">35.9</w:t>
            </w:r>
          </w:p>
        </w:tc>
        <w:tc>
          <w:tcPr/>
          <w:p>
            <w:pPr>
              <w:pStyle w:val="Compact"/>
              <w:jc w:val="left"/>
            </w:pPr>
            <w:r>
              <w:t xml:space="preserve">31.2</w:t>
            </w:r>
          </w:p>
        </w:tc>
        <w:tc>
          <w:tcPr/>
          <w:p>
            <w:pPr>
              <w:pStyle w:val="Compact"/>
              <w:jc w:val="left"/>
            </w:pPr>
            <w:r>
              <w:t xml:space="preserve">24.3</w:t>
            </w:r>
          </w:p>
        </w:tc>
        <w:tc>
          <w:tcPr/>
          <w:p>
            <w:pPr>
              <w:pStyle w:val="Compact"/>
              <w:jc w:val="left"/>
            </w:pPr>
            <w:r>
              <w:t xml:space="preserve">23.0</w:t>
            </w:r>
          </w:p>
        </w:tc>
        <w:tc>
          <w:tcPr/>
          <w:p>
            <w:pPr>
              <w:pStyle w:val="Compact"/>
              <w:jc w:val="left"/>
            </w:pPr>
            <w:r>
              <w:t xml:space="preserve">8.6</w:t>
            </w:r>
          </w:p>
        </w:tc>
      </w:tr>
      <w:tr>
        <w:tc>
          <w:tcPr/>
          <w:p>
            <w:pPr>
              <w:pStyle w:val="Compact"/>
              <w:jc w:val="left"/>
            </w:pPr>
            <w:r>
              <w:t xml:space="preserve">Italy</w:t>
            </w:r>
          </w:p>
        </w:tc>
        <w:tc>
          <w:tcPr/>
          <w:p>
            <w:pPr>
              <w:pStyle w:val="Compact"/>
              <w:jc w:val="left"/>
            </w:pPr>
            <w:r>
              <w:t xml:space="preserve">44.4</w:t>
            </w:r>
          </w:p>
        </w:tc>
        <w:tc>
          <w:tcPr/>
          <w:p>
            <w:pPr>
              <w:pStyle w:val="Compact"/>
              <w:jc w:val="left"/>
            </w:pPr>
            <w:r>
              <w:t xml:space="preserve">32.2</w:t>
            </w:r>
          </w:p>
        </w:tc>
        <w:tc>
          <w:tcPr/>
          <w:p>
            <w:pPr>
              <w:pStyle w:val="Compact"/>
              <w:jc w:val="left"/>
            </w:pPr>
            <w:r>
              <w:t xml:space="preserve">12.6</w:t>
            </w:r>
          </w:p>
        </w:tc>
        <w:tc>
          <w:tcPr/>
          <w:p>
            <w:pPr>
              <w:pStyle w:val="Compact"/>
              <w:jc w:val="left"/>
            </w:pPr>
            <w:r>
              <w:t xml:space="preserve">11.8</w:t>
            </w:r>
          </w:p>
        </w:tc>
        <w:tc>
          <w:tcPr/>
          <w:p>
            <w:pPr>
              <w:pStyle w:val="Compact"/>
              <w:jc w:val="left"/>
            </w:pPr>
            <w:r>
              <w:t xml:space="preserve">6.6</w:t>
            </w:r>
          </w:p>
        </w:tc>
      </w:tr>
      <w:tr>
        <w:tc>
          <w:tcPr/>
          <w:p>
            <w:pPr>
              <w:pStyle w:val="Compact"/>
              <w:jc w:val="left"/>
            </w:pPr>
            <w:r>
              <w:t xml:space="preserve">Netherlands</w:t>
            </w:r>
          </w:p>
        </w:tc>
        <w:tc>
          <w:tcPr/>
          <w:p>
            <w:pPr>
              <w:pStyle w:val="Compact"/>
              <w:jc w:val="left"/>
            </w:pPr>
            <w:r>
              <w:t xml:space="preserve">23.5</w:t>
            </w:r>
          </w:p>
        </w:tc>
        <w:tc>
          <w:tcPr/>
          <w:p>
            <w:pPr>
              <w:pStyle w:val="Compact"/>
              <w:jc w:val="left"/>
            </w:pPr>
            <w:r>
              <w:t xml:space="preserve">22.6</w:t>
            </w:r>
          </w:p>
        </w:tc>
        <w:tc>
          <w:tcPr/>
          <w:p>
            <w:pPr>
              <w:pStyle w:val="Compact"/>
              <w:jc w:val="left"/>
            </w:pPr>
            <w:r>
              <w:t xml:space="preserve">10.9</w:t>
            </w:r>
          </w:p>
        </w:tc>
        <w:tc>
          <w:tcPr/>
          <w:p>
            <w:pPr>
              <w:pStyle w:val="Compact"/>
              <w:jc w:val="left"/>
            </w:pPr>
            <w:r>
              <w:t xml:space="preserve">8.7</w:t>
            </w:r>
          </w:p>
        </w:tc>
        <w:tc>
          <w:tcPr/>
          <w:p>
            <w:pPr>
              <w:pStyle w:val="Compact"/>
              <w:jc w:val="left"/>
            </w:pPr>
            <w:r>
              <w:t xml:space="preserve">14.3</w:t>
            </w:r>
          </w:p>
        </w:tc>
      </w:tr>
      <w:tr>
        <w:tc>
          <w:tcPr/>
          <w:p>
            <w:pPr>
              <w:pStyle w:val="Compact"/>
              <w:jc w:val="left"/>
            </w:pPr>
            <w:r>
              <w:t xml:space="preserve">Poland</w:t>
            </w:r>
          </w:p>
        </w:tc>
        <w:tc>
          <w:tcPr/>
          <w:p>
            <w:pPr>
              <w:pStyle w:val="Compact"/>
              <w:jc w:val="left"/>
            </w:pPr>
            <w:r>
              <w:t xml:space="preserve">41.4</w:t>
            </w:r>
          </w:p>
        </w:tc>
        <w:tc>
          <w:tcPr/>
          <w:p>
            <w:pPr>
              <w:pStyle w:val="Compact"/>
              <w:jc w:val="left"/>
            </w:pPr>
            <w:r>
              <w:t xml:space="preserve">35.0</w:t>
            </w:r>
          </w:p>
        </w:tc>
        <w:tc>
          <w:tcPr/>
          <w:p>
            <w:pPr>
              <w:pStyle w:val="Compact"/>
              <w:jc w:val="left"/>
            </w:pPr>
            <w:r>
              <w:t xml:space="preserve">1.0</w:t>
            </w:r>
          </w:p>
        </w:tc>
        <w:tc>
          <w:tcPr/>
          <w:p>
            <w:pPr>
              <w:pStyle w:val="Compact"/>
              <w:jc w:val="left"/>
            </w:pPr>
            <w:r>
              <w:t xml:space="preserve">-1.5</w:t>
            </w:r>
          </w:p>
        </w:tc>
        <w:tc>
          <w:tcPr/>
          <w:p>
            <w:pPr>
              <w:pStyle w:val="Compact"/>
              <w:jc w:val="left"/>
            </w:pPr>
            <w:r>
              <w:t xml:space="preserve">3.6</w:t>
            </w:r>
          </w:p>
        </w:tc>
      </w:tr>
      <w:tr>
        <w:tc>
          <w:tcPr/>
          <w:p>
            <w:pPr>
              <w:pStyle w:val="Compact"/>
              <w:jc w:val="left"/>
            </w:pPr>
            <w:r>
              <w:t xml:space="preserve">Portugal</w:t>
            </w:r>
          </w:p>
        </w:tc>
        <w:tc>
          <w:tcPr/>
          <w:p>
            <w:pPr>
              <w:pStyle w:val="Compact"/>
              <w:jc w:val="left"/>
            </w:pPr>
            <w:r>
              <w:t xml:space="preserve">63.3</w:t>
            </w:r>
          </w:p>
        </w:tc>
        <w:tc>
          <w:tcPr/>
          <w:p>
            <w:pPr>
              <w:pStyle w:val="Compact"/>
              <w:jc w:val="left"/>
            </w:pPr>
            <w:r>
              <w:t xml:space="preserve">41.5</w:t>
            </w:r>
          </w:p>
        </w:tc>
        <w:tc>
          <w:tcPr/>
          <w:p>
            <w:pPr>
              <w:pStyle w:val="Compact"/>
              <w:jc w:val="left"/>
            </w:pPr>
            <w:r>
              <w:t xml:space="preserve">16.6</w:t>
            </w:r>
          </w:p>
        </w:tc>
        <w:tc>
          <w:tcPr/>
          <w:p>
            <w:pPr>
              <w:pStyle w:val="Compact"/>
              <w:jc w:val="left"/>
            </w:pPr>
            <w:r>
              <w:t xml:space="preserve">21.3</w:t>
            </w:r>
          </w:p>
        </w:tc>
        <w:tc>
          <w:tcPr/>
          <w:p>
            <w:pPr>
              <w:pStyle w:val="Compact"/>
              <w:jc w:val="left"/>
            </w:pPr>
            <w:r>
              <w:t xml:space="preserve">6.2</w:t>
            </w:r>
          </w:p>
        </w:tc>
      </w:tr>
      <w:tr>
        <w:tc>
          <w:tcPr/>
          <w:p>
            <w:pPr>
              <w:pStyle w:val="Compact"/>
              <w:jc w:val="left"/>
            </w:pPr>
            <w:r>
              <w:t xml:space="preserve">Romania</w:t>
            </w:r>
          </w:p>
        </w:tc>
        <w:tc>
          <w:tcPr/>
          <w:p>
            <w:pPr>
              <w:pStyle w:val="Compact"/>
              <w:jc w:val="left"/>
            </w:pPr>
            <w:r>
              <w:t xml:space="preserve">78.9</w:t>
            </w:r>
          </w:p>
        </w:tc>
        <w:tc>
          <w:tcPr/>
          <w:p>
            <w:pPr>
              <w:pStyle w:val="Compact"/>
              <w:jc w:val="left"/>
            </w:pPr>
            <w:r>
              <w:t xml:space="preserve">64.9</w:t>
            </w:r>
          </w:p>
        </w:tc>
        <w:tc>
          <w:tcPr/>
          <w:p>
            <w:pPr>
              <w:pStyle w:val="Compact"/>
              <w:jc w:val="left"/>
            </w:pPr>
            <w:r>
              <w:t xml:space="preserve">11.4</w:t>
            </w:r>
          </w:p>
        </w:tc>
        <w:tc>
          <w:tcPr/>
          <w:p>
            <w:pPr>
              <w:pStyle w:val="Compact"/>
              <w:jc w:val="left"/>
            </w:pPr>
            <w:r>
              <w:t xml:space="preserve">0.3</w:t>
            </w:r>
          </w:p>
        </w:tc>
        <w:tc>
          <w:tcPr/>
          <w:p>
            <w:pPr>
              <w:pStyle w:val="Compact"/>
              <w:jc w:val="left"/>
            </w:pPr>
            <w:r>
              <w:t xml:space="preserve">-1.3</w:t>
            </w:r>
          </w:p>
        </w:tc>
      </w:tr>
      <w:tr>
        <w:tc>
          <w:tcPr/>
          <w:p>
            <w:pPr>
              <w:pStyle w:val="Compact"/>
              <w:jc w:val="left"/>
            </w:pPr>
            <w:r>
              <w:t xml:space="preserve">Sweden</w:t>
            </w:r>
          </w:p>
        </w:tc>
        <w:tc>
          <w:tcPr/>
          <w:p>
            <w:pPr>
              <w:pStyle w:val="Compact"/>
              <w:jc w:val="left"/>
            </w:pPr>
            <w:r>
              <w:t xml:space="preserve">1.8</w:t>
            </w:r>
          </w:p>
        </w:tc>
        <w:tc>
          <w:tcPr/>
          <w:p>
            <w:pPr>
              <w:pStyle w:val="Compact"/>
              <w:jc w:val="left"/>
            </w:pPr>
            <w:r>
              <w:t xml:space="preserve">-0.5</w:t>
            </w:r>
          </w:p>
        </w:tc>
        <w:tc>
          <w:tcPr/>
          <w:p>
            <w:pPr>
              <w:pStyle w:val="Compact"/>
              <w:jc w:val="left"/>
            </w:pPr>
            <w:r>
              <w:t xml:space="preserve">-2.3</w:t>
            </w:r>
          </w:p>
        </w:tc>
        <w:tc>
          <w:tcPr/>
          <w:p>
            <w:pPr>
              <w:pStyle w:val="Compact"/>
              <w:jc w:val="left"/>
            </w:pPr>
            <w:r>
              <w:t xml:space="preserve">-9.2</w:t>
            </w:r>
          </w:p>
        </w:tc>
        <w:tc>
          <w:tcPr/>
          <w:p>
            <w:pPr>
              <w:pStyle w:val="Compact"/>
              <w:jc w:val="left"/>
            </w:pPr>
            <w:r>
              <w:t xml:space="preserve">21.2</w:t>
            </w:r>
          </w:p>
        </w:tc>
      </w:tr>
    </w:tbl>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50" Target="media/rId50.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2026-09-18T18:28:49Z</dcterms:created>
  <dcterms:modified xsi:type="dcterms:W3CDTF">2026-09-18T18:28:49Z</dcterms:modified>
</cp:coreProperties>
</file>

<file path=docProps/custom.xml><?xml version="1.0" encoding="utf-8"?>
<Properties xmlns="http://schemas.openxmlformats.org/officeDocument/2006/custom-properties" xmlns:vt="http://schemas.openxmlformats.org/officeDocument/2006/docPropsVTypes"/>
</file>