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AD4" w14:textId="77777777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766B27">
        <w:rPr>
          <w:rFonts w:ascii="Arial" w:eastAsia="宋体" w:hAnsi="Arial" w:cs="Arial"/>
          <w:noProof/>
          <w:color w:val="333333"/>
          <w:kern w:val="0"/>
          <w:szCs w:val="21"/>
        </w:rPr>
        <w:drawing>
          <wp:inline distT="0" distB="0" distL="0" distR="0" wp14:anchorId="2C329B30" wp14:editId="25C19156">
            <wp:extent cx="1050878" cy="105374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/>
                  </pic:blipFill>
                  <pic:spPr bwMode="auto"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CC012" w14:textId="4C8AF3CE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eastAsia="华文中宋" w:hAnsi="华文中宋" w:cs="Arial"/>
          <w:b/>
          <w:bCs/>
          <w:color w:val="333333"/>
          <w:kern w:val="0"/>
          <w:sz w:val="56"/>
          <w:szCs w:val="56"/>
        </w:rPr>
        <w:t>02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5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年（第1</w:t>
      </w:r>
      <w:r w:rsidR="00E16C26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8</w:t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届）</w:t>
      </w:r>
    </w:p>
    <w:p w14:paraId="10D55C01" w14:textId="61C948DA" w:rsidR="00865588" w:rsidRPr="00FD5862" w:rsidRDefault="00865588" w:rsidP="00420F7C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FD5862"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300D9B14" w:rsidR="00865588" w:rsidRPr="00F96902" w:rsidRDefault="00E430DC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人工智能</w:t>
      </w:r>
      <w:r w:rsidR="006E2A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实践赛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2BB59201" w14:textId="77777777" w:rsidR="00865588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t>作品编号：QSJD-AI-2026-01</w:t>
      </w:r>
    </w:p>
    <w:p w14:paraId="6FAEF54B" w14:textId="77777777" w:rsidR="00BB2AAA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t>作品名称：城迹——城市历史文化研学智能体</w:t>
      </w:r>
    </w:p>
    <w:p w14:paraId="2008CFF4" w14:textId="0F647BF8" w:rsidR="00F47375" w:rsidRPr="00BB2AAA" w:rsidRDefault="00F47375" w:rsidP="00CF6EF8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 w:firstLineChars="500" w:firstLine="1600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/>
    </w:p>
    <w:p w14:paraId="054485EB" w14:textId="13A62EDC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t>填写日期：2026年04月02日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67F8DA4E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CF6EF8">
                              <w:rPr>
                                <w:rFonts w:ascii="华文楷体" w:eastAsia="华文楷体" w:hAnsi="华文楷体" w:hint="eastAsia"/>
                              </w:rPr>
                              <w:t>人工智能挑战赛</w:t>
                            </w:r>
                            <w:r w:rsidR="00022BDA">
                              <w:rPr>
                                <w:rFonts w:ascii="华文楷体" w:eastAsia="华文楷体" w:hAnsi="华文楷体" w:hint="eastAsia"/>
                              </w:rPr>
                              <w:t>预选赛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50DBC145" w14:textId="53A56078" w:rsidR="00482289" w:rsidRPr="000D70C7" w:rsidRDefault="00482289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/>
                              </w:rPr>
                              <w:t>尽管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预选赛仅完成部分工作，但</w:t>
                            </w:r>
                            <w:r w:rsidRPr="00DC170A">
                              <w:rPr>
                                <w:rFonts w:ascii="华文楷体" w:eastAsia="华文楷体" w:hAnsi="华文楷体" w:hint="eastAsia"/>
                              </w:rPr>
                              <w:t>是本文档需要针对决赛做出方案设计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67F8DA4E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CF6EF8">
                        <w:rPr>
                          <w:rFonts w:ascii="华文楷体" w:eastAsia="华文楷体" w:hAnsi="华文楷体" w:hint="eastAsia"/>
                        </w:rPr>
                        <w:t>人工智能挑战赛</w:t>
                      </w:r>
                      <w:r w:rsidR="00022BDA">
                        <w:rPr>
                          <w:rFonts w:ascii="华文楷体" w:eastAsia="华文楷体" w:hAnsi="华文楷体" w:hint="eastAsia"/>
                        </w:rPr>
                        <w:t>预选赛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50DBC145" w14:textId="53A56078" w:rsidR="00482289" w:rsidRPr="000D70C7" w:rsidRDefault="00482289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/>
                        </w:rPr>
                        <w:t>尽管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预选赛仅完成部分工作，但</w:t>
                      </w:r>
                      <w:r w:rsidRPr="00DC170A">
                        <w:rPr>
                          <w:rFonts w:ascii="华文楷体" w:eastAsia="华文楷体" w:hAnsi="华文楷体" w:hint="eastAsia"/>
                        </w:rPr>
                        <w:t>是本文档需要针对决赛做出方案设计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proofErr w:type="gramStart"/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</w:t>
                      </w:r>
                      <w:proofErr w:type="gramEnd"/>
                      <w:r w:rsidR="005468F7">
                        <w:rPr>
                          <w:rFonts w:ascii="华文楷体" w:eastAsia="华文楷体" w:hAnsi="华文楷体" w:hint="eastAsia"/>
                        </w:rPr>
                        <w:t>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25CDD025" w14:textId="4A59CEF7" w:rsidR="00287515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889" w:history="1">
            <w:r w:rsidR="00287515" w:rsidRPr="000002F7">
              <w:rPr>
                <w:rStyle w:val="a4"/>
              </w:rPr>
              <w:t>第</w:t>
            </w:r>
            <w:r w:rsidR="00287515" w:rsidRPr="000002F7">
              <w:rPr>
                <w:rStyle w:val="a4"/>
              </w:rPr>
              <w:t>1</w:t>
            </w:r>
            <w:r w:rsidR="00287515" w:rsidRPr="000002F7">
              <w:rPr>
                <w:rStyle w:val="a4"/>
              </w:rPr>
              <w:t>章</w:t>
            </w:r>
            <w:r w:rsidR="00287515" w:rsidRPr="000002F7">
              <w:rPr>
                <w:rStyle w:val="a4"/>
              </w:rPr>
              <w:t xml:space="preserve"> </w:t>
            </w:r>
            <w:r w:rsidR="00287515" w:rsidRPr="000002F7">
              <w:rPr>
                <w:rStyle w:val="a4"/>
              </w:rPr>
              <w:t>作品概述</w:t>
            </w:r>
            <w:r w:rsidR="00287515">
              <w:rPr>
                <w:webHidden/>
              </w:rPr>
              <w:tab/>
            </w:r>
            <w:r w:rsidR="00287515">
              <w:rPr>
                <w:webHidden/>
              </w:rPr>
              <w:fldChar w:fldCharType="begin"/>
            </w:r>
            <w:r w:rsidR="00287515">
              <w:rPr>
                <w:webHidden/>
              </w:rPr>
              <w:instrText xml:space="preserve"> PAGEREF _Toc100650889 \h </w:instrText>
            </w:r>
            <w:r w:rsidR="00287515">
              <w:rPr>
                <w:webHidden/>
              </w:rPr>
            </w:r>
            <w:r w:rsidR="00287515">
              <w:rPr>
                <w:webHidden/>
              </w:rPr>
              <w:fldChar w:fldCharType="separate"/>
            </w:r>
            <w:r w:rsidR="00287515">
              <w:rPr>
                <w:webHidden/>
              </w:rPr>
              <w:t>1</w:t>
            </w:r>
            <w:r w:rsidR="00287515">
              <w:rPr>
                <w:webHidden/>
              </w:rPr>
              <w:fldChar w:fldCharType="end"/>
            </w:r>
          </w:hyperlink>
        </w:p>
        <w:p w14:paraId="63B6ECA9" w14:textId="5EE62DB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0" w:history="1">
            <w:r w:rsidRPr="000002F7">
              <w:rPr>
                <w:rStyle w:val="a4"/>
                <w:noProof/>
              </w:rPr>
              <w:t xml:space="preserve">1.1 </w:t>
            </w:r>
            <w:r w:rsidRPr="000002F7">
              <w:rPr>
                <w:rStyle w:val="a4"/>
                <w:noProof/>
              </w:rPr>
              <w:t>二级标题示例（快捷键</w:t>
            </w:r>
            <w:r w:rsidRPr="000002F7">
              <w:rPr>
                <w:rStyle w:val="a4"/>
                <w:noProof/>
              </w:rPr>
              <w:t>Ctrl + 2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0BB2" w14:textId="49676C89" w:rsidR="00287515" w:rsidRDefault="00287515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1" w:history="1">
            <w:r w:rsidRPr="000002F7">
              <w:rPr>
                <w:rStyle w:val="a4"/>
                <w:noProof/>
              </w:rPr>
              <w:t xml:space="preserve">1.1.1 </w:t>
            </w:r>
            <w:r w:rsidRPr="000002F7">
              <w:rPr>
                <w:rStyle w:val="a4"/>
                <w:noProof/>
              </w:rPr>
              <w:t>三级标题示例（快捷键</w:t>
            </w:r>
            <w:r w:rsidRPr="000002F7">
              <w:rPr>
                <w:rStyle w:val="a4"/>
                <w:noProof/>
              </w:rPr>
              <w:t>Ctrl + 3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8FB" w14:textId="0277E472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2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2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703ED7" w14:textId="0633FC7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3" w:history="1">
            <w:r w:rsidRPr="000002F7">
              <w:rPr>
                <w:rStyle w:val="a4"/>
                <w:noProof/>
              </w:rPr>
              <w:t xml:space="preserve">2.1 </w:t>
            </w:r>
            <w:r w:rsidRPr="000002F7">
              <w:rPr>
                <w:rStyle w:val="a4"/>
                <w:noProof/>
              </w:rPr>
              <w:t>问题来源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6C9" w14:textId="659B238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4" w:history="1">
            <w:r w:rsidRPr="000002F7">
              <w:rPr>
                <w:rStyle w:val="a4"/>
                <w:noProof/>
              </w:rPr>
              <w:t xml:space="preserve">2.2 </w:t>
            </w:r>
            <w:r w:rsidRPr="000002F7">
              <w:rPr>
                <w:rStyle w:val="a4"/>
                <w:noProof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AE33" w14:textId="01A5110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5" w:history="1">
            <w:r w:rsidRPr="000002F7">
              <w:rPr>
                <w:rStyle w:val="a4"/>
                <w:noProof/>
              </w:rPr>
              <w:t xml:space="preserve">2.3 </w:t>
            </w:r>
            <w:r w:rsidRPr="000002F7">
              <w:rPr>
                <w:rStyle w:val="a4"/>
                <w:noProof/>
              </w:rPr>
              <w:t>本作品要解决的痛点问题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CAEC" w14:textId="7C24BD9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6" w:history="1">
            <w:r w:rsidRPr="000002F7">
              <w:rPr>
                <w:rStyle w:val="a4"/>
                <w:noProof/>
              </w:rPr>
              <w:t xml:space="preserve">2.4 </w:t>
            </w:r>
            <w:r w:rsidRPr="000002F7">
              <w:rPr>
                <w:rStyle w:val="a4"/>
                <w:noProof/>
              </w:rPr>
              <w:t>解决问题的思路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4E4" w14:textId="5992BA70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7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3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911C5" w14:textId="29CE518D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8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4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9B7E9E" w14:textId="1FBA04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9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5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555B41" w14:textId="1EA469D5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0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6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A76A6" w14:textId="43080176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1" w:history="1">
            <w:r w:rsidRPr="000002F7">
              <w:rPr>
                <w:rStyle w:val="a4"/>
                <w:noProof/>
              </w:rPr>
              <w:t xml:space="preserve">6.1 </w:t>
            </w:r>
            <w:r w:rsidRPr="000002F7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9454" w14:textId="0C29315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2" w:history="1">
            <w:r w:rsidRPr="000002F7">
              <w:rPr>
                <w:rStyle w:val="a4"/>
                <w:noProof/>
              </w:rPr>
              <w:t xml:space="preserve">6.2 </w:t>
            </w:r>
            <w:r w:rsidRPr="000002F7">
              <w:rPr>
                <w:rStyle w:val="a4"/>
                <w:noProof/>
              </w:rPr>
              <w:t>应用推广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12B6" w14:textId="5C6F28B3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3" w:history="1">
            <w:r w:rsidRPr="000002F7">
              <w:rPr>
                <w:rStyle w:val="a4"/>
                <w:noProof/>
              </w:rPr>
              <w:t xml:space="preserve">6.3 </w:t>
            </w:r>
            <w:r w:rsidRPr="000002F7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2CD" w14:textId="2A1861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4" w:history="1">
            <w:r w:rsidRPr="000002F7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E8AC19" w14:textId="48A71E7D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889"/>
      <w:r>
        <w:rPr>
          <w:rFonts w:hint="eastAsia"/>
        </w:rPr>
        <w:lastRenderedPageBreak/>
        <w:t>作品概述</w:t>
      </w:r>
      <w:bookmarkEnd w:id="0"/>
    </w:p>
    <w:p w14:paraId="34DECA1E" w14:textId="2BB5BAFE" w:rsidR="00B479FD" w:rsidRDefault="00DE53BB" w:rsidP="00E913B0">
      <w:pPr>
        <w:pStyle w:val="ac"/>
        <w:spacing w:before="156" w:after="312"/>
        <w:rPr>
          <w:rFonts w:hint="eastAsia"/>
        </w:rPr>
      </w:pPr>
      <w:r>
        <w:t>“城迹”项目面向人工智能实践赛“智能教育与文化”方向，聚焦“历史+文化+城市”的复合场景，目标是把传统“城市打卡”升级为“可学习、可讲解、可复盘”的研学过程。项目来源于对原有文旅系统的实地观察：用户知道去哪里，却常常不知道为什么看、看什么、看完如何表达。为解决这一断层，城迹通过AI导师、研学路线、腾讯地图点位、现场观察任务和学习报告，将一次城市出行转化为一条完整的学习链路。</w:t>
      </w:r>
    </w:p>
    <w:p w14:paraId="6719C50E" w14:textId="7B3D109A" w:rsidR="004C3382" w:rsidRDefault="004C3382" w:rsidP="00327631">
      <w:pPr>
        <w:pStyle w:val="2"/>
        <w:spacing w:before="468" w:after="93"/>
      </w:pPr>
      <w:r>
        <w:t>设计原理与创意来源</w:t>
      </w:r>
    </w:p>
    <w:p w14:paraId="196553EA" w14:textId="629FF638" w:rsidR="00C55514" w:rsidRDefault="00C55514" w:rsidP="00C55514">
      <w:pPr>
        <w:pStyle w:val="3"/>
        <w:spacing w:before="312" w:after="62"/>
      </w:pPr>
      <w:r>
        <w:t>作品设计原理采用“目标驱动+证据驱动”双轨模式。目标驱动指系统先收集用户的城市、时长、兴趣主题和学习偏好，再生成与其能力相匹配的研学路线；证据驱动指每个点位都提供“历史文化简介、知识亮点、现场观察任务、互动提问、拍照与记录建议”，让用户在现场获得可验证的学习证据，而非只停留在感性印象。</w:t>
      </w:r>
    </w:p>
    <w:p w14:paraId="482D9C99" w14:textId="4C459399" w:rsidR="00800827" w:rsidRDefault="008E1AD2" w:rsidP="00800827">
      <w:pPr>
        <w:pStyle w:val="a0"/>
        <w:spacing w:before="62" w:after="62"/>
        <w:ind w:firstLine="480"/>
      </w:pPr>
      <w:r>
        <w:t>作品服务对象包括三类：一是中学与高校研学课程团队，二是博物馆与城市文化机构的公众教育活动组织者，三是希望进行深度城市探索的普通用户。核心价值是把“看城市”变成“读城市”：用户不仅能完成路线通行，还能形成讲解提纲、观察记录和学习反馈，便于课堂汇报、答辩展示与后续复盘。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t>应用页面示意</w:t>
      </w:r>
    </w:p>
    <w:p w14:paraId="2203B97E" w14:textId="53D3D6DB" w:rsidR="000E2E5F" w:rsidRDefault="000E2E5F" w:rsidP="000E2E5F">
      <w:pPr>
        <w:pStyle w:val="ae"/>
        <w:spacing w:before="93" w:after="93"/>
        <w:jc w:val="center"/>
      </w:pPr>
      <w:r/>
      <w:r>
        <w:drawing>
          <wp:inline xmlns:a="http://schemas.openxmlformats.org/drawingml/2006/main" xmlns:pic="http://schemas.openxmlformats.org/drawingml/2006/picture">
            <wp:extent cx="5472000" cy="307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F70E58" w14:textId="0C746C43" w:rsidR="00045F68" w:rsidRDefault="00CC2386" w:rsidP="00CC2386">
      <w:pPr>
        <w:pStyle w:val="ad"/>
        <w:spacing w:before="93" w:after="93"/>
        <w:rPr>
          <w:rFonts w:hint="eastAsia"/>
        </w:rPr>
      </w:pPr>
      <w:r>
        <w:t>图1  城迹首页（智能教育与文化方向入口）</w: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t>应用价值与推广前景</w:t>
      </w:r>
    </w:p>
    <w:p w14:paraId="7B89DBD1" w14:textId="32805BB8" w:rsidR="009D40F5" w:rsidRDefault="009D40F5" w:rsidP="009D40F5">
      <w:pPr>
        <w:pStyle w:val="ad"/>
        <w:spacing w:before="93" w:after="93"/>
        <w:rPr>
          <w:rFonts w:hint="eastAsia"/>
        </w:rPr>
      </w:pPr>
      <w:r>
        <w:t>表1  系统测试与交付指标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测试维度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>
            <w:r>
              <w:t>结果A（接口健康）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>
            <w:r>
              <w:t>结果B（功能联调）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>
            <w:r>
              <w:t>结果C（工程构建）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>
            <w:r>
              <w:t>验证项1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>
            <w:r>
              <w:t>GET /health 返回 success=true</w:t>
            </w: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>
            <w:r>
              <w:t>/api/ai/chat、/api/ai/route、/api/ai/knowledge 全部可用</w:t>
            </w: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>
            <w:r>
              <w:t>npm run build 成功</w:t>
            </w: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>
            <w:r>
              <w:t>验证项2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>
            <w:r>
              <w:t>providerMode=aliyun</w:t>
            </w:r>
          </w:p>
        </w:tc>
        <w:tc>
          <w:tcPr>
            <w:tcW w:w="1659" w:type="dxa"/>
            <w:vAlign w:val="center"/>
          </w:tcPr>
          <w:p>
            <w:r>
              <w:t>设置→对话→路线→节点→报告流程可完整走通</w:t>
            </w:r>
          </w:p>
        </w:tc>
        <w:tc>
          <w:tcPr>
            <w:tcW w:w="3319" w:type="dxa"/>
            <w:vAlign w:val="center"/>
          </w:tcPr>
          <w:p>
            <w:r>
              <w:t>dist 产物生成且可部署</w:t>
            </w: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>
            <w:r>
              <w:t>验证项3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>
            <w:r>
              <w:t>model=aliyun:qwen-plus</w:t>
            </w:r>
          </w:p>
        </w:tc>
        <w:tc>
          <w:tcPr>
            <w:tcW w:w="1659" w:type="dxa"/>
            <w:vAlign w:val="center"/>
          </w:tcPr>
          <w:p>
            <w:r>
              <w:t>chat 1477ms / route 1539ms / knowledge 2112ms</w:t>
            </w:r>
          </w:p>
        </w:tc>
        <w:tc>
          <w:tcPr>
            <w:tcW w:w="3319" w:type="dxa"/>
            <w:vAlign w:val="center"/>
          </w:tcPr>
          <w:p>
            <w:r>
              <w:t>前后端分离部署配置已补齐</w:t>
            </w: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>
            <w:r>
              <w:t>验证项4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>
            <w:r>
              <w:t>providers: aliyun=ready, tencent=missing_key</w:t>
            </w:r>
          </w:p>
        </w:tc>
        <w:tc>
          <w:tcPr>
            <w:tcW w:w="1659" w:type="dxa"/>
            <w:vAlign w:val="center"/>
          </w:tcPr>
          <w:p>
            <w:r>
              <w:t>腾讯地图点位加载与弹窗交互正常</w:t>
            </w:r>
          </w:p>
        </w:tc>
        <w:tc>
          <w:tcPr>
            <w:tcW w:w="3319" w:type="dxa"/>
            <w:vAlign w:val="center"/>
          </w:tcPr>
          <w:p>
            <w:r>
              <w:t>支持 Vercel + Render 公网部署方案</w:t>
            </w: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>
            <w:r>
              <w:t>结论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>
            <w:r>
              <w:t>服务状态可观测</w:t>
            </w: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>
            <w:r>
              <w:t>功能满足答辩演示要求</w:t>
            </w: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>
            <w:r>
              <w:t>具备稳定交付与复现能力</w:t>
            </w: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  <w:r>
        <w:t>从应用价值看，城迹适合课程化使用：课前用于制定目标与路线，课中用于观察与问答，课后用于报告与反馈；从推广前景看，系统可平滑拓展到城市通识教育、文博社教活动、文旅公共服务等场景，且具备前后端分离部署能力，便于在公共网络快速上线。</w:t>
      </w: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/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892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 w14:paraId="545DDF48" w14:textId="4DC96955" w:rsidR="00E43FE7" w:rsidRDefault="00E43FE7" w:rsidP="00E43FE7">
      <w:pPr>
        <w:pStyle w:val="2"/>
        <w:spacing w:before="468" w:after="93"/>
      </w:pPr>
      <w:r>
        <w:t>问题来源</w:t>
      </w:r>
    </w:p>
    <w:p w14:paraId="72632E64" w14:textId="0A8122DA" w:rsidR="00275EBD" w:rsidRDefault="00275EBD" w:rsidP="00275EBD">
      <w:pPr>
        <w:pStyle w:val="ac"/>
        <w:spacing w:before="156" w:after="312"/>
        <w:rPr>
          <w:rFonts w:hint="eastAsia"/>
        </w:rPr>
      </w:pPr>
      <w:r>
        <w:t>城市研学正从“观光式参观”走向“任务化学习”，但市场上大量产品仍以导航或景点清单为主，缺乏教学目标映射和学习过程设计。团队在原项目迭代中发现，用户常出现三种典型问题：行程信息很多但知识结构混乱；现场体验很强但缺少可沉淀记录；回到课堂后难以形成高质量表达。</w:t>
      </w:r>
    </w:p>
    <w:p w14:paraId="32D20946" w14:textId="3EBA9021" w:rsidR="00E43FE7" w:rsidRPr="00275EBD" w:rsidRDefault="00E43FE7" w:rsidP="00E43FE7">
      <w:pPr>
        <w:pStyle w:val="a0"/>
        <w:spacing w:before="62" w:after="62"/>
        <w:ind w:firstLine="480"/>
      </w:pPr>
      <w:r>
        <w:t>此外，比赛答辩强调“方案设计+系统实现+功能演示+效果证据”一体化。如果系统只有内容展示而没有可验证数据，评审很难判断作品有效性。因此，本项目将接口联调结果、页面截图、结构化数据规模和部署路径纳入同一报告，形成可追溯证据链。</w:t>
      </w:r>
    </w:p>
    <w:p w14:paraId="163829B1" w14:textId="450CDC86" w:rsidR="00E43FE7" w:rsidRDefault="00E43FE7" w:rsidP="00E43FE7">
      <w:pPr>
        <w:pStyle w:val="2"/>
        <w:spacing w:before="468" w:after="93"/>
      </w:pPr>
      <w:r>
        <w:t>现有解决方案</w:t>
      </w:r>
    </w:p>
    <w:p w14:paraId="1974D893" w14:textId="0E9C8444" w:rsidR="00E43FE7" w:rsidRDefault="00275EBD" w:rsidP="00275EBD">
      <w:pPr>
        <w:pStyle w:val="ac"/>
        <w:spacing w:before="156" w:after="312"/>
        <w:rPr>
          <w:rFonts w:hint="eastAsia"/>
        </w:rPr>
      </w:pPr>
      <w:r>
        <w:t>现有方案主要有三类。第一类是地图导航类产品，优势是定位精准、路径规划成熟，短板是学习内容薄弱；第二类是文旅内容类平台，优势是图文视频丰富，但缺少任务化引导和个性化交互；第三类是通用问答机器人，优势是对话自然，但常与真实点位、路线和场景脱节。</w:t>
      </w:r>
    </w:p>
    <w:p w14:paraId="3AD2C8B9" w14:textId="77777777" w:rsidR="00275EBD" w:rsidRPr="00275EBD" w:rsidRDefault="00275EBD" w:rsidP="00275EBD">
      <w:pPr>
        <w:pStyle w:val="a0"/>
        <w:spacing w:before="62" w:after="62"/>
        <w:ind w:firstLine="480"/>
      </w:pPr>
      <w:r>
        <w:t>与上述方案相比，城迹的改进方向是把“路线、地图、对话、任务、报告”打通，构建“输入参数→生成方案→现场执行→结果反馈”的闭环，使产品既能在日常使用中提供教育价值，也能在比赛现场完整演示系统能力。</w:t>
      </w:r>
    </w:p>
    <w:p w14:paraId="2B15DFE2" w14:textId="32A10080" w:rsidR="00912FB6" w:rsidRDefault="00912FB6" w:rsidP="00E43FE7">
      <w:pPr>
        <w:pStyle w:val="2"/>
        <w:spacing w:before="468" w:after="93"/>
      </w:pPr>
      <w:r>
        <w:t>本作品要解决的痛点问题</w:t>
      </w:r>
    </w:p>
    <w:p w14:paraId="659CF6F4" w14:textId="6B0C50AD" w:rsidR="00EC1F88" w:rsidRPr="00EC1F88" w:rsidRDefault="00EC1F88" w:rsidP="00EC1F88">
      <w:pPr>
        <w:pStyle w:val="ac"/>
        <w:spacing w:before="156" w:after="312"/>
        <w:rPr>
          <w:rFonts w:hint="eastAsia"/>
        </w:rPr>
      </w:pPr>
      <w:r>
        <w:t>痛点1：从“去哪”到“学什么”的目标断层；痛点2：从“看景”到“做观察”的方法断层；痛点3：从“现场体验”到“课后复盘”的成果断层；痛点4：从“技术实现”到“评审可证”的证据断层。</w:t>
      </w:r>
    </w:p>
    <w:p w14:paraId="05AFB08A" w14:textId="40144373" w:rsidR="00BF6464" w:rsidRDefault="00BF6464" w:rsidP="00BF6464">
      <w:pPr>
        <w:pStyle w:val="a0"/>
        <w:spacing w:before="62" w:after="62"/>
        <w:ind w:firstLine="480"/>
      </w:pPr>
      <w:r>
        <w:t>围绕四类痛点，作品提出四项对应目标：路线必须可解释、节点必须可执行、问答必须可讲解、结果必须可复核。最终交付不仅是一个可运行系统，更是一套可用于教育场景的研学方法框架。</w:t>
      </w:r>
    </w:p>
    <w:p w14:paraId="646C57C9" w14:textId="77777777" w:rsidR="00BF6464" w:rsidRPr="00BF6464" w:rsidRDefault="00BF6464" w:rsidP="00BF6464">
      <w:pPr>
        <w:pStyle w:val="a0"/>
        <w:spacing w:before="62" w:after="62"/>
        <w:ind w:firstLine="480"/>
      </w:pPr>
      <w:r/>
    </w:p>
    <w:p w14:paraId="06FC8F25" w14:textId="51FA4B04" w:rsidR="00E43FE7" w:rsidRPr="00E43FE7" w:rsidRDefault="000D7840" w:rsidP="00E43FE7">
      <w:pPr>
        <w:pStyle w:val="2"/>
        <w:spacing w:before="468" w:after="93"/>
      </w:pPr>
      <w:r>
        <w:t>解决问题的思路</w:t>
      </w:r>
    </w:p>
    <w:p w14:paraId="7714C684" w14:textId="37E2F6EA" w:rsidR="00275EBD" w:rsidRDefault="00275EBD" w:rsidP="00275EBD">
      <w:pPr>
        <w:pStyle w:val="ac"/>
        <w:spacing w:before="156" w:after="312"/>
        <w:rPr>
          <w:rFonts w:hint="eastAsia"/>
        </w:rPr>
      </w:pPr>
      <w:r>
        <w:t>功能需求：支持城市、时长、兴趣主题、学习偏好输入；支持AI导师对话、路线建议、知识问答；支持腾讯地图点位标注与信息弹窗；支持节点任务执行与研学报告生成。性能需求：关键接口返回稳定JSON结构，前端可构建、后端可部署，具备课堂演示时的连续可用性。</w:t>
      </w:r>
    </w:p>
    <w:p w14:paraId="50447E52" w14:textId="77777777" w:rsidR="008259E1" w:rsidRPr="00275EBD" w:rsidRDefault="008259E1" w:rsidP="006547BF">
      <w:pPr>
        <w:pStyle w:val="a0"/>
        <w:spacing w:before="62" w:after="62"/>
        <w:ind w:firstLine="480"/>
      </w:pPr>
      <w:r>
        <w:t>数据层采用结构化TypeScript对象，集中于frontend/src/data/mockData.ts，当前真实规模为：5位导师角色、5座城市（杭州/成都/长沙/西安/武汉）、25个文化点位、15条研学路线模板、25条任务模板（由点位映射生成）、5份城市学习报告模板。点位字段包含经纬度、类型、知识亮点、观察任务、拍照建议与推荐理由，可直接支撑地图与教学联动。</w:t>
      </w:r>
    </w:p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  <w:r>
        <w:t>评价指标在第5章验证，包括：接口健康状态（/health）、核心API可用性（/api/ai/chat、/api/ai/knowledge、/api/ai/route）、页面流程完整性（设置→对话→路线→节点→报告）、工程构建可用性（npm run build）以及部署可复现性（Vercel+Render）。</w:t>
      </w:r>
    </w:p>
    <w:p w14:paraId="1B77D99C" w14:textId="3741C4E3" w:rsidR="00773453" w:rsidRDefault="00773453" w:rsidP="00F93755">
      <w:pPr>
        <w:pStyle w:val="1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 w14:textId="4B49CC25" w:rsidR="00773453" w:rsidRDefault="00773453" w:rsidP="00D6724F">
      <w:pPr>
        <w:pStyle w:val="ac"/>
        <w:spacing w:before="156" w:after="312"/>
        <w:rPr>
          <w:rFonts w:hint="eastAsia"/>
        </w:rPr>
      </w:pPr>
      <w:r>
        <w:t>技术方案采用“前端交互层+后端服务层+模型与地图能力层”三层架构。前端基于React+Vite+TypeScript，负责参数采集、页面路由和可视化呈现；后端基于Node.js+Express，提供统一AI网关与业务接口；能力层接入腾讯地图GL与WebService能力，以及大模型推理能力。模型网关支持AI_PROVIDER=aliyun/tencent/auto三种模式：默认阿里云百炼（Qwen），保留腾讯混元SDK接入能力，实现密钥后置和弹性切换。</w:t>
      </w:r>
    </w:p>
    <w:p w14:paraId="0197BB0A" w14:textId="34EF2675" w:rsidR="007E490F" w:rsidRDefault="007E490F" w:rsidP="006547BF">
      <w:pPr>
        <w:pStyle w:val="a0"/>
        <w:spacing w:before="62" w:after="62"/>
        <w:ind w:firstLine="48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56000" cy="295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A31658" w14:textId="6C9D0A04" w:rsidR="007E490F" w:rsidRDefault="007E490F" w:rsidP="006547BF">
      <w:pPr>
        <w:pStyle w:val="a0"/>
        <w:spacing w:before="62" w:after="62"/>
        <w:ind w:firstLine="480"/>
      </w:pPr>
      <w:r>
        <w:t>图2  研学设置页（城市、时长、文化主题与学习偏好输入）</w:t>
      </w:r>
    </w:p>
    <w:p w14:paraId="5F962E18" w14:textId="3931F48D" w:rsidR="007E490F" w:rsidRDefault="00AC4401" w:rsidP="007E490F">
      <w:pPr>
        <w:pStyle w:val="1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 w14:textId="7AAE4E61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>
        <w:t>系统实现坚持“基于现有工程重构”的原则，不推翻原有React+Vite结构，而是对页面语义、数据模型与交互逻辑做定向升级。页面流程为：Index说明作品定位；Setup收集研学参数；Chat提供导师式对话；Route展示路线与地图；NodeDetail提供任务执行指引；Report输出学习画像。核心改造文件覆盖mockData.ts、ai-service.ts、TencentMap.tsx、tencent-lbs.ts及各页面组件，确保视觉风格延续、主题叙事彻底去电竞化。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  <w:r>
        <w:t>图3  研学路线页（地图点位、学习目标、推荐理由与顺序）</w:t>
      </w:r>
    </w:p>
    <w:p w14:paraId="1DCBC415" w14:textId="084B51C4" w:rsidR="00400FDC" w:rsidRDefault="003660A0" w:rsidP="00065E58">
      <w:pPr>
        <w:pStyle w:val="1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 w14:paraId="2BCB30A8" w14:textId="243D5BA8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>
        <w:t>测试采用“接口层—流程层—工程层”三级验证。测试环境为Windows 10、Node.js v24.14.1、npm 11.11.0。本地联调中，GET /health返回success=true、providerMode=aliyun、model=aliyun:qwen-plus；核心接口POST /api/ai/chat、POST /api/ai/route、POST /api/ai/knowledge均可正常返回。一次实测延迟为chat 1477ms、route 1539ms、knowledge 2112ms。前端执行npm run build成功，生成可部署dist产物，满足比赛现场演示与复现要求。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  <w:jc w:val="center"/>
      </w:pPr>
      <w:r/>
      <w:r>
        <w:drawing>
          <wp:inline xmlns:a="http://schemas.openxmlformats.org/drawingml/2006/main" xmlns:pic="http://schemas.openxmlformats.org/drawingml/2006/picture">
            <wp:extent cx="5112000" cy="2875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  <w:r>
        <w:t>图4  节点详情页（知识亮点、观察任务、互动提问与地图定位）</w:t>
      </w:r>
    </w:p>
    <w:p w14:paraId="6633471C" w14:textId="77777777" w:rsidR="00FD6290" w:rsidRDefault="00FD6290" w:rsidP="00FD6290">
      <w:pPr>
        <w:pStyle w:val="1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 w14:textId="46D037B9" w:rsidR="00FD6290" w:rsidRDefault="00FD6290" w:rsidP="00FD6290">
      <w:pPr>
        <w:pStyle w:val="ac"/>
        <w:spacing w:before="156" w:after="312"/>
        <w:rPr>
          <w:rFonts w:hint="eastAsia"/>
        </w:rPr>
      </w:pPr>
      <w:r>
        <w:t>本作品在创意、工程与验证三个层面形成闭环：创意上完成从“电竞文旅”到“历史文化教育”的方向重构；工程上补齐前后端能力链路与地图联动；验证上提供接口实测、流程演示和构建结果。整体工作量覆盖主题重定位、数据重写、提示词重构、页面重构、后端补建、文档补齐和部署配置，能够支撑现场答辩“讲得清、演得出、证得实”。</w:t>
      </w:r>
    </w:p>
    <w:p w14:paraId="10362E8A" w14:textId="6BF5B120" w:rsidR="004C39F2" w:rsidRDefault="004C39F2" w:rsidP="004C39F2">
      <w:pPr>
        <w:pStyle w:val="2"/>
        <w:spacing w:before="468" w:after="93"/>
      </w:pPr>
      <w:r>
        <w:t>作品特色与创新点</w:t>
      </w:r>
    </w:p>
    <w:p w14:paraId="4B990BB7" w14:textId="49634552" w:rsidR="00310AAE" w:rsidRDefault="00310AAE" w:rsidP="00310AAE">
      <w:pPr>
        <w:pStyle w:val="a0"/>
        <w:spacing w:before="62" w:after="62"/>
        <w:ind w:firstLine="480"/>
      </w:pPr>
      <w:r>
        <w:t>创新点一：将城市空间转化为任务化学习现场，建立“参数设置→路线生成→节点观察→学习反馈”闭环。创新点二：把路线规划、地图定位、智能问答和学习报告统一在同一系统内，避免“工具割裂”。创新点三：服务端模型网关支持阿里云与腾讯云模式切换，既保障部署稳定性，也便于后续能力扩展。创新点四：保留国风沉浸视觉并转化叙事语义，使界面风格服务于教育目标。</w:t>
      </w:r>
    </w:p>
    <w:p w14:paraId="00672C77" w14:textId="73AFF5D4" w:rsidR="00310AAE" w:rsidRPr="00310AAE" w:rsidRDefault="00310AAE" w:rsidP="00310AAE">
      <w:pPr>
        <w:pStyle w:val="2"/>
        <w:spacing w:before="468" w:after="93"/>
      </w:pPr>
      <w:r>
        <w:t>应用推广</w:t>
      </w:r>
    </w:p>
    <w:p w14:paraId="123172F1" w14:textId="61D1874A" w:rsidR="004C39F2" w:rsidRDefault="004C39F2" w:rsidP="004C39F2">
      <w:pPr>
        <w:pStyle w:val="a0"/>
        <w:spacing w:before="62" w:after="62"/>
        <w:ind w:firstLine="480"/>
      </w:pPr>
      <w:r>
        <w:t>在教育场景中，城迹可作为“城市历史文化研学课”数字底座：教师预设学习目标，学生现场完成观察任务，课后自动形成报告。</w:t>
      </w:r>
    </w:p>
    <w:p w14:paraId="3E4008E9" w14:textId="77777777" w:rsidR="00E764B9" w:rsidRDefault="00E764B9" w:rsidP="004C39F2">
      <w:pPr>
        <w:pStyle w:val="a0"/>
        <w:spacing w:before="62" w:after="62"/>
        <w:ind w:firstLine="480"/>
      </w:pPr>
      <w:r>
        <w:t>在文博场景中，城迹可作为社教活动的互动讲解工具：将馆内展陈与城市空间联动，帮助公众理解“展品—场景—时代”的关系。部署方面采用前端Vercel+后端Render的轻量方案，也可迁移至腾讯云静态托管+云函数架构，具备较好的推广弹性。</w:t>
      </w:r>
    </w:p>
    <w:p w14:paraId="14505BC2" w14:textId="287F5E9A" w:rsidR="004C39F2" w:rsidRDefault="004C39F2" w:rsidP="004C39F2">
      <w:pPr>
        <w:pStyle w:val="2"/>
        <w:spacing w:before="468" w:after="93"/>
      </w:pPr>
      <w:r>
        <w:t>作品展望</w:t>
      </w:r>
    </w:p>
    <w:p w14:paraId="395CFA89" w14:textId="3F042346" w:rsidR="004C39F2" w:rsidRDefault="004C39F2" w:rsidP="004C39F2">
      <w:pPr>
        <w:pStyle w:val="a0"/>
        <w:spacing w:before="62" w:after="62"/>
        <w:ind w:firstLine="480"/>
      </w:pPr>
      <w:r>
        <w:t>展望1：扩展更多城市与学段版本，形成小学、初中、高中、大学差异化任务模板。</w:t>
      </w:r>
    </w:p>
    <w:p w14:paraId="1CCA158A" w14:textId="77777777" w:rsidR="004C39F2" w:rsidRPr="004C39F2" w:rsidRDefault="004C39F2" w:rsidP="004C39F2">
      <w:pPr>
        <w:pStyle w:val="a0"/>
        <w:spacing w:before="62" w:after="62"/>
        <w:ind w:firstLine="480"/>
      </w:pPr>
      <w:r>
        <w:t>展望2：新增教师端编排与班级管理功能，支持任务发布、批注反馈与过程性评价。</w:t>
      </w:r>
    </w:p>
    <w:p w14:paraId="007DB51A" w14:textId="5A3F2686" w:rsidR="006547BF" w:rsidRDefault="006547BF" w:rsidP="00FD6290">
      <w:pPr>
        <w:pStyle w:val="a0"/>
        <w:spacing w:before="62" w:after="62"/>
        <w:ind w:firstLine="480"/>
      </w:pPr>
      <w:r>
        <w:t>展望3：接入更多开放文博数据与活动日历，提高路线推荐的时效性和情境适配度。</w:t>
      </w: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  <w:r>
        <w:t>展望4：建立学习前测/后测与行为日志指标体系，用量化数据进一步验证教育效果。</w:t>
      </w: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t>[1] 城迹项目组. README.md, 2026.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  <w:r>
        <w:t>[2] 城迹项目组. docs/方案设计.md, 2026.</w:t>
      </w: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  <w:r>
        <w:t>[3] 城迹项目组. docs/用户手册.md, 2026. [4] 腾讯位置服务. 腾讯地图 JavaScript GL API 与 WebService 文档. [5] 阿里云百炼（DashScope）兼容接口文档. [6] 腾讯云混元大模型 Node.js SDK 文档.</w:t>
      </w:r>
    </w:p>
    <w:sectPr w:rsidR="006547BF" w:rsidRPr="006547BF" w:rsidSect="002F7110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F2CA" w14:textId="77777777" w:rsidR="00EB369A" w:rsidRDefault="00EB369A" w:rsidP="00D53A6B">
      <w:pPr>
        <w:rPr>
          <w:rFonts w:hint="eastAsia"/>
        </w:rPr>
      </w:pPr>
      <w:r>
        <w:separator/>
      </w:r>
    </w:p>
  </w:endnote>
  <w:endnote w:type="continuationSeparator" w:id="0">
    <w:p w14:paraId="124BB605" w14:textId="77777777" w:rsidR="00EB369A" w:rsidRDefault="00EB369A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EndPr/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3F32" w14:textId="77777777" w:rsidR="00EB369A" w:rsidRDefault="00EB369A" w:rsidP="00D53A6B">
      <w:pPr>
        <w:rPr>
          <w:rFonts w:hint="eastAsia"/>
        </w:rPr>
      </w:pPr>
      <w:r>
        <w:separator/>
      </w:r>
    </w:p>
  </w:footnote>
  <w:footnote w:type="continuationSeparator" w:id="0">
    <w:p w14:paraId="6110A336" w14:textId="77777777" w:rsidR="00EB369A" w:rsidRDefault="00EB369A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744CB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1D92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B369A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1199</Words>
  <Characters>1260</Characters>
  <Application>Microsoft Office Word</Application>
  <DocSecurity>0</DocSecurity>
  <Lines>126</Lines>
  <Paragraphs>129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1747462840@qq.com</cp:lastModifiedBy>
  <cp:revision>5</cp:revision>
  <cp:lastPrinted>2019-04-15T06:27:00Z</cp:lastPrinted>
  <dcterms:created xsi:type="dcterms:W3CDTF">2023-04-08T00:59:00Z</dcterms:created>
  <dcterms:modified xsi:type="dcterms:W3CDTF">2026-04-02T00:39:00Z</dcterms:modified>
</cp:coreProperties>
</file>