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E1722">
      <w:pPr>
        <w:jc w:val="left"/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i/>
          <w:iCs/>
          <w:color w:val="FF0000"/>
          <w:sz w:val="28"/>
          <w:szCs w:val="28"/>
          <w:lang w:val="en-US" w:eastAsia="zh-CN"/>
        </w:rPr>
        <w:t>注意：以下</w:t>
      </w: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28"/>
          <w:szCs w:val="28"/>
          <w:highlight w:val="yellow"/>
          <w:lang w:val="en-US" w:eastAsia="zh-CN"/>
        </w:rPr>
        <w:t>黄底红色部分</w:t>
      </w: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28"/>
          <w:szCs w:val="28"/>
          <w:lang w:val="en-US" w:eastAsia="zh-CN"/>
        </w:rPr>
        <w:t>不要作任何改动</w:t>
      </w:r>
    </w:p>
    <w:p w14:paraId="0C8FE501">
      <w:pPr>
        <w:jc w:val="left"/>
        <w:rPr>
          <w:rFonts w:hint="eastAsia" w:ascii="微软雅黑" w:hAnsi="微软雅黑" w:eastAsia="微软雅黑" w:cs="微软雅黑"/>
          <w:b/>
          <w:bCs/>
          <w:i/>
          <w:iCs/>
          <w:color w:val="FF0000"/>
          <w:sz w:val="28"/>
          <w:szCs w:val="28"/>
          <w:lang w:val="en-US" w:eastAsia="zh-CN"/>
        </w:rPr>
      </w:pPr>
    </w:p>
    <w:p w14:paraId="5A0C62C8">
      <w:pPr>
        <w:jc w:val="left"/>
        <w:rPr>
          <w:rFonts w:hint="default" w:ascii="仿宋" w:hAnsi="仿宋" w:eastAsia="仿宋" w:cs="仿宋"/>
          <w:b/>
          <w:bCs/>
          <w:color w:val="1D41D5"/>
          <w:kern w:val="0"/>
          <w:sz w:val="24"/>
          <w:szCs w:val="24"/>
          <w:lang w:val="en-US" w:eastAsia="zh-CN"/>
        </w:rPr>
      </w:pPr>
    </w:p>
    <w:p w14:paraId="63871F51"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进度安排及任务要求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文献综述和开题报告要求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等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样例</w:t>
      </w:r>
    </w:p>
    <w:p w14:paraId="28EC9E94">
      <w:pPr>
        <w:jc w:val="center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仅供参考，具体内容不可完全照抄</w:t>
      </w:r>
    </w:p>
    <w:p w14:paraId="6B8483DA">
      <w:pPr>
        <w:rPr>
          <w:rFonts w:ascii="仿宋" w:hAnsi="仿宋" w:eastAsia="仿宋" w:cs="仿宋"/>
          <w:b/>
          <w:bCs/>
          <w:color w:val="FF0000"/>
          <w:kern w:val="0"/>
          <w:sz w:val="24"/>
          <w:szCs w:val="24"/>
        </w:rPr>
      </w:pPr>
    </w:p>
    <w:p w14:paraId="42673489">
      <w:pPr>
        <w:widowControl/>
        <w:jc w:val="left"/>
        <w:rPr>
          <w:rFonts w:hint="eastAsia" w:ascii="仿宋" w:hAnsi="仿宋" w:eastAsia="仿宋" w:cs="仿宋"/>
          <w:b/>
          <w:bCs/>
          <w:color w:val="1D41D5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1D41D5"/>
          <w:kern w:val="0"/>
          <w:sz w:val="24"/>
          <w:szCs w:val="24"/>
        </w:rPr>
        <w:t>一、进度安排及任务要求（任务书）：</w:t>
      </w:r>
    </w:p>
    <w:p w14:paraId="1C1D9EA2">
      <w:pPr>
        <w:rPr>
          <w:rFonts w:ascii="仿宋" w:hAnsi="仿宋" w:eastAsia="仿宋" w:cs="仿宋"/>
          <w:b/>
          <w:bCs/>
          <w:color w:val="FF0000"/>
          <w:kern w:val="0"/>
          <w:sz w:val="24"/>
          <w:szCs w:val="24"/>
        </w:rPr>
      </w:pPr>
    </w:p>
    <w:p w14:paraId="0461EE32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b/>
          <w:bCs/>
          <w:color w:val="auto"/>
          <w:kern w:val="0"/>
          <w:sz w:val="24"/>
          <w:szCs w:val="24"/>
        </w:rPr>
        <w:t>任务要求：</w:t>
      </w: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（1） 熟悉二值卷积神经网络的研究背景与发展现状，掌握其将权重和激活值二值化以简化计算的核心思想，并深入理解其硬件友好的计算范式（如XNOR与比特计数操作）。</w:t>
      </w:r>
    </w:p>
    <w:p w14:paraId="2E5773D4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（2） 掌握硬件加速器设计的完整流程，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以及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Python(TensorFlow/PyTorch)、Verilog硬件描述语言。</w:t>
      </w:r>
    </w:p>
    <w:p w14:paraId="2EAA146E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（3） 分析二值卷积层的计算特性与数据流模式，研究其在映射到硬件时面临的关键问题，如并行度、数据复用、内存带宽和资源瓶颈。</w:t>
      </w:r>
    </w:p>
    <w:p w14:paraId="7668DE12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（4） 设计一个通用的二值卷积硬件加速器顶层架构，明确其接口、计算单元阵列、数据缓冲与控制逻辑；并在此基础上，重点优化其核心计算单元（如并行XNOR-PopCount模块）与数据调度策略。</w:t>
      </w:r>
    </w:p>
    <w:p w14:paraId="7601BDB1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（5） 根据所设计的架构完成RTL实现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和功能仿真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进行模型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部署和性能评估（包括吞吐率、资源利用率等），并与软件实现或基线硬件设计进行对比分析。</w:t>
      </w:r>
    </w:p>
    <w:p w14:paraId="7788939D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（6） 完成毕业论文（设计）的总结工作和毕业论文的撰写（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  <w:lang w:val="en-US" w:eastAsia="zh"/>
        </w:rPr>
        <w:t>1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  <w:lang w:val="en-US" w:eastAsia="zh-CN"/>
        </w:rPr>
        <w:t>1000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  <w:lang w:val="en-US" w:eastAsia="zh"/>
        </w:rPr>
        <w:t>字以上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</w:rPr>
        <w:t>）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。</w:t>
      </w:r>
    </w:p>
    <w:p w14:paraId="45175C3A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进度安排</w:t>
      </w:r>
      <w:r>
        <w:rPr>
          <w:rFonts w:hint="eastAsia" w:ascii="仿宋" w:hAnsi="仿宋" w:eastAsia="仿宋" w:cs="仿宋"/>
          <w:b/>
          <w:bCs/>
          <w:i/>
          <w:iCs/>
          <w:color w:val="70AD47" w:themeColor="accent6"/>
          <w:kern w:val="0"/>
          <w:sz w:val="24"/>
          <w:szCs w:val="24"/>
          <w14:textFill>
            <w14:solidFill>
              <w14:schemeClr w14:val="accent6"/>
            </w14:solidFill>
          </w14:textFill>
        </w:rPr>
        <w:t>（以下时间分段供参考，</w:t>
      </w:r>
      <w:r>
        <w:rPr>
          <w:rFonts w:hint="eastAsia" w:ascii="仿宋" w:hAnsi="仿宋" w:eastAsia="仿宋" w:cs="仿宋"/>
          <w:b/>
          <w:bCs/>
          <w:i/>
          <w:iCs/>
          <w:color w:val="70AD47" w:themeColor="accent6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建议</w:t>
      </w:r>
      <w:r>
        <w:rPr>
          <w:rFonts w:hint="eastAsia" w:ascii="仿宋" w:hAnsi="仿宋" w:eastAsia="仿宋" w:cs="仿宋"/>
          <w:b/>
          <w:bCs/>
          <w:i/>
          <w:iCs/>
          <w:color w:val="70AD47" w:themeColor="accent6"/>
          <w:kern w:val="0"/>
          <w:sz w:val="24"/>
          <w:szCs w:val="24"/>
          <w14:textFill>
            <w14:solidFill>
              <w14:schemeClr w14:val="accent6"/>
            </w14:solidFill>
          </w14:textFill>
        </w:rPr>
        <w:t>按一周或两周间隔进行安排）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</w:p>
    <w:p w14:paraId="65B37620">
      <w:pPr>
        <w:widowControl/>
        <w:jc w:val="left"/>
        <w:rPr>
          <w:rFonts w:hint="default" w:ascii="仿宋" w:hAnsi="仿宋" w:eastAsia="仿宋" w:cs="仿宋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>2025-11-10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-11-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16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明确毕设任务、目标和进度要求。</w:t>
      </w:r>
    </w:p>
    <w:p w14:paraId="5061FFCF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-11-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17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-11-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30</w:t>
      </w:r>
      <w:r>
        <w:rPr>
          <w:rFonts w:hint="eastAsia" w:ascii="仿宋" w:hAnsi="仿宋" w:eastAsia="仿宋" w:cs="仿宋"/>
          <w:kern w:val="0"/>
          <w:sz w:val="24"/>
          <w:szCs w:val="24"/>
        </w:rPr>
        <w:t>：查阅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文献</w:t>
      </w:r>
      <w:r>
        <w:rPr>
          <w:rFonts w:hint="eastAsia" w:ascii="仿宋" w:hAnsi="仿宋" w:eastAsia="仿宋" w:cs="仿宋"/>
          <w:kern w:val="0"/>
          <w:sz w:val="24"/>
          <w:szCs w:val="24"/>
        </w:rPr>
        <w:t>资料，调研国内外研究现状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</w:rPr>
        <w:t>撰写文献综述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文档</w:t>
      </w:r>
      <w:r>
        <w:rPr>
          <w:rFonts w:hint="eastAsia" w:ascii="仿宋" w:hAnsi="仿宋" w:eastAsia="仿宋" w:cs="仿宋"/>
          <w:kern w:val="0"/>
          <w:sz w:val="24"/>
          <w:szCs w:val="24"/>
        </w:rPr>
        <w:t>。</w:t>
      </w:r>
    </w:p>
    <w:p w14:paraId="1CA8BCDB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完成外文翻译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</w:rPr>
        <w:t>撰写文献翻译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文档。</w:t>
      </w:r>
    </w:p>
    <w:p w14:paraId="72A06311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2024</w:t>
      </w:r>
      <w:r>
        <w:rPr>
          <w:rFonts w:hint="eastAsia" w:ascii="仿宋" w:hAnsi="仿宋" w:eastAsia="仿宋" w:cs="仿宋"/>
          <w:kern w:val="0"/>
          <w:sz w:val="24"/>
          <w:szCs w:val="24"/>
        </w:rPr>
        <w:t>-12-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14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在导师指导下</w:t>
      </w:r>
      <w:r>
        <w:rPr>
          <w:rFonts w:hint="eastAsia" w:ascii="仿宋" w:hAnsi="仿宋" w:eastAsia="仿宋" w:cs="仿宋"/>
          <w:kern w:val="0"/>
          <w:sz w:val="24"/>
          <w:szCs w:val="24"/>
        </w:rPr>
        <w:t>开展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实质</w:t>
      </w:r>
      <w:r>
        <w:rPr>
          <w:rFonts w:hint="eastAsia" w:ascii="仿宋" w:hAnsi="仿宋" w:eastAsia="仿宋" w:cs="仿宋"/>
          <w:kern w:val="0"/>
          <w:sz w:val="24"/>
          <w:szCs w:val="24"/>
        </w:rPr>
        <w:t>研究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或设计工作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。</w:t>
      </w:r>
    </w:p>
    <w:p w14:paraId="0555FB97">
      <w:pPr>
        <w:widowControl/>
        <w:jc w:val="left"/>
        <w:rPr>
          <w:rFonts w:hint="eastAsia" w:ascii="仿宋" w:hAnsi="仿宋" w:eastAsia="仿宋" w:cs="仿宋"/>
          <w:kern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-12-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15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12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21</w:t>
      </w:r>
      <w:r>
        <w:rPr>
          <w:rFonts w:hint="eastAsia" w:ascii="仿宋" w:hAnsi="仿宋" w:eastAsia="仿宋" w:cs="仿宋"/>
          <w:kern w:val="0"/>
          <w:sz w:val="24"/>
          <w:szCs w:val="24"/>
        </w:rPr>
        <w:t>：撰写开题报告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应包含学生本人已开展的阶段性工作及结果</w:t>
      </w:r>
      <w:r>
        <w:rPr>
          <w:rFonts w:hint="eastAsia" w:ascii="仿宋" w:hAnsi="仿宋" w:eastAsia="仿宋" w:cs="仿宋"/>
          <w:kern w:val="0"/>
          <w:sz w:val="24"/>
          <w:szCs w:val="24"/>
        </w:rPr>
        <w:t>。</w:t>
      </w:r>
    </w:p>
    <w:p w14:paraId="78DB092D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-12-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22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12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29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讨论修改文献综述、外文翻译和开题报告，准备开题答辩。</w:t>
      </w:r>
    </w:p>
    <w:p w14:paraId="35018FFB">
      <w:pPr>
        <w:widowControl/>
        <w:jc w:val="left"/>
        <w:rPr>
          <w:rFonts w:hint="default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  <w:lang w:val="en-US" w:eastAsia="zh-CN"/>
        </w:rPr>
        <w:t>2026-01-05至2026-01-11：开题答辩。</w:t>
      </w:r>
    </w:p>
    <w:p w14:paraId="68EB65D6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kern w:val="0"/>
          <w:sz w:val="24"/>
          <w:szCs w:val="24"/>
        </w:rPr>
        <w:t>-0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02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kern w:val="0"/>
          <w:sz w:val="24"/>
          <w:szCs w:val="24"/>
        </w:rPr>
        <w:t>-03-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22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完成</w:t>
      </w: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二值卷积层硬件加速器的RTL设计与功能仿真</w:t>
      </w:r>
      <w:r>
        <w:rPr>
          <w:rFonts w:hint="eastAsia" w:ascii="仿宋" w:hAnsi="仿宋" w:eastAsia="仿宋" w:cs="仿宋"/>
          <w:kern w:val="0"/>
          <w:sz w:val="24"/>
          <w:szCs w:val="24"/>
        </w:rPr>
        <w:t>。</w:t>
      </w:r>
    </w:p>
    <w:p w14:paraId="240E533A">
      <w:pPr>
        <w:widowControl/>
        <w:jc w:val="left"/>
        <w:rPr>
          <w:rFonts w:hint="default" w:ascii="仿宋" w:hAnsi="仿宋" w:eastAsia="仿宋" w:cs="仿宋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>2026-03-23至2026-03-27：中期检查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。</w:t>
      </w:r>
    </w:p>
    <w:p w14:paraId="3E066D81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kern w:val="0"/>
          <w:sz w:val="24"/>
          <w:szCs w:val="24"/>
        </w:rPr>
        <w:t>-0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kern w:val="0"/>
          <w:sz w:val="24"/>
          <w:szCs w:val="24"/>
        </w:rPr>
        <w:t>-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28</w:t>
      </w:r>
      <w:r>
        <w:rPr>
          <w:rFonts w:hint="eastAsia" w:ascii="仿宋" w:hAnsi="仿宋" w:eastAsia="仿宋" w:cs="仿宋"/>
          <w:kern w:val="0"/>
          <w:sz w:val="24"/>
          <w:szCs w:val="24"/>
        </w:rPr>
        <w:t>至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202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kern w:val="0"/>
          <w:sz w:val="24"/>
          <w:szCs w:val="24"/>
        </w:rPr>
        <w:t>-04-1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kern w:val="0"/>
          <w:sz w:val="24"/>
          <w:szCs w:val="24"/>
        </w:rPr>
        <w:t>：</w:t>
      </w: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完成模型部署和性能评估，采集相关指标数据，进行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数据分析</w:t>
      </w: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，完成毕设设计总结</w:t>
      </w:r>
      <w:r>
        <w:rPr>
          <w:rFonts w:hint="eastAsia" w:ascii="仿宋" w:hAnsi="仿宋" w:eastAsia="仿宋" w:cs="仿宋"/>
          <w:kern w:val="0"/>
          <w:sz w:val="24"/>
          <w:szCs w:val="24"/>
        </w:rPr>
        <w:t>。</w:t>
      </w:r>
    </w:p>
    <w:p w14:paraId="6BDE0585">
      <w:pPr>
        <w:widowControl/>
        <w:jc w:val="left"/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>2026-04-13至2026-04-20：撰写、上传毕业论文。</w:t>
      </w:r>
    </w:p>
    <w:p w14:paraId="3B370DA9">
      <w:pPr>
        <w:widowControl/>
        <w:jc w:val="left"/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>2026-04-21至2026-05-24：答辩前审核流程。</w:t>
      </w:r>
    </w:p>
    <w:p w14:paraId="788DDEE2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>2026-05-25至2026-05-29：论文答辩。</w:t>
      </w:r>
      <w:r>
        <w:rPr>
          <w:rFonts w:hint="eastAsia" w:ascii="仿宋" w:hAnsi="仿宋" w:eastAsia="仿宋" w:cs="仿宋"/>
          <w:b/>
          <w:bCs/>
          <w:color w:val="1D41D5"/>
          <w:kern w:val="0"/>
          <w:sz w:val="24"/>
          <w:szCs w:val="24"/>
        </w:rPr>
        <w:t xml:space="preserve">   </w:t>
      </w:r>
    </w:p>
    <w:p w14:paraId="32877A5F">
      <w:pPr>
        <w:rPr>
          <w:rFonts w:hint="eastAsia" w:ascii="仿宋" w:hAnsi="仿宋" w:eastAsia="仿宋" w:cs="仿宋"/>
          <w:b/>
          <w:bCs/>
          <w:kern w:val="0"/>
          <w:sz w:val="24"/>
          <w:szCs w:val="24"/>
        </w:rPr>
      </w:pPr>
    </w:p>
    <w:p w14:paraId="766C1870">
      <w:pP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起讫日期：</w:t>
      </w: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</w:rPr>
        <w:t xml:space="preserve">  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yellow"/>
          <w:lang w:val="en-US" w:eastAsia="zh-CN"/>
        </w:rPr>
        <w:t xml:space="preserve"> 2025年11月10日-2026年5月29日</w:t>
      </w:r>
    </w:p>
    <w:p w14:paraId="39969632">
      <w:pPr>
        <w:rPr>
          <w:rFonts w:ascii="仿宋" w:hAnsi="仿宋" w:eastAsia="仿宋" w:cs="仿宋"/>
          <w:kern w:val="0"/>
          <w:sz w:val="24"/>
          <w:szCs w:val="24"/>
        </w:rPr>
      </w:pPr>
    </w:p>
    <w:p w14:paraId="70BC00CF">
      <w:pPr>
        <w:widowControl/>
        <w:jc w:val="left"/>
        <w:rPr>
          <w:rFonts w:hint="eastAsia" w:ascii="仿宋" w:hAnsi="仿宋" w:eastAsia="仿宋" w:cs="仿宋"/>
          <w:b/>
          <w:bCs/>
          <w:color w:val="1D41D5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1D41D5"/>
          <w:kern w:val="0"/>
          <w:sz w:val="24"/>
          <w:szCs w:val="24"/>
        </w:rPr>
        <w:t>二、文献综述和开题报告要求</w:t>
      </w:r>
    </w:p>
    <w:p w14:paraId="1D9B2CFF">
      <w:pPr>
        <w:widowControl/>
        <w:jc w:val="left"/>
        <w:rPr>
          <w:rFonts w:ascii="仿宋" w:hAnsi="仿宋" w:eastAsia="仿宋" w:cs="仿宋"/>
          <w:kern w:val="0"/>
          <w:sz w:val="24"/>
          <w:szCs w:val="24"/>
        </w:rPr>
      </w:pPr>
    </w:p>
    <w:p w14:paraId="36751EAA">
      <w:pPr>
        <w:widowControl/>
        <w:jc w:val="left"/>
        <w:rPr>
          <w:rFonts w:hint="eastAsia" w:ascii="仿宋" w:hAnsi="仿宋" w:eastAsia="仿宋" w:cs="仿宋"/>
          <w:b/>
          <w:bCs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文献综述和开题报告的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/>
        </w:rPr>
        <w:t>一般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要求：</w:t>
      </w:r>
    </w:p>
    <w:p w14:paraId="61541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</w:rPr>
        <w:t>注：以下所要求的正文字数，均不包含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</w:rPr>
        <w:t>参考文献、作者、单位、公式、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</w:rPr>
        <w:t>图表及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</w:rPr>
        <w:t>各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</w:rPr>
        <w:t>类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</w:rPr>
        <w:t>代码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</w:rPr>
        <w:t>得字数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</w:rPr>
        <w:t>等</w:t>
      </w:r>
    </w:p>
    <w:p w14:paraId="12515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(1)</w:t>
      </w:r>
      <w:r>
        <w:rPr>
          <w:rFonts w:hint="eastAsia" w:ascii="仿宋" w:hAnsi="仿宋" w:eastAsia="仿宋" w:cs="仿宋"/>
          <w:kern w:val="0"/>
          <w:sz w:val="24"/>
          <w:szCs w:val="24"/>
        </w:rPr>
        <w:t>查阅国内外相关文献资料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</w:rPr>
        <w:t>10篇以上</w:t>
      </w:r>
      <w:r>
        <w:rPr>
          <w:rFonts w:hint="eastAsia" w:ascii="仿宋" w:hAnsi="仿宋" w:eastAsia="仿宋" w:cs="仿宋"/>
          <w:kern w:val="0"/>
          <w:sz w:val="24"/>
          <w:szCs w:val="24"/>
        </w:rPr>
        <w:t>（其中外文文献不少于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</w:rPr>
        <w:t>5篇</w:t>
      </w:r>
      <w:r>
        <w:rPr>
          <w:rFonts w:hint="eastAsia" w:ascii="仿宋" w:hAnsi="仿宋" w:eastAsia="仿宋" w:cs="仿宋"/>
          <w:kern w:val="0"/>
          <w:sz w:val="24"/>
          <w:szCs w:val="24"/>
        </w:rPr>
        <w:t>）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</w:rPr>
        <w:t>近 5 年文献不少于 3</w:t>
      </w:r>
    </w:p>
    <w:p w14:paraId="0C7F7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</w:rPr>
        <w:t>篇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在此基础上</w:t>
      </w:r>
      <w:r>
        <w:rPr>
          <w:rFonts w:hint="eastAsia" w:ascii="仿宋" w:hAnsi="仿宋" w:eastAsia="仿宋" w:cs="仿宋"/>
          <w:kern w:val="0"/>
          <w:sz w:val="24"/>
          <w:szCs w:val="24"/>
        </w:rPr>
        <w:t>完成文献综述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正文要求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  <w:lang w:val="en-US" w:eastAsia="zh-CN"/>
        </w:rPr>
        <w:t>4</w:t>
      </w:r>
      <w:r>
        <w:rPr>
          <w:rFonts w:hint="eastAsia" w:ascii="仿宋" w:hAnsi="仿宋" w:eastAsia="仿宋" w:cs="仿宋"/>
          <w:color w:val="FF0000"/>
          <w:kern w:val="0"/>
          <w:sz w:val="24"/>
          <w:szCs w:val="24"/>
          <w:highlight w:val="yellow"/>
        </w:rPr>
        <w:t>000字</w:t>
      </w:r>
      <w:r>
        <w:rPr>
          <w:rFonts w:hint="eastAsia" w:ascii="仿宋" w:hAnsi="仿宋" w:eastAsia="仿宋" w:cs="仿宋"/>
          <w:kern w:val="0"/>
          <w:sz w:val="24"/>
          <w:szCs w:val="24"/>
        </w:rPr>
        <w:t>以上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。</w:t>
      </w:r>
    </w:p>
    <w:p w14:paraId="3A749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(2)完成</w:t>
      </w:r>
      <w:r>
        <w:rPr>
          <w:rFonts w:hint="eastAsia" w:ascii="仿宋" w:hAnsi="仿宋" w:eastAsia="仿宋" w:cs="仿宋"/>
          <w:kern w:val="0"/>
          <w:sz w:val="24"/>
          <w:szCs w:val="24"/>
        </w:rPr>
        <w:t>外文翻译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正文（中文）要求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  <w:lang w:val="en-US" w:eastAsia="zh-CN"/>
        </w:rPr>
        <w:t>3500字</w:t>
      </w:r>
      <w:r>
        <w:rPr>
          <w:rFonts w:hint="eastAsia" w:ascii="仿宋" w:hAnsi="仿宋" w:eastAsia="仿宋" w:cs="仿宋"/>
          <w:kern w:val="0"/>
          <w:sz w:val="24"/>
          <w:szCs w:val="24"/>
        </w:rPr>
        <w:t>以上。</w:t>
      </w:r>
    </w:p>
    <w:p w14:paraId="6B7F2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(3)完成</w:t>
      </w:r>
      <w:r>
        <w:rPr>
          <w:rFonts w:hint="eastAsia" w:ascii="仿宋" w:hAnsi="仿宋" w:eastAsia="仿宋" w:cs="仿宋"/>
          <w:kern w:val="0"/>
          <w:sz w:val="24"/>
          <w:szCs w:val="24"/>
        </w:rPr>
        <w:t>开题报告</w:t>
      </w:r>
      <w:r>
        <w:rPr>
          <w:rFonts w:hint="eastAsia" w:ascii="仿宋" w:hAnsi="仿宋" w:eastAsia="仿宋" w:cs="仿宋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正文要求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  <w:lang w:val="en-US" w:eastAsia="zh-CN"/>
        </w:rPr>
        <w:t>4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highlight w:val="yellow"/>
        </w:rPr>
        <w:t>500字</w:t>
      </w:r>
      <w:r>
        <w:rPr>
          <w:rFonts w:hint="eastAsia" w:ascii="仿宋" w:hAnsi="仿宋" w:eastAsia="仿宋" w:cs="仿宋"/>
          <w:kern w:val="0"/>
          <w:sz w:val="24"/>
          <w:szCs w:val="24"/>
        </w:rPr>
        <w:t>以上。</w:t>
      </w:r>
    </w:p>
    <w:p w14:paraId="31AD2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对文献综述的具体要求：</w:t>
      </w:r>
    </w:p>
    <w:p w14:paraId="4A4AC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(1)了解二值卷积神经网络的基本原理，包括其权重与激活值二值化的特点及其对应的硬件处理方法（如XNOR-PopCount操作） ；了解BNN在边缘计算中的应用需求、硬件加速现状。</w:t>
      </w:r>
    </w:p>
    <w:p w14:paraId="12834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(2) 阐述已有二值卷积神经网络的计算优化方法和主要硬件加速架构，梳理其核心思想、特征（如并行度、数据流模式）及其在国内外的研究现状。</w:t>
      </w:r>
    </w:p>
    <w:p w14:paraId="21D8F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(3) 比较已有的二值卷积硬件加速架构模式（如计算单元结构、数据复用策略、内存层次设计等），分析其优缺点；阐述BNN硬件加速器设计的应用价值与研究意义。 。</w:t>
      </w:r>
    </w:p>
    <w:p w14:paraId="2D093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eastAsia="zh"/>
          <w:woUserID w:val="1"/>
        </w:rPr>
        <w:t>(4) 做好与毕业论文相关的硬件架构设计、Python与Verilog HDL编程等基础知识的梳理与准备工作。</w:t>
      </w:r>
    </w:p>
    <w:p w14:paraId="3932D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</w:rPr>
      </w:pPr>
    </w:p>
    <w:p w14:paraId="6DD94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</w:rPr>
        <w:t>对开题报告的具体要求：</w:t>
      </w:r>
      <w:r>
        <w:rPr>
          <w:rFonts w:hint="eastAsia" w:ascii="仿宋" w:hAnsi="仿宋" w:eastAsia="仿宋" w:cs="仿宋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(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1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)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分析当前用于二值卷积计算的硬件算法（如基础的XNOR-PopCount架构、并行化策略、数据流模型等）的种类、优缺点及硬件资源消耗特点。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。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(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2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)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给出二值卷积层硬件加速器的整体设计方案，包括系统架构、核心计算单元（PE）结构、数据流控制模式，并论证所选择的核心处理算法与优化策略的合理性。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(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3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)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对论文要完成的工作有清晰的认识，给出从算法研究、RTL设计、仿真验证到模型部署的具体研究方案和技术路线，并预见可能遇到的问题和困难（如时序收敛、资源瓶颈、数据传输带宽限制等），并提出初步的解决思路。</w:t>
      </w:r>
    </w:p>
    <w:p w14:paraId="1BB78D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 xml:space="preserve">(4)明确提出本论文的研究成果或预期达到的目标，包括最终实现的硬件加速器的功能、关键性能指标（如工作频率、资源占用率、吞吐率等），以及计划完成的验证工作。 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br w:type="textWrapping"/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(</w:t>
      </w:r>
      <w:r>
        <w:rPr>
          <w:rFonts w:hint="eastAsia" w:ascii="仿宋" w:hAnsi="仿宋" w:eastAsia="仿宋" w:cs="仿宋"/>
          <w:kern w:val="0"/>
          <w:sz w:val="24"/>
          <w:szCs w:val="24"/>
          <w:woUserID w:val="1"/>
        </w:rPr>
        <w:t>5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)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  <w:t>安排好论文的详细进度计划，对于文献调研、算法仿真、RTL实现、论文撰写等每个阶段的工作内容、时间节点和交付成果有明确的规划。</w:t>
      </w:r>
    </w:p>
    <w:p w14:paraId="7B80CC2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kern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/>
          <w:woUserID w:val="1"/>
        </w:rPr>
        <w:t>给出本人已进行的研究或设计工作及已取得的结果。</w:t>
      </w:r>
    </w:p>
    <w:p w14:paraId="7412BACF">
      <w:pPr>
        <w:rPr>
          <w:rFonts w:ascii="仿宋" w:hAnsi="仿宋" w:eastAsia="仿宋" w:cs="仿宋"/>
          <w:b/>
          <w:bCs/>
          <w:color w:val="FF0000"/>
          <w:kern w:val="0"/>
          <w:sz w:val="24"/>
          <w:szCs w:val="24"/>
        </w:rPr>
      </w:pPr>
    </w:p>
    <w:p w14:paraId="6B4D569E">
      <w:p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参考文献：</w:t>
      </w:r>
    </w:p>
    <w:p w14:paraId="558578BE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A Hardware-Software Blueprint for Flexible Deep Learning Specialization. 2018 arXiv.</w:t>
      </w:r>
    </w:p>
    <w:p w14:paraId="56979F51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 w:bidi="ar-SA"/>
          <w:woUserID w:val="1"/>
        </w:rPr>
        <w:t xml:space="preserve">Finn: A framework for fast, scalable binaried neural network 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  <w:t>inference. 2017 FPGA.</w:t>
      </w:r>
    </w:p>
    <w:p w14:paraId="7EAA9957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</w:pPr>
      <w:r>
        <w:rPr>
          <w:rFonts w:hint="default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Reliability of FINN-Generated CNN Accelerators for Image Classification on SRAM-Based FPGAs Under Heavy-Ion-Induced Faults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. 2025 TNS.</w:t>
      </w:r>
    </w:p>
    <w:p w14:paraId="4CC4E8CF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  <w:woUserID w:val="1"/>
        </w:rPr>
        <w:t>HyBNN: Quantifying and Optimizing Hardware Efficiency of Binary Neural Networks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  <w:t>. 2023 TRETS.</w:t>
      </w:r>
    </w:p>
    <w:p w14:paraId="478F4C53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</w:pPr>
      <w:r>
        <w:rPr>
          <w:rFonts w:hint="default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BiNPU: A 33.0 MOP/s/LUT Binary Neural Network Inference Processor Showing 88.26% CIFAR10 Accuracy With 1.9 Mbit On-Chip Parameters in a 28-nm FPGA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eastAsia="zh"/>
          <w:woUserID w:val="1"/>
        </w:rPr>
        <w:t>. 2024 TCAS-II.</w:t>
      </w:r>
    </w:p>
    <w:p w14:paraId="4A9833EA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  <w:woUserID w:val="1"/>
        </w:rPr>
        <w:t>PolyLUT: Ultra-low Latency Polynomial Inference with Hardware-Aware Structured Pruning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  <w:t>. 2025 arXiv.</w:t>
      </w:r>
    </w:p>
    <w:p w14:paraId="2D62F6B3">
      <w:pPr>
        <w:numPr>
          <w:ilvl w:val="0"/>
          <w:numId w:val="2"/>
        </w:numPr>
        <w:rPr>
          <w:rFonts w:ascii="仿宋" w:hAnsi="仿宋" w:eastAsia="仿宋" w:cs="仿宋"/>
          <w:b/>
          <w:bCs/>
          <w:color w:val="FF0000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-CN"/>
          <w:woUserID w:val="1"/>
        </w:rPr>
        <w:t>Logic Neural Networks for Efficient FPGA Implementation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4"/>
          <w:szCs w:val="24"/>
          <w:lang w:val="en-US" w:eastAsia="zh"/>
          <w:woUserID w:val="1"/>
        </w:rPr>
        <w:t>. 2025 TCAS-I.</w:t>
      </w: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仿宋">
    <w:altName w:val="Times New Roma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4D53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A87E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5A87E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F4404"/>
    <w:multiLevelType w:val="singleLevel"/>
    <w:tmpl w:val="AF7F440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FFED4B92"/>
    <w:multiLevelType w:val="singleLevel"/>
    <w:tmpl w:val="FFED4B92"/>
    <w:lvl w:ilvl="0" w:tentative="0">
      <w:start w:val="6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YxMDgwNjQ3MTMxODZjYTVlNzgwNTFhYjc1MGJkZTYifQ=="/>
  </w:docVars>
  <w:rsids>
    <w:rsidRoot w:val="00EC3D5F"/>
    <w:rsid w:val="000D0135"/>
    <w:rsid w:val="00157E89"/>
    <w:rsid w:val="00253C7B"/>
    <w:rsid w:val="002633E6"/>
    <w:rsid w:val="002B6C1D"/>
    <w:rsid w:val="00376E07"/>
    <w:rsid w:val="004D5763"/>
    <w:rsid w:val="00531036"/>
    <w:rsid w:val="0054113A"/>
    <w:rsid w:val="00557ECD"/>
    <w:rsid w:val="00581A28"/>
    <w:rsid w:val="0058302D"/>
    <w:rsid w:val="005B4CCA"/>
    <w:rsid w:val="006907DF"/>
    <w:rsid w:val="00704414"/>
    <w:rsid w:val="007C4849"/>
    <w:rsid w:val="0083620C"/>
    <w:rsid w:val="009611B5"/>
    <w:rsid w:val="009A4C08"/>
    <w:rsid w:val="00B357BA"/>
    <w:rsid w:val="00C06E52"/>
    <w:rsid w:val="00C10D13"/>
    <w:rsid w:val="00C318A3"/>
    <w:rsid w:val="00CF1CEE"/>
    <w:rsid w:val="00D51400"/>
    <w:rsid w:val="00DF7E58"/>
    <w:rsid w:val="00EA32B6"/>
    <w:rsid w:val="00EC3D5F"/>
    <w:rsid w:val="00F31391"/>
    <w:rsid w:val="00FB2A90"/>
    <w:rsid w:val="00FB70E5"/>
    <w:rsid w:val="018F4B1D"/>
    <w:rsid w:val="02186C91"/>
    <w:rsid w:val="0256135A"/>
    <w:rsid w:val="03742742"/>
    <w:rsid w:val="03B210C0"/>
    <w:rsid w:val="03FF25DB"/>
    <w:rsid w:val="04D610F8"/>
    <w:rsid w:val="05F92D01"/>
    <w:rsid w:val="07025E2D"/>
    <w:rsid w:val="08422A5C"/>
    <w:rsid w:val="08A70B11"/>
    <w:rsid w:val="0ACC11D3"/>
    <w:rsid w:val="0B1A752A"/>
    <w:rsid w:val="0B550652"/>
    <w:rsid w:val="0B8352AE"/>
    <w:rsid w:val="0C05627A"/>
    <w:rsid w:val="0D187723"/>
    <w:rsid w:val="0F1B7D90"/>
    <w:rsid w:val="0FD33917"/>
    <w:rsid w:val="10316A83"/>
    <w:rsid w:val="120A0286"/>
    <w:rsid w:val="14FF0145"/>
    <w:rsid w:val="15053175"/>
    <w:rsid w:val="151441E0"/>
    <w:rsid w:val="15600D8B"/>
    <w:rsid w:val="166506A1"/>
    <w:rsid w:val="16F2389F"/>
    <w:rsid w:val="18A95656"/>
    <w:rsid w:val="18C56A68"/>
    <w:rsid w:val="1A6521FF"/>
    <w:rsid w:val="1AE01B16"/>
    <w:rsid w:val="1B6034CD"/>
    <w:rsid w:val="1C207BA6"/>
    <w:rsid w:val="1CCD5A9D"/>
    <w:rsid w:val="1CEB1134"/>
    <w:rsid w:val="1D4E5A27"/>
    <w:rsid w:val="1E612E15"/>
    <w:rsid w:val="208445B2"/>
    <w:rsid w:val="24DC4661"/>
    <w:rsid w:val="24E36F60"/>
    <w:rsid w:val="25577E75"/>
    <w:rsid w:val="261650AF"/>
    <w:rsid w:val="266E3604"/>
    <w:rsid w:val="269F7BBB"/>
    <w:rsid w:val="2A6B1334"/>
    <w:rsid w:val="2A7C6D8A"/>
    <w:rsid w:val="2B367DA6"/>
    <w:rsid w:val="2B97115E"/>
    <w:rsid w:val="2BE27F2E"/>
    <w:rsid w:val="2C1D668F"/>
    <w:rsid w:val="2C6A2BC4"/>
    <w:rsid w:val="2DF6381D"/>
    <w:rsid w:val="2E427825"/>
    <w:rsid w:val="30607DAF"/>
    <w:rsid w:val="30752ED5"/>
    <w:rsid w:val="30BF137C"/>
    <w:rsid w:val="31752A77"/>
    <w:rsid w:val="323D4D54"/>
    <w:rsid w:val="32A663A0"/>
    <w:rsid w:val="33514428"/>
    <w:rsid w:val="33635ABA"/>
    <w:rsid w:val="339337F1"/>
    <w:rsid w:val="341E65B9"/>
    <w:rsid w:val="343C2D5E"/>
    <w:rsid w:val="34C06933"/>
    <w:rsid w:val="35852959"/>
    <w:rsid w:val="37BB7471"/>
    <w:rsid w:val="384F20D2"/>
    <w:rsid w:val="38C7782A"/>
    <w:rsid w:val="39C77594"/>
    <w:rsid w:val="39FB10F9"/>
    <w:rsid w:val="3AF80DFB"/>
    <w:rsid w:val="3BE930FE"/>
    <w:rsid w:val="3C7C2176"/>
    <w:rsid w:val="3CD6448B"/>
    <w:rsid w:val="3D057B6B"/>
    <w:rsid w:val="3E795A0B"/>
    <w:rsid w:val="3EF35351"/>
    <w:rsid w:val="3F50629E"/>
    <w:rsid w:val="4266042C"/>
    <w:rsid w:val="42A77982"/>
    <w:rsid w:val="43B5087E"/>
    <w:rsid w:val="44AC4EE5"/>
    <w:rsid w:val="456F5CB4"/>
    <w:rsid w:val="45830DCE"/>
    <w:rsid w:val="499248EA"/>
    <w:rsid w:val="49E14C4C"/>
    <w:rsid w:val="4A027CA8"/>
    <w:rsid w:val="4A8F7096"/>
    <w:rsid w:val="4A9B1DF8"/>
    <w:rsid w:val="4ABA6836"/>
    <w:rsid w:val="4B027D48"/>
    <w:rsid w:val="4CE953ED"/>
    <w:rsid w:val="4E5A52AA"/>
    <w:rsid w:val="4FFD3054"/>
    <w:rsid w:val="50A54F03"/>
    <w:rsid w:val="52B03B43"/>
    <w:rsid w:val="53113E22"/>
    <w:rsid w:val="53E566E2"/>
    <w:rsid w:val="5C0F24B3"/>
    <w:rsid w:val="5C467D89"/>
    <w:rsid w:val="5C6C630D"/>
    <w:rsid w:val="5D2F5560"/>
    <w:rsid w:val="5D543309"/>
    <w:rsid w:val="5F9F0FDE"/>
    <w:rsid w:val="619D1695"/>
    <w:rsid w:val="63792873"/>
    <w:rsid w:val="64827C24"/>
    <w:rsid w:val="65DB0E64"/>
    <w:rsid w:val="67343515"/>
    <w:rsid w:val="67707BE9"/>
    <w:rsid w:val="69844594"/>
    <w:rsid w:val="69A93098"/>
    <w:rsid w:val="6B52384E"/>
    <w:rsid w:val="6C3A25DA"/>
    <w:rsid w:val="6D9709FA"/>
    <w:rsid w:val="6E157DC1"/>
    <w:rsid w:val="6E72324D"/>
    <w:rsid w:val="6EC46CE8"/>
    <w:rsid w:val="722A306A"/>
    <w:rsid w:val="72686CE4"/>
    <w:rsid w:val="752C5CAF"/>
    <w:rsid w:val="75412891"/>
    <w:rsid w:val="75662603"/>
    <w:rsid w:val="75A007E0"/>
    <w:rsid w:val="75BA1163"/>
    <w:rsid w:val="77361410"/>
    <w:rsid w:val="773D19B0"/>
    <w:rsid w:val="7A4A775B"/>
    <w:rsid w:val="7B1B0278"/>
    <w:rsid w:val="7C6573E7"/>
    <w:rsid w:val="7C891E06"/>
    <w:rsid w:val="7D5D201C"/>
    <w:rsid w:val="7E216DFF"/>
    <w:rsid w:val="7FEF3EC3"/>
    <w:rsid w:val="9EFD17E1"/>
    <w:rsid w:val="FBFD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4</Pages>
  <Words>950</Words>
  <Characters>1262</Characters>
  <Lines>9</Lines>
  <Paragraphs>2</Paragraphs>
  <TotalTime>0</TotalTime>
  <ScaleCrop>false</ScaleCrop>
  <LinksUpToDate>false</LinksUpToDate>
  <CharactersWithSpaces>1277</CharactersWithSpaces>
  <Application>WPS Office WWO_wpscloud_20251023191926-c3cb9a6fbd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2018-11-14T14:43:00Z</dcterms:created>
  <dc:creator>微软用户</dc:creator>
  <cp:lastModifiedBy>dkb</cp:lastModifiedBy>
  <dcterms:modified xsi:type="dcterms:W3CDTF">2025-11-07T11:16:23Z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2052-12.9.0.23551</vt:lpwstr>
  </property>
  <property fmtid="{D5CDD505-2E9C-101B-9397-08002B2CF9AE}" pid="3" name="ICV">
    <vt:lpwstr>458BDBC216719B9387640D69A762D99D_43</vt:lpwstr>
  </property>
  <property fmtid="{D5CDD505-2E9C-101B-9397-08002B2CF9AE}" pid="4" name="KSOTemplateDocerSaveRecord">
    <vt:lpwstr>eyJoZGlkIjoiOTE2ODdmNjE0OTFjNzY1MjBmNmE2OWE5M2ZmNDUxOWIifQ==</vt:lpwstr>
  </property>
</Properties>
</file>