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Arial" w:hAnsi="Arial" w:eastAsia="Microsoft YaHei"/>
          <w:b w:val="0"/>
          <w:sz w:val="44"/>
        </w:rPr>
        <w:t>BMF5360 AI产业链日频基准模型说明</w:t>
      </w:r>
    </w:p>
    <w:p>
      <w:pPr>
        <w:jc w:val="center"/>
      </w:pPr>
      <w:r>
        <w:rPr>
          <w:rFonts w:ascii="Arial" w:hAnsi="Arial" w:eastAsia="Microsoft YaHei"/>
          <w:b w:val="0"/>
          <w:i/>
          <w:sz w:val="22"/>
        </w:rPr>
        <w:t>机器学习投资课程项目 | 可复核的开发期与验证期材料</w:t>
      </w:r>
    </w:p>
    <w:p>
      <w:pPr>
        <w:spacing w:after="140" w:line="298" w:lineRule="auto"/>
      </w:pPr>
      <w:r>
        <w:rPr>
          <w:rFonts w:ascii="Arial" w:hAnsi="Arial" w:eastAsia="Microsoft YaHei"/>
          <w:b w:val="0"/>
          <w:sz w:val="21"/>
        </w:rPr>
        <w:t>本文件说明当前基准策略的研究问题、公司池、因子、标签、时间切分、模型和验证结果。它是开发期和验证期的研究记录，不是基金业绩承诺。2023-01-01 至 2026-06-30 的最终测试标签仍然封存，未在本报告中打开或用于模型选择。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2088"/>
            <w:shd w:fill="17365D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8208"/>
            <w:shd w:fill="17365D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/>
                <w:color w:val="FFFFFF"/>
                <w:sz w:val="18"/>
              </w:rPr>
              <w:t>当前定义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研究问题</w:t>
            </w:r>
          </w:p>
        </w:tc>
        <w:tc>
          <w:tcPr>
            <w:tcW w:type="dxa" w:w="820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在既定的美国上市 AI 产业链股票池内，预测未来 21 个交易日是否跑赢 SPY。</w:t>
            </w:r>
          </w:p>
        </w:tc>
      </w:tr>
      <w:tr>
        <w:tc>
          <w:tcPr>
            <w:tcW w:type="dxa" w:w="2088"/>
            <w:shd w:fill="F5F7F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建模基准</w:t>
            </w:r>
          </w:p>
        </w:tc>
        <w:tc>
          <w:tcPr>
            <w:tcW w:type="dxa" w:w="8208"/>
            <w:shd w:fill="F5F7F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技术 Logistic 与技术加宏观 Logistic 的预先定义分类比较。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开发和验证</w:t>
            </w:r>
          </w:p>
        </w:tc>
        <w:tc>
          <w:tcPr>
            <w:tcW w:type="dxa" w:w="820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训练 2015-2020；验证 2021-2022；最终测试期封存。</w:t>
            </w:r>
          </w:p>
        </w:tc>
      </w:tr>
      <w:tr>
        <w:tc>
          <w:tcPr>
            <w:tcW w:type="dxa" w:w="2088"/>
            <w:shd w:fill="F5F7F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核心验证结果</w:t>
            </w:r>
          </w:p>
        </w:tc>
        <w:tc>
          <w:tcPr>
            <w:tcW w:type="dxa" w:w="8208"/>
            <w:shd w:fill="F5F7F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Pooled ROC-AUC 0.5616；但择时与选股分解后，宏观的横截面增量未获验证。</w:t>
            </w:r>
          </w:p>
        </w:tc>
      </w:tr>
    </w:tbl>
    <w:p>
      <w:pPr>
        <w:spacing w:after="20"/>
      </w:pPr>
    </w:p>
    <w:p>
      <w:pPr>
        <w:pStyle w:val="Heading1"/>
        <w:spacing w:before="220" w:after="100"/>
      </w:pPr>
      <w:r>
        <w:rPr>
          <w:rFonts w:ascii="Arial" w:hAnsi="Arial" w:eastAsia="Microsoft YaHei"/>
          <w:b w:val="0"/>
          <w:sz w:val="30"/>
        </w:rPr>
        <w:t>1 研究问题和基金定位</w:t>
      </w:r>
    </w:p>
    <w:p>
      <w:pPr>
        <w:spacing w:after="140" w:line="298" w:lineRule="auto"/>
      </w:pPr>
      <w:r>
        <w:rPr>
          <w:rFonts w:ascii="Arial" w:hAnsi="Arial" w:eastAsia="Microsoft YaHei"/>
          <w:b w:val="0"/>
          <w:sz w:val="21"/>
        </w:rPr>
        <w:t>策略的范围是美国上市 AI 产业链公司，而不是把所有使用 AI 的企业都视为可投资对象。研究目标是检验：截止形成日可获得的技术、流动性、市场和宏观状态信息，能否帮助识别未来阶段相对 SPY 更可能获胜的股票。</w:t>
      </w:r>
    </w:p>
    <w:p>
      <w:pPr>
        <w:spacing w:after="140" w:line="298" w:lineRule="auto"/>
      </w:pPr>
      <w:r>
        <w:rPr>
          <w:rFonts w:ascii="Arial" w:hAnsi="Arial" w:eastAsia="Microsoft YaHei"/>
          <w:b w:val="0"/>
          <w:sz w:val="21"/>
        </w:rPr>
        <w:t>当前模型输出的是分类分数。只有在后续固定交易规则、成本假设和组合约束后，分数才会转化为持仓；因此 AUC 不是收益率、夏普或已验证的基金业绩。</w:t>
      </w:r>
    </w:p>
    <w:p>
      <w:pPr>
        <w:pStyle w:val="Heading1"/>
        <w:spacing w:before="220" w:after="100"/>
      </w:pPr>
      <w:r>
        <w:rPr>
          <w:rFonts w:ascii="Arial" w:hAnsi="Arial" w:eastAsia="Microsoft YaHei"/>
          <w:b w:val="0"/>
          <w:sz w:val="30"/>
        </w:rPr>
        <w:t>2 公司选择逻辑</w:t>
      </w:r>
    </w:p>
    <w:p>
      <w:pPr>
        <w:spacing w:after="140" w:line="298" w:lineRule="auto"/>
      </w:pPr>
      <w:r>
        <w:rPr>
          <w:rFonts w:ascii="Arial" w:hAnsi="Arial" w:eastAsia="Microsoft YaHei"/>
          <w:b w:val="0"/>
          <w:sz w:val="21"/>
        </w:rPr>
        <w:t>公司池先按经济角色定义，再对照 781 只历史 S&amp;P 500 RIC 的母表。筛选没有使用未来收益、未来估值或模型表现。每家公司只分配一个主组；次要角色仅作记录，避免同一公司在组内重复计算。退市不是剔除条件：JNPR.N^G25 及其价格历史保留在登记表中，是否可在某日交易由成员资格和当日数据可用性决定。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9"/>
        <w:gridCol w:w="1999"/>
        <w:gridCol w:w="1999"/>
        <w:gridCol w:w="1999"/>
        <w:gridCol w:w="1999"/>
      </w:tblGrid>
      <w:tr>
        <w:tc>
          <w:tcPr>
            <w:tcW w:type="dxa" w:w="1944"/>
            <w:shd w:fill="17365D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/>
                <w:color w:val="FFFFFF"/>
                <w:sz w:val="16"/>
              </w:rPr>
              <w:t>主组</w:t>
            </w:r>
          </w:p>
        </w:tc>
        <w:tc>
          <w:tcPr>
            <w:tcW w:type="dxa" w:w="4680"/>
            <w:shd w:fill="17365D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/>
                <w:color w:val="FFFFFF"/>
                <w:sz w:val="16"/>
              </w:rPr>
              <w:t>经济角色</w:t>
            </w:r>
          </w:p>
        </w:tc>
        <w:tc>
          <w:tcPr>
            <w:tcW w:type="dxa" w:w="792"/>
            <w:shd w:fill="17365D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/>
                <w:color w:val="FFFFFF"/>
                <w:sz w:val="16"/>
              </w:rPr>
              <w:t>公司</w:t>
            </w:r>
          </w:p>
        </w:tc>
        <w:tc>
          <w:tcPr>
            <w:tcW w:type="dxa" w:w="1224"/>
            <w:shd w:fill="17365D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/>
                <w:color w:val="FFFFFF"/>
                <w:sz w:val="16"/>
              </w:rPr>
              <w:t>直接 PIT</w:t>
            </w:r>
          </w:p>
        </w:tc>
        <w:tc>
          <w:tcPr>
            <w:tcW w:type="dxa" w:w="1440"/>
            <w:shd w:fill="17365D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/>
                <w:color w:val="FFFFFF"/>
                <w:sz w:val="16"/>
              </w:rPr>
              <w:t>暂定静态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gpu_accelerator</w:t>
            </w:r>
          </w:p>
        </w:tc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GPU、CPU、定制加速器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5</w:t>
            </w:r>
          </w:p>
        </w:tc>
        <w:tc>
          <w:tcPr>
            <w:tcW w:type="dxa" w:w="122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2</w:t>
            </w:r>
          </w:p>
        </w:tc>
        <w:tc>
          <w:tcPr>
            <w:tcW w:type="dxa" w:w="144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3</w:t>
            </w:r>
          </w:p>
        </w:tc>
      </w:tr>
      <w:tr>
        <w:tc>
          <w:tcPr>
            <w:tcW w:type="dxa" w:w="1944"/>
            <w:shd w:fill="F5F7F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ai_semiconductor</w:t>
            </w:r>
          </w:p>
        </w:tc>
        <w:tc>
          <w:tcPr>
            <w:tcW w:type="dxa" w:w="4680"/>
            <w:shd w:fill="F5F7F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晶圆、EDA、功率/连接芯片及设备</w:t>
            </w:r>
          </w:p>
        </w:tc>
        <w:tc>
          <w:tcPr>
            <w:tcW w:type="dxa" w:w="792"/>
            <w:shd w:fill="F5F7F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6</w:t>
            </w:r>
          </w:p>
        </w:tc>
        <w:tc>
          <w:tcPr>
            <w:tcW w:type="dxa" w:w="1224"/>
            <w:shd w:fill="F5F7F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0</w:t>
            </w:r>
          </w:p>
        </w:tc>
        <w:tc>
          <w:tcPr>
            <w:tcW w:type="dxa" w:w="1440"/>
            <w:shd w:fill="F5F7F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6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memory_hbm_storage</w:t>
            </w:r>
          </w:p>
        </w:tc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HBM、DRAM、NAND 与企业存储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5</w:t>
            </w:r>
          </w:p>
        </w:tc>
        <w:tc>
          <w:tcPr>
            <w:tcW w:type="dxa" w:w="122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1</w:t>
            </w:r>
          </w:p>
        </w:tc>
        <w:tc>
          <w:tcPr>
            <w:tcW w:type="dxa" w:w="144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4</w:t>
            </w:r>
          </w:p>
        </w:tc>
      </w:tr>
      <w:tr>
        <w:tc>
          <w:tcPr>
            <w:tcW w:type="dxa" w:w="1944"/>
            <w:shd w:fill="F5F7F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server_network</w:t>
            </w:r>
          </w:p>
        </w:tc>
        <w:tc>
          <w:tcPr>
            <w:tcW w:type="dxa" w:w="4680"/>
            <w:shd w:fill="F5F7F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AI 服务器、交换机、光互联</w:t>
            </w:r>
          </w:p>
        </w:tc>
        <w:tc>
          <w:tcPr>
            <w:tcW w:type="dxa" w:w="792"/>
            <w:shd w:fill="F5F7F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6</w:t>
            </w:r>
          </w:p>
        </w:tc>
        <w:tc>
          <w:tcPr>
            <w:tcW w:type="dxa" w:w="1224"/>
            <w:shd w:fill="F5F7F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1</w:t>
            </w:r>
          </w:p>
        </w:tc>
        <w:tc>
          <w:tcPr>
            <w:tcW w:type="dxa" w:w="1440"/>
            <w:shd w:fill="F5F7F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5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cloud_software</w:t>
            </w:r>
          </w:p>
        </w:tc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云平台、数据库、企业软件和开发工具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10</w:t>
            </w:r>
          </w:p>
        </w:tc>
        <w:tc>
          <w:tcPr>
            <w:tcW w:type="dxa" w:w="122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1</w:t>
            </w:r>
          </w:p>
        </w:tc>
        <w:tc>
          <w:tcPr>
            <w:tcW w:type="dxa" w:w="144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9</w:t>
            </w:r>
          </w:p>
        </w:tc>
      </w:tr>
      <w:tr>
        <w:tc>
          <w:tcPr>
            <w:tcW w:type="dxa" w:w="1944"/>
            <w:shd w:fill="F5F7F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data_center_power_cooling</w:t>
            </w:r>
          </w:p>
        </w:tc>
        <w:tc>
          <w:tcPr>
            <w:tcW w:type="dxa" w:w="4680"/>
            <w:shd w:fill="F5F7F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数据中心、供电、制冷和基础设施</w:t>
            </w:r>
          </w:p>
        </w:tc>
        <w:tc>
          <w:tcPr>
            <w:tcW w:type="dxa" w:w="792"/>
            <w:shd w:fill="F5F7F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9</w:t>
            </w:r>
          </w:p>
        </w:tc>
        <w:tc>
          <w:tcPr>
            <w:tcW w:type="dxa" w:w="1224"/>
            <w:shd w:fill="F5F7F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3</w:t>
            </w:r>
          </w:p>
        </w:tc>
        <w:tc>
          <w:tcPr>
            <w:tcW w:type="dxa" w:w="1440"/>
            <w:shd w:fill="F5F7F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6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robotics_autonomy</w:t>
            </w:r>
          </w:p>
        </w:tc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工业自动化、机器视觉和自动驾驶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8</w:t>
            </w:r>
          </w:p>
        </w:tc>
        <w:tc>
          <w:tcPr>
            <w:tcW w:type="dxa" w:w="122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1</w:t>
            </w:r>
          </w:p>
        </w:tc>
        <w:tc>
          <w:tcPr>
            <w:tcW w:type="dxa" w:w="144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7</w:t>
            </w:r>
          </w:p>
        </w:tc>
      </w:tr>
      <w:tr>
        <w:tc>
          <w:tcPr>
            <w:tcW w:type="dxa" w:w="1944"/>
            <w:shd w:fill="F5F7F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合计</w:t>
            </w:r>
          </w:p>
        </w:tc>
        <w:tc>
          <w:tcPr>
            <w:tcW w:type="dxa" w:w="4680"/>
            <w:shd w:fill="F5F7F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预先定义的 AI 产业链探索池</w:t>
            </w:r>
          </w:p>
        </w:tc>
        <w:tc>
          <w:tcPr>
            <w:tcW w:type="dxa" w:w="792"/>
            <w:shd w:fill="F5F7F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49</w:t>
            </w:r>
          </w:p>
        </w:tc>
        <w:tc>
          <w:tcPr>
            <w:tcW w:type="dxa" w:w="1224"/>
            <w:shd w:fill="F5F7F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9</w:t>
            </w:r>
          </w:p>
        </w:tc>
        <w:tc>
          <w:tcPr>
            <w:tcW w:type="dxa" w:w="1440"/>
            <w:shd w:fill="F5F7F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40</w:t>
            </w:r>
          </w:p>
        </w:tc>
      </w:tr>
    </w:tbl>
    <w:p>
      <w:pPr>
        <w:spacing w:after="20"/>
      </w:pPr>
    </w:p>
    <w:p>
      <w:pPr>
        <w:spacing w:after="140" w:line="298" w:lineRule="auto"/>
      </w:pPr>
      <w:r>
        <w:rPr>
          <w:rFonts w:ascii="Arial" w:hAnsi="Arial" w:eastAsia="Microsoft YaHei"/>
          <w:b w:val="0"/>
          <w:sz w:val="21"/>
        </w:rPr>
        <w:t>证据质量必须与经济分类分开表述。9 家公司有本地、带日期的披露证据；其余 40 家只有当前官方描述的暂定静态证据，不能被包装为历史时点的完整证明。报告因此将 49 家称为探索池，并把建设严格历史可投资池列为下一步。</w:t>
      </w:r>
    </w:p>
    <w:p>
      <w:pPr>
        <w:pStyle w:val="Heading1"/>
        <w:spacing w:before="220" w:after="100"/>
      </w:pPr>
      <w:r>
        <w:rPr>
          <w:rFonts w:ascii="Arial" w:hAnsi="Arial" w:eastAsia="Microsoft YaHei"/>
          <w:b w:val="0"/>
          <w:sz w:val="30"/>
        </w:rPr>
        <w:t>3 数据处理和因子选择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1872"/>
            <w:shd w:fill="17365D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/>
                <w:color w:val="FFFFFF"/>
                <w:sz w:val="17"/>
              </w:rPr>
              <w:t>数据层</w:t>
            </w:r>
          </w:p>
        </w:tc>
        <w:tc>
          <w:tcPr>
            <w:tcW w:type="dxa" w:w="4680"/>
            <w:shd w:fill="17365D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/>
                <w:color w:val="FFFFFF"/>
                <w:sz w:val="17"/>
              </w:rPr>
              <w:t>处理规则</w:t>
            </w:r>
          </w:p>
        </w:tc>
        <w:tc>
          <w:tcPr>
            <w:tcW w:type="dxa" w:w="3312"/>
            <w:shd w:fill="17365D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/>
                <w:color w:val="FFFFFF"/>
                <w:sz w:val="17"/>
              </w:rPr>
              <w:t>影响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LSEG 日频价格与报价</w:t>
            </w:r>
          </w:p>
        </w:tc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保留供应商已调整价格/收益，不做二次拆股调整。</w:t>
            </w:r>
          </w:p>
        </w:tc>
        <w:tc>
          <w:tcPr>
            <w:tcW w:type="dxa" w:w="33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缺失保留为 NA，原始路径与覆盖情况可审计。</w:t>
            </w:r>
          </w:p>
        </w:tc>
      </w:tr>
      <w:tr>
        <w:tc>
          <w:tcPr>
            <w:tcW w:type="dxa" w:w="1872"/>
            <w:shd w:fill="F5F7F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技术与市场变量</w:t>
            </w:r>
          </w:p>
        </w:tc>
        <w:tc>
          <w:tcPr>
            <w:tcW w:type="dxa" w:w="4680"/>
            <w:shd w:fill="F5F7F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使用形成日 F-1 的滚动窗口；历史不足时保留缺失。</w:t>
            </w:r>
          </w:p>
        </w:tc>
        <w:tc>
          <w:tcPr>
            <w:tcW w:type="dxa" w:w="3312"/>
            <w:shd w:fill="F5F7F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不前填、不以零替代缺失。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FRED 宏观变量</w:t>
            </w:r>
          </w:p>
        </w:tc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按 SPY 日历对齐，在 F 使用 F-1 可得信息。</w:t>
            </w:r>
          </w:p>
        </w:tc>
        <w:tc>
          <w:tcPr>
            <w:tcW w:type="dxa" w:w="33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保留来源日期；完整发布 vintage 是限制。</w:t>
            </w:r>
          </w:p>
        </w:tc>
      </w:tr>
      <w:tr>
        <w:tc>
          <w:tcPr>
            <w:tcW w:type="dxa" w:w="1872"/>
            <w:shd w:fill="F5F7F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信用利差候选</w:t>
            </w:r>
          </w:p>
        </w:tc>
        <w:tc>
          <w:tcPr>
            <w:tcW w:type="dxa" w:w="4680"/>
            <w:shd w:fill="F5F7F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训练/验证窗口无有效起始覆盖，6 个变量全数排除。</w:t>
            </w:r>
          </w:p>
        </w:tc>
        <w:tc>
          <w:tcPr>
            <w:tcW w:type="dxa" w:w="3312"/>
            <w:shd w:fill="F5F7F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不以未来数据填补；首个有效日期为 2023-09-11。</w:t>
            </w:r>
          </w:p>
        </w:tc>
      </w:tr>
    </w:tbl>
    <w:p>
      <w:pPr>
        <w:spacing w:after="20"/>
      </w:pPr>
    </w:p>
    <w:p>
      <w:pPr>
        <w:spacing w:after="140" w:line="298" w:lineRule="auto"/>
      </w:pPr>
      <w:r>
        <w:rPr>
          <w:rFonts w:ascii="Arial" w:hAnsi="Arial" w:eastAsia="Microsoft YaHei"/>
          <w:b w:val="0"/>
          <w:sz w:val="21"/>
        </w:rPr>
        <w:t>因子按投资解释预先分组，而不是按验证 AUC 逐个筛选。21 个技术、流动性和市场变量刻画动量、风险、成交活跃度、报价成本、beta 和 SPY 状态；20 个宏观变量刻画风险偏好、利率曲线和美元环境。每个变量的公式、单位、窗口和截止时点都在 Excel 的 Factor Dictionary 工作表逐项列示。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2232"/>
            <w:shd w:fill="17365D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/>
                <w:color w:val="FFFFFF"/>
                <w:sz w:val="17"/>
              </w:rPr>
              <w:t>类别</w:t>
            </w:r>
          </w:p>
        </w:tc>
        <w:tc>
          <w:tcPr>
            <w:tcW w:type="dxa" w:w="936"/>
            <w:shd w:fill="17365D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/>
                <w:color w:val="FFFFFF"/>
                <w:sz w:val="17"/>
              </w:rPr>
              <w:t>数量</w:t>
            </w:r>
          </w:p>
        </w:tc>
        <w:tc>
          <w:tcPr>
            <w:tcW w:type="dxa" w:w="6696"/>
            <w:shd w:fill="17365D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/>
                <w:color w:val="FFFFFF"/>
                <w:sz w:val="17"/>
              </w:rPr>
              <w:t>选择逻辑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个股动量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4</w:t>
            </w:r>
          </w:p>
        </w:tc>
        <w:tc>
          <w:tcPr>
            <w:tcW w:type="dxa" w:w="669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1、5、20、60 个 SPY 交易日复合收益。</w:t>
            </w:r>
          </w:p>
        </w:tc>
      </w:tr>
      <w:tr>
        <w:tc>
          <w:tcPr>
            <w:tcW w:type="dxa" w:w="2232"/>
            <w:shd w:fill="F5F7F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个股风险与流动性</w:t>
            </w:r>
          </w:p>
        </w:tc>
        <w:tc>
          <w:tcPr>
            <w:tcW w:type="dxa" w:w="936"/>
            <w:shd w:fill="F5F7F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11</w:t>
            </w:r>
          </w:p>
        </w:tc>
        <w:tc>
          <w:tcPr>
            <w:tcW w:type="dxa" w:w="6696"/>
            <w:shd w:fill="F5F7F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波动、成交量/成交额、买卖价差、beta、特质波动与交易天数。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市场状态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6</w:t>
            </w:r>
          </w:p>
        </w:tc>
        <w:tc>
          <w:tcPr>
            <w:tcW w:type="dxa" w:w="669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SPY 动量和波动，描述共同市场环境。</w:t>
            </w:r>
          </w:p>
        </w:tc>
      </w:tr>
      <w:tr>
        <w:tc>
          <w:tcPr>
            <w:tcW w:type="dxa" w:w="2232"/>
            <w:shd w:fill="F5F7F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宏观状态</w:t>
            </w:r>
          </w:p>
        </w:tc>
        <w:tc>
          <w:tcPr>
            <w:tcW w:type="dxa" w:w="936"/>
            <w:shd w:fill="F5F7F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20</w:t>
            </w:r>
          </w:p>
        </w:tc>
        <w:tc>
          <w:tcPr>
            <w:tcW w:type="dxa" w:w="6696"/>
            <w:shd w:fill="F5F7F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VIX、短中长利率、美元和期限利差。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已排除信用利差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6</w:t>
            </w:r>
          </w:p>
        </w:tc>
        <w:tc>
          <w:tcPr>
            <w:tcW w:type="dxa" w:w="669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训练和验证期未覆盖，避免以未来数据填补。</w:t>
            </w:r>
          </w:p>
        </w:tc>
      </w:tr>
    </w:tbl>
    <w:p>
      <w:pPr>
        <w:spacing w:after="20"/>
      </w:pPr>
    </w:p>
    <w:p>
      <w:pPr>
        <w:spacing w:after="140" w:line="298" w:lineRule="auto"/>
      </w:pPr>
      <w:r>
        <w:rPr>
          <w:rFonts w:ascii="Arial" w:hAnsi="Arial" w:eastAsia="Microsoft YaHei"/>
          <w:b w:val="0"/>
          <w:sz w:val="21"/>
        </w:rPr>
        <w:t>模型管线中的缺失处理只在训练集拟合：中位数填补加缺失指示变量。它不会改变原始数据，也不会把 NA 当作零。宏观变量在没有交互项时不能直接改变同日个股的线性排序；若要研究公司对宏观状态的差异反应，应预先限定少量交互项，或将总体仓位择时与个股选股分成两个模块。</w:t>
      </w:r>
    </w:p>
    <w:p>
      <w:pPr>
        <w:pStyle w:val="Heading1"/>
        <w:spacing w:before="220" w:after="100"/>
      </w:pPr>
      <w:r>
        <w:rPr>
          <w:rFonts w:ascii="Arial" w:hAnsi="Arial" w:eastAsia="Microsoft YaHei"/>
          <w:b w:val="0"/>
          <w:sz w:val="30"/>
        </w:rPr>
        <w:t>4 标签 时间切分和泄露防护</w:t>
      </w:r>
    </w:p>
    <w:p>
      <w:pPr>
        <w:spacing w:after="140" w:line="298" w:lineRule="auto"/>
      </w:pPr>
      <w:r>
        <w:rPr>
          <w:rFonts w:ascii="Arial" w:hAnsi="Arial" w:eastAsia="Microsoft YaHei"/>
          <w:b w:val="0"/>
          <w:sz w:val="21"/>
        </w:rPr>
        <w:t>目标变量 y=1 的条件是：从形成日后的未来 21 个 SPY 交易日，个股总回报减去 SPY 总回报大于零。所有特征仅使用形成日 F 之前可见的信息；未来收益只用于在持有期结束后生成标签。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9"/>
        <w:gridCol w:w="1999"/>
        <w:gridCol w:w="1999"/>
        <w:gridCol w:w="1999"/>
        <w:gridCol w:w="1999"/>
      </w:tblGrid>
      <w:tr>
        <w:tc>
          <w:tcPr>
            <w:tcW w:type="dxa" w:w="1440"/>
            <w:shd w:fill="17365D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/>
                <w:color w:val="FFFFFF"/>
                <w:sz w:val="17"/>
              </w:rPr>
              <w:t>阶段</w:t>
            </w:r>
          </w:p>
        </w:tc>
        <w:tc>
          <w:tcPr>
            <w:tcW w:type="dxa" w:w="2088"/>
            <w:shd w:fill="17365D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/>
                <w:color w:val="FFFFFF"/>
                <w:sz w:val="17"/>
              </w:rPr>
              <w:t>期间</w:t>
            </w:r>
          </w:p>
        </w:tc>
        <w:tc>
          <w:tcPr>
            <w:tcW w:type="dxa" w:w="1224"/>
            <w:shd w:fill="17365D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/>
                <w:color w:val="FFFFFF"/>
                <w:sz w:val="17"/>
              </w:rPr>
              <w:t>锚点</w:t>
            </w:r>
          </w:p>
        </w:tc>
        <w:tc>
          <w:tcPr>
            <w:tcW w:type="dxa" w:w="936"/>
            <w:shd w:fill="17365D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/>
                <w:color w:val="FFFFFF"/>
                <w:sz w:val="17"/>
              </w:rPr>
              <w:t>公司</w:t>
            </w:r>
          </w:p>
        </w:tc>
        <w:tc>
          <w:tcPr>
            <w:tcW w:type="dxa" w:w="4320"/>
            <w:shd w:fill="17365D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/>
                <w:color w:val="FFFFFF"/>
                <w:sz w:val="17"/>
              </w:rPr>
              <w:t>规则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训练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2015-2020</w:t>
            </w:r>
          </w:p>
        </w:tc>
        <w:tc>
          <w:tcPr>
            <w:tcW w:type="dxa" w:w="122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2,334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39</w:t>
            </w:r>
          </w:p>
        </w:tc>
        <w:tc>
          <w:tcPr>
            <w:tcW w:type="dxa" w:w="432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按公司采用 H21 非重叠锚点。</w:t>
            </w:r>
          </w:p>
        </w:tc>
      </w:tr>
      <w:tr>
        <w:tc>
          <w:tcPr>
            <w:tcW w:type="dxa" w:w="1440"/>
            <w:shd w:fill="F5F7F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验证</w:t>
            </w:r>
          </w:p>
        </w:tc>
        <w:tc>
          <w:tcPr>
            <w:tcW w:type="dxa" w:w="2088"/>
            <w:shd w:fill="F5F7F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2021-2022</w:t>
            </w:r>
          </w:p>
        </w:tc>
        <w:tc>
          <w:tcPr>
            <w:tcW w:type="dxa" w:w="1224"/>
            <w:shd w:fill="F5F7F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992</w:t>
            </w:r>
          </w:p>
        </w:tc>
        <w:tc>
          <w:tcPr>
            <w:tcW w:type="dxa" w:w="936"/>
            <w:shd w:fill="F5F7F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44</w:t>
            </w:r>
          </w:p>
        </w:tc>
        <w:tc>
          <w:tcPr>
            <w:tcW w:type="dxa" w:w="4320"/>
            <w:shd w:fill="F5F7F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同一验证样本比较冻结的基准模型。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最终测试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2023-01 至 2026-06</w:t>
            </w:r>
          </w:p>
        </w:tc>
        <w:tc>
          <w:tcPr>
            <w:tcW w:type="dxa" w:w="122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未打开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未打开</w:t>
            </w:r>
          </w:p>
        </w:tc>
        <w:tc>
          <w:tcPr>
            <w:tcW w:type="dxa" w:w="432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不读标签、不生成预测或指标。</w:t>
            </w:r>
          </w:p>
        </w:tc>
      </w:tr>
    </w:tbl>
    <w:p>
      <w:pPr>
        <w:spacing w:after="20"/>
      </w:pPr>
    </w:p>
    <w:p>
      <w:pPr>
        <w:spacing w:after="140" w:line="298" w:lineRule="auto"/>
      </w:pPr>
      <w:r>
        <w:rPr>
          <w:rFonts w:ascii="Arial" w:hAnsi="Arial" w:eastAsia="Microsoft YaHei"/>
          <w:b w:val="0"/>
          <w:sz w:val="21"/>
        </w:rPr>
        <w:t>训练内部的随机森林调参使用扩展窗口，并要求训练标签退出日期早于内部验证起点。非重叠锚点降低同一公司持有期重叠，但不同股票仍可能共享市场冲击；后续置信区间应按形成日时间块处理，不能把 992 条记录当作独立观察。</w:t>
      </w:r>
    </w:p>
    <w:p>
      <w:pPr>
        <w:pStyle w:val="Heading1"/>
        <w:spacing w:before="220" w:after="100"/>
      </w:pPr>
      <w:r>
        <w:rPr>
          <w:rFonts w:ascii="Arial" w:hAnsi="Arial" w:eastAsia="Microsoft YaHei"/>
          <w:b w:val="0"/>
          <w:sz w:val="30"/>
        </w:rPr>
        <w:t>5 基准模型和验证结果</w:t>
      </w:r>
    </w:p>
    <w:p>
      <w:pPr>
        <w:spacing w:after="140" w:line="298" w:lineRule="auto"/>
      </w:pPr>
      <w:r>
        <w:rPr>
          <w:rFonts w:ascii="Arial" w:hAnsi="Arial" w:eastAsia="Microsoft YaHei"/>
          <w:b w:val="0"/>
          <w:sz w:val="21"/>
        </w:rPr>
        <w:t>Logistic 回归是监督式机器学习分类器，也是本项目应保留的主要基准：它参数少、方向可审阅，并能检验复杂模型是否真的带来增量。Random Forest 已作为非线性对照，而不是被假定为必然更好。管线为 SimpleImputer median add_indicator keep_empty_features，随后 StandardScaler，再以 C=1、class_weight=balanced、lbfgs、max_iter=2000 和 random_state=5360 的 LogisticRegression 拟合。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6"/>
        <w:gridCol w:w="1666"/>
        <w:gridCol w:w="1666"/>
        <w:gridCol w:w="1666"/>
        <w:gridCol w:w="1666"/>
        <w:gridCol w:w="1666"/>
      </w:tblGrid>
      <w:tr>
        <w:tc>
          <w:tcPr>
            <w:tcW w:type="dxa" w:w="3024"/>
            <w:shd w:fill="17365D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/>
                <w:color w:val="FFFFFF"/>
                <w:sz w:val="16"/>
              </w:rPr>
              <w:t>特征组 / 模型</w:t>
            </w:r>
          </w:p>
        </w:tc>
        <w:tc>
          <w:tcPr>
            <w:tcW w:type="dxa" w:w="1224"/>
            <w:shd w:fill="17365D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/>
                <w:color w:val="FFFFFF"/>
                <w:sz w:val="16"/>
              </w:rPr>
              <w:t>ROC-AUC</w:t>
            </w:r>
          </w:p>
        </w:tc>
        <w:tc>
          <w:tcPr>
            <w:tcW w:type="dxa" w:w="1224"/>
            <w:shd w:fill="17365D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/>
                <w:color w:val="FFFFFF"/>
                <w:sz w:val="16"/>
              </w:rPr>
              <w:t>PR-AUC</w:t>
            </w:r>
          </w:p>
        </w:tc>
        <w:tc>
          <w:tcPr>
            <w:tcW w:type="dxa" w:w="1080"/>
            <w:shd w:fill="17365D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/>
                <w:color w:val="FFFFFF"/>
                <w:sz w:val="16"/>
              </w:rPr>
              <w:t>Brier</w:t>
            </w:r>
          </w:p>
        </w:tc>
        <w:tc>
          <w:tcPr>
            <w:tcW w:type="dxa" w:w="1296"/>
            <w:shd w:fill="17365D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/>
                <w:color w:val="FFFFFF"/>
                <w:sz w:val="16"/>
              </w:rPr>
              <w:t>准确率</w:t>
            </w:r>
          </w:p>
        </w:tc>
        <w:tc>
          <w:tcPr>
            <w:tcW w:type="dxa" w:w="1584"/>
            <w:shd w:fill="17365D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/>
                <w:color w:val="FFFFFF"/>
                <w:sz w:val="16"/>
              </w:rPr>
              <w:t>形成日高低分差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技术 / Logistic</w:t>
            </w:r>
          </w:p>
        </w:tc>
        <w:tc>
          <w:tcPr>
            <w:tcW w:type="dxa" w:w="122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0.5395</w:t>
            </w:r>
          </w:p>
        </w:tc>
        <w:tc>
          <w:tcPr>
            <w:tcW w:type="dxa" w:w="122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0.5421</w:t>
            </w:r>
          </w:p>
        </w:tc>
        <w:tc>
          <w:tcPr>
            <w:tcW w:type="dxa" w:w="108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0.2511</w:t>
            </w:r>
          </w:p>
        </w:tc>
        <w:tc>
          <w:tcPr>
            <w:tcW w:type="dxa" w:w="129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51.61%</w:t>
            </w:r>
          </w:p>
        </w:tc>
        <w:tc>
          <w:tcPr>
            <w:tcW w:type="dxa" w:w="158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0.6152%</w:t>
            </w:r>
          </w:p>
        </w:tc>
      </w:tr>
      <w:tr>
        <w:tc>
          <w:tcPr>
            <w:tcW w:type="dxa" w:w="3024"/>
            <w:shd w:fill="F5F7F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技术 / Random Forest</w:t>
            </w:r>
          </w:p>
        </w:tc>
        <w:tc>
          <w:tcPr>
            <w:tcW w:type="dxa" w:w="1224"/>
            <w:shd w:fill="F5F7F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0.5231</w:t>
            </w:r>
          </w:p>
        </w:tc>
        <w:tc>
          <w:tcPr>
            <w:tcW w:type="dxa" w:w="1224"/>
            <w:shd w:fill="F5F7F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0.5511</w:t>
            </w:r>
          </w:p>
        </w:tc>
        <w:tc>
          <w:tcPr>
            <w:tcW w:type="dxa" w:w="1080"/>
            <w:shd w:fill="F5F7F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0.2543</w:t>
            </w:r>
          </w:p>
        </w:tc>
        <w:tc>
          <w:tcPr>
            <w:tcW w:type="dxa" w:w="1296"/>
            <w:shd w:fill="F5F7F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51.92%</w:t>
            </w:r>
          </w:p>
        </w:tc>
        <w:tc>
          <w:tcPr>
            <w:tcW w:type="dxa" w:w="1584"/>
            <w:shd w:fill="F5F7F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0.1615%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技术加宏观 / Logistic</w:t>
            </w:r>
          </w:p>
        </w:tc>
        <w:tc>
          <w:tcPr>
            <w:tcW w:type="dxa" w:w="122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0.5616</w:t>
            </w:r>
          </w:p>
        </w:tc>
        <w:tc>
          <w:tcPr>
            <w:tcW w:type="dxa" w:w="122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0.5524</w:t>
            </w:r>
          </w:p>
        </w:tc>
        <w:tc>
          <w:tcPr>
            <w:tcW w:type="dxa" w:w="108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0.2508</w:t>
            </w:r>
          </w:p>
        </w:tc>
        <w:tc>
          <w:tcPr>
            <w:tcW w:type="dxa" w:w="129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56.45%</w:t>
            </w:r>
          </w:p>
        </w:tc>
        <w:tc>
          <w:tcPr>
            <w:tcW w:type="dxa" w:w="158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0.5244%</w:t>
            </w:r>
          </w:p>
        </w:tc>
      </w:tr>
      <w:tr>
        <w:tc>
          <w:tcPr>
            <w:tcW w:type="dxa" w:w="3024"/>
            <w:shd w:fill="F5F7F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技术加宏观 / Random Forest</w:t>
            </w:r>
          </w:p>
        </w:tc>
        <w:tc>
          <w:tcPr>
            <w:tcW w:type="dxa" w:w="1224"/>
            <w:shd w:fill="F5F7F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0.5362</w:t>
            </w:r>
          </w:p>
        </w:tc>
        <w:tc>
          <w:tcPr>
            <w:tcW w:type="dxa" w:w="1224"/>
            <w:shd w:fill="F5F7F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0.5545</w:t>
            </w:r>
          </w:p>
        </w:tc>
        <w:tc>
          <w:tcPr>
            <w:tcW w:type="dxa" w:w="1080"/>
            <w:shd w:fill="F5F7F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0.2496</w:t>
            </w:r>
          </w:p>
        </w:tc>
        <w:tc>
          <w:tcPr>
            <w:tcW w:type="dxa" w:w="1296"/>
            <w:shd w:fill="F5F7F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52.92%</w:t>
            </w:r>
          </w:p>
        </w:tc>
        <w:tc>
          <w:tcPr>
            <w:tcW w:type="dxa" w:w="1584"/>
            <w:shd w:fill="F5F7F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-0.1076%</w:t>
            </w:r>
          </w:p>
        </w:tc>
      </w:tr>
    </w:tbl>
    <w:p>
      <w:pPr>
        <w:spacing w:after="20"/>
      </w:pPr>
    </w:p>
    <w:p>
      <w:pPr>
        <w:spacing w:after="140" w:line="298" w:lineRule="auto"/>
      </w:pPr>
      <w:r>
        <w:rPr>
          <w:rFonts w:ascii="Arial" w:hAnsi="Arial" w:eastAsia="Microsoft YaHei"/>
          <w:b w:val="0"/>
          <w:sz w:val="21"/>
        </w:rPr>
        <w:t>技术加宏观 Logistic 的 pooled 验证 ROC-AUC 为 0.561559，相比技术 Logistic 高 0.022096。择时与选股审计显示，41 个原始变量中 27 个在同一形成日内为常数，因而 pooled AUC 混合了共同日期状态与股票排序。按 23 个 21-session 区块重抽样，pooled AUC 差的 95% 区间为 -0.03944 至 +0.07037，不能作为宏观变量带来稳健增量的推断性证据。</w:t>
      </w:r>
    </w:p>
    <w:p>
      <w:pPr>
        <w:spacing w:after="140" w:line="298" w:lineRule="auto"/>
      </w:pPr>
      <w:r>
        <w:rPr>
          <w:rFonts w:ascii="Arial" w:hAnsi="Arial" w:eastAsia="Microsoft YaHei"/>
          <w:b w:val="0"/>
          <w:sz w:val="21"/>
        </w:rPr>
        <w:t>严格在同一形成日比较股票时，技术加宏观相对技术模型的 pair-weighted AUC 增量为 0.00624，区间为 -0.00658 至 +0.02184；日内 rank-IC 增量为 0.00821，区间为 -0.00739 至 +0.02403。因此当前没有经验证的宏观选股提升。0.5616 是混合择时/选股的探索性 pooled 指标，不是 56.16% 的回报、胜率或基金能力。</w:t>
      </w:r>
    </w:p>
    <w:p>
      <w:pPr>
        <w:spacing w:after="140" w:line="298" w:lineRule="auto"/>
      </w:pPr>
      <w:r>
        <w:rPr>
          <w:rFonts w:ascii="Arial" w:hAnsi="Arial" w:eastAsia="Microsoft YaHei"/>
          <w:b w:val="0"/>
          <w:sz w:val="21"/>
        </w:rPr>
        <w:t>复杂度没有自动带来价值：同一特征集的 Random Forest AUC 为 0.5362，低于 Logistic。`spread_median_60_bps` 的缺失指示变量虽在训练系数中靠前，但在这 992 条验证预测中原始价差均非缺失，因而它不驱动验证期横截面排序。当前结果支持保留 Logistic 作为透明基准，不支持已找到可稳定赚钱的复杂 ML 模型。</w:t>
      </w:r>
    </w:p>
    <w:p>
      <w:pPr>
        <w:pStyle w:val="Heading1"/>
        <w:spacing w:before="220" w:after="100"/>
      </w:pPr>
      <w:r>
        <w:rPr>
          <w:rFonts w:ascii="Arial" w:hAnsi="Arial" w:eastAsia="Microsoft YaHei"/>
          <w:b w:val="0"/>
          <w:sz w:val="30"/>
        </w:rPr>
        <w:t>6 策略转化和下一步</w:t>
      </w:r>
    </w:p>
    <w:p>
      <w:pPr>
        <w:spacing w:after="140" w:line="298" w:lineRule="auto"/>
      </w:pPr>
      <w:r>
        <w:rPr>
          <w:rFonts w:ascii="Arial" w:hAnsi="Arial" w:eastAsia="Microsoft YaHei"/>
          <w:b w:val="0"/>
          <w:sz w:val="21"/>
        </w:rPr>
        <w:t>下一步不是继续在验证集上搜索更多算法，而是在验证期冻结交易规则：固定每月同一交易日调仓，对当日全部合格股票打分，前 20% 等权持有到下一调仓日；同时定义单股上限、股票不足、停牌/退市、现金和成交价格的处理。</w:t>
      </w:r>
    </w:p>
    <w:p>
      <w:pPr>
        <w:spacing w:after="140" w:line="298" w:lineRule="auto"/>
      </w:pPr>
      <w:r>
        <w:rPr>
          <w:rFonts w:ascii="Arial" w:hAnsi="Arial" w:eastAsia="Microsoft YaHei"/>
          <w:b w:val="0"/>
          <w:sz w:val="21"/>
        </w:rPr>
        <w:t>组合将与 SPY、同一合格池等权、简单动量、技术 Logistic 和技术加宏观 Logistic 使用相同日期范围和执行口径比较。成本按权重变动的交易金额计入，并在单边 0、5、10 和 25 bps 下做敏感性分析。验证完成、错误修正和规则冻结后，才打开一次最终测试标签。</w:t>
      </w:r>
    </w:p>
    <w:p>
      <w:pPr>
        <w:pStyle w:val="Heading1"/>
        <w:spacing w:before="220" w:after="100"/>
      </w:pPr>
      <w:r>
        <w:rPr>
          <w:rFonts w:ascii="Arial" w:hAnsi="Arial" w:eastAsia="Microsoft YaHei"/>
          <w:b w:val="0"/>
          <w:sz w:val="30"/>
        </w:rPr>
        <w:t>7 材料和局限</w:t>
      </w:r>
    </w:p>
    <w:p>
      <w:pPr>
        <w:spacing w:after="140" w:line="298" w:lineRule="auto"/>
      </w:pPr>
      <w:r>
        <w:rPr>
          <w:rFonts w:ascii="Arial" w:hAnsi="Arial" w:eastAsia="Microsoft YaHei"/>
          <w:b w:val="0"/>
          <w:sz w:val="21"/>
        </w:rPr>
        <w:t>本交付包包含 Excel 计算与审计表、可运行的最小代码包、模型说明和日志。Excel 的 Summary、Company Universe、Selection Logic、Factor Dictionary、Model Results、Logistic Coefficients、Processing Audit 和 Sources 工作表对应本报告的关键结论。代码包只运行四个已审计的技术/宏观基准模型，不读取封存测试标签。</w:t>
      </w:r>
    </w:p>
    <w:p>
      <w:pPr>
        <w:spacing w:after="140" w:line="298" w:lineRule="auto"/>
      </w:pPr>
      <w:r>
        <w:rPr>
          <w:rFonts w:ascii="Arial" w:hAnsi="Arial" w:eastAsia="Microsoft YaHei"/>
          <w:b w:val="0"/>
          <w:sz w:val="21"/>
        </w:rPr>
        <w:t>主要局限为：49 家探索池中 40 家仍缺严格历史时点行业证据；宏观序列未使用完整发布 vintage；验证样本有共同市场冲击；当前高低分差不是基金净值；概率尚未校准；最终测试期尚未评估。材料性 AI 协助记录在 AI_USE_LOG.md；数据处理阶段、缺失处理、排除和审计状态记录在 DATA_PROCESSING_LOG.md。</w:t>
      </w:r>
    </w:p>
    <w:sectPr w:rsidR="00FC693F" w:rsidRPr="0006063C" w:rsidSect="00034616">
      <w:footerReference w:type="default" r:id="rId9"/>
      <w:pgSz w:w="12240" w:h="15840"/>
      <w:pgMar w:top="1037" w:right="1123" w:bottom="1037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Microsoft YaHei"/>
        <w:b w:val="0"/>
        <w:sz w:val="16"/>
      </w:rPr>
      <w:t>BMF5360 | AI supply-chain daily baseline | development and validation evidence only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Microsoft YaHei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