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D1A25" w14:textId="77777777" w:rsidR="00A329A5" w:rsidRDefault="00A329A5" w:rsidP="00EA7842">
      <w:pPr>
        <w:spacing w:after="0"/>
        <w:jc w:val="both"/>
      </w:pPr>
    </w:p>
    <w:p w14:paraId="36D0B51D" w14:textId="77777777" w:rsidR="00A329A5" w:rsidRDefault="00A329A5" w:rsidP="00EA7842">
      <w:pPr>
        <w:spacing w:after="0"/>
        <w:jc w:val="both"/>
      </w:pPr>
    </w:p>
    <w:p w14:paraId="7FC0F1CC" w14:textId="77777777" w:rsidR="00A329A5" w:rsidRDefault="00A329A5" w:rsidP="00EA7842">
      <w:pPr>
        <w:spacing w:after="0"/>
        <w:jc w:val="both"/>
      </w:pPr>
    </w:p>
    <w:p w14:paraId="28091E44" w14:textId="77777777" w:rsidR="00A329A5" w:rsidRDefault="00A329A5" w:rsidP="00EA7842">
      <w:pPr>
        <w:spacing w:after="0"/>
        <w:jc w:val="both"/>
      </w:pPr>
    </w:p>
    <w:p w14:paraId="00DAD3A0" w14:textId="77777777" w:rsidR="00A329A5" w:rsidRDefault="00A329A5" w:rsidP="00EA7842">
      <w:pPr>
        <w:spacing w:after="0"/>
        <w:jc w:val="both"/>
      </w:pPr>
    </w:p>
    <w:p w14:paraId="65F54816" w14:textId="77777777" w:rsidR="00A329A5" w:rsidRDefault="00A329A5" w:rsidP="00EA7842">
      <w:pPr>
        <w:spacing w:after="0"/>
        <w:jc w:val="both"/>
      </w:pPr>
    </w:p>
    <w:p w14:paraId="0DDB5F38" w14:textId="77777777" w:rsidR="00A329A5" w:rsidRDefault="00000000" w:rsidP="00EA7842">
      <w:pPr>
        <w:spacing w:after="120"/>
        <w:jc w:val="both"/>
      </w:pPr>
      <w:r>
        <w:rPr>
          <w:rFonts w:cs="Times New Roman"/>
          <w:b/>
          <w:color w:val="000000"/>
          <w:sz w:val="40"/>
        </w:rPr>
        <w:t>From Factor Signals to Investable Strategies</w:t>
      </w:r>
    </w:p>
    <w:p w14:paraId="33E0A383" w14:textId="77777777" w:rsidR="00A329A5" w:rsidRDefault="00000000" w:rsidP="00EA7842">
      <w:pPr>
        <w:spacing w:after="600"/>
        <w:jc w:val="both"/>
      </w:pPr>
      <w:r>
        <w:rPr>
          <w:rFonts w:cs="Times New Roman"/>
          <w:color w:val="000000"/>
          <w:sz w:val="28"/>
        </w:rPr>
        <w:t>A Machine-Learning Stock-Selection Pilot in US Large Caps</w:t>
      </w:r>
    </w:p>
    <w:p w14:paraId="4BEDACF5" w14:textId="77777777" w:rsidR="00A329A5" w:rsidRDefault="00000000" w:rsidP="00EA7842">
      <w:pPr>
        <w:spacing w:after="80"/>
        <w:jc w:val="both"/>
      </w:pPr>
      <w:r>
        <w:rPr>
          <w:rFonts w:cs="Times New Roman"/>
          <w:color w:val="000000"/>
          <w:sz w:val="24"/>
        </w:rPr>
        <w:t>BMF5360 Machine Learning in Investments</w:t>
      </w:r>
    </w:p>
    <w:p w14:paraId="78112112" w14:textId="77777777" w:rsidR="00A329A5" w:rsidRDefault="00000000" w:rsidP="00EA7842">
      <w:pPr>
        <w:spacing w:after="600"/>
        <w:jc w:val="both"/>
      </w:pPr>
      <w:r>
        <w:rPr>
          <w:rFonts w:cs="Times New Roman"/>
          <w:color w:val="000000"/>
          <w:sz w:val="24"/>
        </w:rPr>
        <w:t>Midterm Report</w:t>
      </w:r>
    </w:p>
    <w:p w14:paraId="442EA939" w14:textId="4FE82AB0" w:rsidR="00A329A5" w:rsidRPr="00BE33DC" w:rsidRDefault="00000000" w:rsidP="00EA7842">
      <w:pPr>
        <w:spacing w:after="80"/>
        <w:jc w:val="both"/>
        <w:rPr>
          <w:rFonts w:eastAsia="宋体" w:hint="eastAsia"/>
          <w:lang w:eastAsia="zh-CN"/>
        </w:rPr>
      </w:pPr>
      <w:r>
        <w:rPr>
          <w:rFonts w:cs="Times New Roman"/>
          <w:color w:val="000000"/>
          <w:sz w:val="24"/>
        </w:rPr>
        <w:t>Group #</w:t>
      </w:r>
      <w:r w:rsidR="00BE33DC">
        <w:rPr>
          <w:rFonts w:eastAsia="宋体" w:cs="Times New Roman" w:hint="eastAsia"/>
          <w:color w:val="000000"/>
          <w:sz w:val="24"/>
          <w:lang w:eastAsia="zh-CN"/>
        </w:rPr>
        <w:t>03</w:t>
      </w:r>
    </w:p>
    <w:p w14:paraId="4D1EC8F2" w14:textId="339F0D18" w:rsidR="00A329A5" w:rsidRPr="00BE33DC" w:rsidRDefault="00BE33DC" w:rsidP="00EA7842">
      <w:pPr>
        <w:spacing w:after="600"/>
        <w:jc w:val="both"/>
        <w:rPr>
          <w:rFonts w:eastAsia="宋体" w:hint="eastAsia"/>
          <w:lang w:eastAsia="zh-CN"/>
        </w:rPr>
      </w:pPr>
      <w:r>
        <w:rPr>
          <w:rFonts w:eastAsia="宋体" w:cs="Times New Roman" w:hint="eastAsia"/>
          <w:color w:val="000000"/>
          <w:lang w:eastAsia="zh-CN"/>
        </w:rPr>
        <w:t>Zhou Yuxuan E1546754</w:t>
      </w:r>
    </w:p>
    <w:p w14:paraId="470DD8AC" w14:textId="77777777" w:rsidR="00A329A5" w:rsidRDefault="00A329A5" w:rsidP="00EA7842">
      <w:pPr>
        <w:spacing w:after="0"/>
        <w:jc w:val="both"/>
      </w:pPr>
    </w:p>
    <w:p w14:paraId="793E09B6" w14:textId="77777777" w:rsidR="00A329A5" w:rsidRDefault="00A329A5" w:rsidP="00EA7842">
      <w:pPr>
        <w:spacing w:after="0"/>
        <w:jc w:val="both"/>
      </w:pPr>
    </w:p>
    <w:p w14:paraId="5C07730B" w14:textId="77777777" w:rsidR="00A329A5" w:rsidRDefault="00A329A5" w:rsidP="00EA7842">
      <w:pPr>
        <w:spacing w:after="0"/>
        <w:jc w:val="both"/>
      </w:pPr>
    </w:p>
    <w:p w14:paraId="24D54470" w14:textId="77777777" w:rsidR="00A329A5" w:rsidRDefault="00A329A5" w:rsidP="00EA7842">
      <w:pPr>
        <w:spacing w:after="0"/>
        <w:jc w:val="both"/>
      </w:pPr>
    </w:p>
    <w:p w14:paraId="24AF558E" w14:textId="77777777" w:rsidR="00A329A5" w:rsidRDefault="00A329A5" w:rsidP="00EA7842">
      <w:pPr>
        <w:spacing w:after="0"/>
        <w:jc w:val="both"/>
      </w:pPr>
    </w:p>
    <w:p w14:paraId="7571EC65" w14:textId="77777777" w:rsidR="00A329A5" w:rsidRDefault="00A329A5" w:rsidP="00EA7842">
      <w:pPr>
        <w:spacing w:after="0"/>
        <w:jc w:val="both"/>
      </w:pPr>
    </w:p>
    <w:p w14:paraId="2E86C74B" w14:textId="77777777" w:rsidR="00A329A5" w:rsidRDefault="00A329A5" w:rsidP="00EA7842">
      <w:pPr>
        <w:spacing w:after="0"/>
        <w:jc w:val="both"/>
      </w:pPr>
    </w:p>
    <w:p w14:paraId="0398519B" w14:textId="77777777" w:rsidR="00A329A5" w:rsidRDefault="00A329A5" w:rsidP="00EA7842">
      <w:pPr>
        <w:spacing w:after="0"/>
        <w:jc w:val="both"/>
      </w:pPr>
    </w:p>
    <w:p w14:paraId="057F541F" w14:textId="77777777" w:rsidR="00A329A5" w:rsidRDefault="00A329A5" w:rsidP="00EA7842">
      <w:pPr>
        <w:spacing w:after="0"/>
        <w:jc w:val="both"/>
      </w:pPr>
    </w:p>
    <w:p w14:paraId="00CACE35" w14:textId="77777777" w:rsidR="00A329A5" w:rsidRDefault="00A329A5" w:rsidP="00EA7842">
      <w:pPr>
        <w:spacing w:after="0"/>
        <w:jc w:val="both"/>
      </w:pPr>
    </w:p>
    <w:p w14:paraId="7F55696B" w14:textId="77777777" w:rsidR="00A329A5" w:rsidRDefault="00000000" w:rsidP="00EA7842">
      <w:pPr>
        <w:spacing w:after="0"/>
        <w:jc w:val="both"/>
      </w:pPr>
      <w:r>
        <w:rPr>
          <w:rFonts w:cs="Times New Roman"/>
          <w:color w:val="000000"/>
          <w:sz w:val="20"/>
        </w:rPr>
        <w:t>AI tool declaration. We used OpenAI Codex and Claude Code to draft data-collection and modelling scripts, run audits, and improve the clarity of this report. All design decisions, data-processing approvals, and interpretations are our own, and we are responsible for the content and quality of the submitted work.</w:t>
      </w:r>
    </w:p>
    <w:p w14:paraId="0ABA277C" w14:textId="77777777" w:rsidR="00A329A5" w:rsidRDefault="00000000" w:rsidP="00EA7842">
      <w:pPr>
        <w:jc w:val="both"/>
      </w:pPr>
      <w:r>
        <w:br w:type="page"/>
      </w:r>
    </w:p>
    <w:p w14:paraId="22897792" w14:textId="77777777" w:rsidR="00A329A5" w:rsidRDefault="00000000" w:rsidP="00EA7842">
      <w:pPr>
        <w:pStyle w:val="1"/>
        <w:spacing w:before="160" w:after="60"/>
        <w:jc w:val="both"/>
      </w:pPr>
      <w:r>
        <w:rPr>
          <w:rFonts w:ascii="Times New Roman" w:eastAsia="Times New Roman" w:hAnsi="Times New Roman" w:cs="Times New Roman"/>
          <w:color w:val="000000"/>
          <w:sz w:val="24"/>
        </w:rPr>
        <w:lastRenderedPageBreak/>
        <w:t>1. Project idea</w:t>
      </w:r>
    </w:p>
    <w:p w14:paraId="0EBCE65F" w14:textId="77777777" w:rsidR="00A329A5" w:rsidRDefault="00000000" w:rsidP="00EA7842">
      <w:pPr>
        <w:pStyle w:val="21"/>
        <w:spacing w:before="80" w:after="60"/>
        <w:jc w:val="both"/>
      </w:pPr>
      <w:r>
        <w:rPr>
          <w:rFonts w:ascii="Times New Roman" w:eastAsia="Times New Roman" w:hAnsi="Times New Roman" w:cs="Times New Roman"/>
          <w:color w:val="000000"/>
          <w:sz w:val="22"/>
        </w:rPr>
        <w:t>1.1 Motivation and strategy</w:t>
      </w:r>
    </w:p>
    <w:p w14:paraId="7FDE852D" w14:textId="77777777" w:rsidR="00A329A5" w:rsidRDefault="00000000" w:rsidP="00EA7842">
      <w:pPr>
        <w:spacing w:after="100"/>
        <w:jc w:val="both"/>
      </w:pPr>
      <w:r>
        <w:rPr>
          <w:rFonts w:cs="Times New Roman"/>
          <w:color w:val="000000"/>
        </w:rPr>
        <w:t>Predicting which stocks will outperform is a central problem in quantitative equity investing. Decades of evidence show that characteristics such as momentum, volatility, liquidity, and the state of a stock's industry carry information about future returns, but each signal is weak on its own, unstable across market regimes, and partly redundant with the others. Traditional factor models combine a handful of these signals with fixed linear weights; machine learning can combine many more of them and capture their interactions, and Gu, Kelly and Xiu (2020) report that tree and neural-network models raise out-of-sample predictive R² well above that of linear benchmarks on US stocks. The same flexibility makes it easy to fit noise, and a model that sees data unavailable at decision time will look excellent in a backtest and fail in trading. The value of ML in investing therefore depends as much on the evaluation protocol as on the model, and that protocol is what this project sets out to build and test.</w:t>
      </w:r>
    </w:p>
    <w:p w14:paraId="2809707A" w14:textId="0D2CC786" w:rsidR="00EA7842" w:rsidRPr="00EA7842" w:rsidRDefault="00000000" w:rsidP="00EA7842">
      <w:pPr>
        <w:spacing w:after="100"/>
        <w:jc w:val="both"/>
        <w:rPr>
          <w:rFonts w:eastAsia="宋体" w:cs="Times New Roman" w:hint="eastAsia"/>
          <w:color w:val="000000"/>
          <w:lang w:eastAsia="zh-CN"/>
        </w:rPr>
      </w:pPr>
      <w:r>
        <w:rPr>
          <w:rFonts w:cs="Times New Roman"/>
          <w:color w:val="000000"/>
        </w:rPr>
        <w:t xml:space="preserve">The strategy we are developing is a factor-based US large-cap equity fund. On a point-in-time S&amp;P 500 universe, it ranks stocks by their predicted probability of beating SPY over the next 21 trading sessions and converts the ranking into a beta-hedged portfolio under rules fixed before the backtest runs. The research approach is factor analysis. We construct candidate factors ourselves from daily prices and quotes, macro series, industry-level market data, earnings events, and company fundamentals, evaluate each factor family under one protocol, and let a supervised model combine them into a single prediction (Table 1). </w:t>
      </w:r>
    </w:p>
    <w:p w14:paraId="49B3F72C" w14:textId="77777777" w:rsidR="00A329A5" w:rsidRDefault="00000000" w:rsidP="00EA7842">
      <w:pPr>
        <w:keepNext/>
        <w:spacing w:before="80" w:after="40" w:line="240" w:lineRule="auto"/>
        <w:jc w:val="both"/>
        <w:rPr>
          <w:rFonts w:eastAsia="宋体" w:cs="Times New Roman"/>
          <w:b/>
          <w:color w:val="000000"/>
          <w:sz w:val="20"/>
          <w:lang w:eastAsia="zh-CN"/>
        </w:rPr>
      </w:pPr>
      <w:r>
        <w:rPr>
          <w:rFonts w:cs="Times New Roman"/>
          <w:b/>
          <w:color w:val="000000"/>
          <w:sz w:val="20"/>
        </w:rPr>
        <w:t>Table 1. Factor families in the research library</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2409"/>
        <w:gridCol w:w="5165"/>
      </w:tblGrid>
      <w:tr w:rsidR="00EA7842" w14:paraId="08437A0B" w14:textId="77777777" w:rsidTr="00EA7842">
        <w:tc>
          <w:tcPr>
            <w:tcW w:w="1668" w:type="dxa"/>
            <w:tcBorders>
              <w:top w:val="single" w:sz="12" w:space="0" w:color="000000"/>
              <w:bottom w:val="single" w:sz="6" w:space="0" w:color="000000"/>
            </w:tcBorders>
            <w:vAlign w:val="center"/>
          </w:tcPr>
          <w:p w14:paraId="4BCC7B81" w14:textId="2A878D9F" w:rsidR="00EA7842" w:rsidRDefault="00EA7842" w:rsidP="00EA7842">
            <w:pPr>
              <w:keepNext/>
              <w:spacing w:before="80" w:after="40" w:line="240" w:lineRule="auto"/>
              <w:jc w:val="both"/>
              <w:rPr>
                <w:rFonts w:eastAsia="宋体" w:hint="eastAsia"/>
                <w:lang w:eastAsia="zh-CN"/>
              </w:rPr>
            </w:pPr>
            <w:r>
              <w:rPr>
                <w:rFonts w:cs="Times New Roman"/>
                <w:b/>
                <w:color w:val="000000"/>
                <w:sz w:val="18"/>
              </w:rPr>
              <w:t>Family</w:t>
            </w:r>
          </w:p>
        </w:tc>
        <w:tc>
          <w:tcPr>
            <w:tcW w:w="2409" w:type="dxa"/>
            <w:tcBorders>
              <w:top w:val="single" w:sz="12" w:space="0" w:color="000000"/>
              <w:bottom w:val="single" w:sz="6" w:space="0" w:color="000000"/>
            </w:tcBorders>
            <w:vAlign w:val="center"/>
          </w:tcPr>
          <w:p w14:paraId="7EAADE99" w14:textId="2D50CFF9" w:rsidR="00EA7842" w:rsidRDefault="00EA7842" w:rsidP="00EA7842">
            <w:pPr>
              <w:keepNext/>
              <w:spacing w:before="80" w:after="40" w:line="240" w:lineRule="auto"/>
              <w:jc w:val="both"/>
              <w:rPr>
                <w:rFonts w:eastAsia="宋体" w:hint="eastAsia"/>
                <w:lang w:eastAsia="zh-CN"/>
              </w:rPr>
            </w:pPr>
            <w:r>
              <w:rPr>
                <w:rFonts w:cs="Times New Roman"/>
                <w:b/>
                <w:color w:val="000000"/>
                <w:sz w:val="18"/>
              </w:rPr>
              <w:t>Source</w:t>
            </w:r>
          </w:p>
        </w:tc>
        <w:tc>
          <w:tcPr>
            <w:tcW w:w="5165" w:type="dxa"/>
            <w:tcBorders>
              <w:top w:val="single" w:sz="12" w:space="0" w:color="000000"/>
              <w:bottom w:val="single" w:sz="6" w:space="0" w:color="000000"/>
            </w:tcBorders>
            <w:vAlign w:val="center"/>
          </w:tcPr>
          <w:p w14:paraId="7C2A9282" w14:textId="10475AAD" w:rsidR="00EA7842" w:rsidRDefault="00EA7842" w:rsidP="00EA7842">
            <w:pPr>
              <w:keepNext/>
              <w:spacing w:before="80" w:after="40" w:line="240" w:lineRule="auto"/>
              <w:jc w:val="both"/>
              <w:rPr>
                <w:rFonts w:eastAsia="宋体" w:hint="eastAsia"/>
                <w:lang w:eastAsia="zh-CN"/>
              </w:rPr>
            </w:pPr>
            <w:r>
              <w:rPr>
                <w:rFonts w:cs="Times New Roman"/>
                <w:b/>
                <w:color w:val="000000"/>
                <w:sz w:val="18"/>
              </w:rPr>
              <w:t>Factors constructed (status)</w:t>
            </w:r>
          </w:p>
        </w:tc>
      </w:tr>
      <w:tr w:rsidR="00EA7842" w14:paraId="52AFEF9E" w14:textId="77777777" w:rsidTr="00EA7842">
        <w:tc>
          <w:tcPr>
            <w:tcW w:w="1668" w:type="dxa"/>
            <w:tcBorders>
              <w:top w:val="single" w:sz="6" w:space="0" w:color="000000"/>
            </w:tcBorders>
            <w:vAlign w:val="center"/>
          </w:tcPr>
          <w:p w14:paraId="1FADB25E" w14:textId="1C6E62CF" w:rsidR="00EA7842" w:rsidRDefault="00EA7842" w:rsidP="00EA7842">
            <w:pPr>
              <w:keepNext/>
              <w:spacing w:before="80" w:after="40" w:line="240" w:lineRule="auto"/>
              <w:jc w:val="both"/>
              <w:rPr>
                <w:rFonts w:eastAsia="宋体" w:hint="eastAsia"/>
                <w:lang w:eastAsia="zh-CN"/>
              </w:rPr>
            </w:pPr>
            <w:r>
              <w:rPr>
                <w:rFonts w:cs="Times New Roman"/>
                <w:color w:val="000000"/>
                <w:sz w:val="18"/>
              </w:rPr>
              <w:t>Market</w:t>
            </w:r>
          </w:p>
        </w:tc>
        <w:tc>
          <w:tcPr>
            <w:tcW w:w="2409" w:type="dxa"/>
            <w:tcBorders>
              <w:top w:val="single" w:sz="6" w:space="0" w:color="000000"/>
            </w:tcBorders>
            <w:vAlign w:val="center"/>
          </w:tcPr>
          <w:p w14:paraId="65A086BB" w14:textId="51D16F5F" w:rsidR="00EA7842" w:rsidRDefault="00EA7842" w:rsidP="00EA7842">
            <w:pPr>
              <w:keepNext/>
              <w:spacing w:before="80" w:after="40" w:line="240" w:lineRule="auto"/>
              <w:jc w:val="both"/>
              <w:rPr>
                <w:rFonts w:eastAsia="宋体" w:hint="eastAsia"/>
                <w:lang w:eastAsia="zh-CN"/>
              </w:rPr>
            </w:pPr>
            <w:r>
              <w:rPr>
                <w:rFonts w:cs="Times New Roman"/>
                <w:color w:val="000000"/>
                <w:sz w:val="18"/>
              </w:rPr>
              <w:t>Daily prices, volume, quotes</w:t>
            </w:r>
          </w:p>
        </w:tc>
        <w:tc>
          <w:tcPr>
            <w:tcW w:w="5165" w:type="dxa"/>
            <w:tcBorders>
              <w:top w:val="single" w:sz="6" w:space="0" w:color="000000"/>
            </w:tcBorders>
            <w:vAlign w:val="center"/>
          </w:tcPr>
          <w:p w14:paraId="5A5D91D1" w14:textId="6AAA76FC" w:rsidR="00EA7842" w:rsidRDefault="00EA7842" w:rsidP="00EA7842">
            <w:pPr>
              <w:keepNext/>
              <w:spacing w:before="80" w:after="40" w:line="240" w:lineRule="auto"/>
              <w:jc w:val="both"/>
              <w:rPr>
                <w:rFonts w:eastAsia="宋体" w:hint="eastAsia"/>
                <w:lang w:eastAsia="zh-CN"/>
              </w:rPr>
            </w:pPr>
            <w:r>
              <w:rPr>
                <w:rFonts w:cs="Times New Roman"/>
                <w:color w:val="000000"/>
                <w:sz w:val="18"/>
              </w:rPr>
              <w:t>Momentum over 1 to 60 sessions, realised and idiosyncratic volatility, beta, volume, dollar volume, quoted spread, SPY momentum and volatility (built; in the pilot model)</w:t>
            </w:r>
          </w:p>
        </w:tc>
      </w:tr>
      <w:tr w:rsidR="00EA7842" w14:paraId="223BBA42" w14:textId="77777777" w:rsidTr="00EA7842">
        <w:tc>
          <w:tcPr>
            <w:tcW w:w="1668" w:type="dxa"/>
            <w:vAlign w:val="center"/>
          </w:tcPr>
          <w:p w14:paraId="4288616E" w14:textId="28A39BD5" w:rsidR="00EA7842" w:rsidRDefault="00EA7842" w:rsidP="00EA7842">
            <w:pPr>
              <w:keepNext/>
              <w:spacing w:before="80" w:after="40" w:line="240" w:lineRule="auto"/>
              <w:jc w:val="both"/>
              <w:rPr>
                <w:rFonts w:eastAsia="宋体" w:hint="eastAsia"/>
                <w:lang w:eastAsia="zh-CN"/>
              </w:rPr>
            </w:pPr>
            <w:r>
              <w:rPr>
                <w:rFonts w:cs="Times New Roman"/>
                <w:color w:val="000000"/>
                <w:sz w:val="18"/>
              </w:rPr>
              <w:t>Macro state</w:t>
            </w:r>
          </w:p>
        </w:tc>
        <w:tc>
          <w:tcPr>
            <w:tcW w:w="2409" w:type="dxa"/>
            <w:vAlign w:val="center"/>
          </w:tcPr>
          <w:p w14:paraId="050E9B6C" w14:textId="279DFEA4" w:rsidR="00EA7842" w:rsidRDefault="00EA7842" w:rsidP="00EA7842">
            <w:pPr>
              <w:keepNext/>
              <w:spacing w:before="80" w:after="40" w:line="240" w:lineRule="auto"/>
              <w:jc w:val="both"/>
              <w:rPr>
                <w:rFonts w:eastAsia="宋体" w:hint="eastAsia"/>
                <w:lang w:eastAsia="zh-CN"/>
              </w:rPr>
            </w:pPr>
            <w:r>
              <w:rPr>
                <w:rFonts w:cs="Times New Roman"/>
                <w:color w:val="000000"/>
                <w:sz w:val="18"/>
              </w:rPr>
              <w:t>FRED daily series</w:t>
            </w:r>
          </w:p>
        </w:tc>
        <w:tc>
          <w:tcPr>
            <w:tcW w:w="5165" w:type="dxa"/>
            <w:vAlign w:val="center"/>
          </w:tcPr>
          <w:p w14:paraId="1C6D2546" w14:textId="733E9F42" w:rsidR="00EA7842" w:rsidRDefault="00EA7842" w:rsidP="00EA7842">
            <w:pPr>
              <w:keepNext/>
              <w:spacing w:before="80" w:after="40" w:line="240" w:lineRule="auto"/>
              <w:jc w:val="both"/>
              <w:rPr>
                <w:rFonts w:eastAsia="宋体" w:hint="eastAsia"/>
                <w:lang w:eastAsia="zh-CN"/>
              </w:rPr>
            </w:pPr>
            <w:r>
              <w:rPr>
                <w:rFonts w:cs="Times New Roman"/>
                <w:color w:val="000000"/>
                <w:sz w:val="18"/>
              </w:rPr>
              <w:t>VIX level, changes and percentile; 3-month, 2-year, 10-year yields and changes; broad dollar; term spreads (built; in the pilot model)</w:t>
            </w:r>
          </w:p>
        </w:tc>
      </w:tr>
      <w:tr w:rsidR="00EA7842" w14:paraId="6C594006" w14:textId="77777777" w:rsidTr="00EA7842">
        <w:tc>
          <w:tcPr>
            <w:tcW w:w="1668" w:type="dxa"/>
            <w:vAlign w:val="center"/>
          </w:tcPr>
          <w:p w14:paraId="686548EC" w14:textId="4470A455" w:rsidR="00EA7842" w:rsidRDefault="00EA7842" w:rsidP="00EA7842">
            <w:pPr>
              <w:keepNext/>
              <w:spacing w:before="80" w:after="40" w:line="240" w:lineRule="auto"/>
              <w:jc w:val="both"/>
              <w:rPr>
                <w:rFonts w:eastAsia="宋体" w:hint="eastAsia"/>
                <w:lang w:eastAsia="zh-CN"/>
              </w:rPr>
            </w:pPr>
            <w:r>
              <w:rPr>
                <w:rFonts w:cs="Times New Roman"/>
                <w:color w:val="000000"/>
                <w:sz w:val="18"/>
              </w:rPr>
              <w:t>Industry state</w:t>
            </w:r>
          </w:p>
        </w:tc>
        <w:tc>
          <w:tcPr>
            <w:tcW w:w="2409" w:type="dxa"/>
            <w:vAlign w:val="center"/>
          </w:tcPr>
          <w:p w14:paraId="10AB6280" w14:textId="305D2660" w:rsidR="00EA7842" w:rsidRDefault="00EA7842" w:rsidP="00EA7842">
            <w:pPr>
              <w:keepNext/>
              <w:spacing w:before="80" w:after="40" w:line="240" w:lineRule="auto"/>
              <w:jc w:val="both"/>
              <w:rPr>
                <w:rFonts w:eastAsia="宋体" w:hint="eastAsia"/>
                <w:lang w:eastAsia="zh-CN"/>
              </w:rPr>
            </w:pPr>
            <w:r>
              <w:rPr>
                <w:rFonts w:cs="Times New Roman"/>
                <w:color w:val="000000"/>
                <w:sz w:val="18"/>
              </w:rPr>
              <w:t>Sector ETFs, pilot pool</w:t>
            </w:r>
          </w:p>
        </w:tc>
        <w:tc>
          <w:tcPr>
            <w:tcW w:w="5165" w:type="dxa"/>
            <w:vAlign w:val="center"/>
          </w:tcPr>
          <w:p w14:paraId="19EE7708" w14:textId="0095EE05" w:rsidR="00EA7842" w:rsidRDefault="00EA7842" w:rsidP="00EA7842">
            <w:pPr>
              <w:keepNext/>
              <w:spacing w:before="80" w:after="40" w:line="240" w:lineRule="auto"/>
              <w:jc w:val="both"/>
              <w:rPr>
                <w:rFonts w:eastAsia="宋体" w:hint="eastAsia"/>
                <w:lang w:eastAsia="zh-CN"/>
              </w:rPr>
            </w:pPr>
            <w:r>
              <w:rPr>
                <w:rFonts w:cs="Times New Roman"/>
                <w:color w:val="000000"/>
                <w:sz w:val="18"/>
              </w:rPr>
              <w:t>SOXX and XLK momentum, volatility, drawdown and return relative to SPY; pool breadth, dispersion, equal-weight return (built; in the pilot model)</w:t>
            </w:r>
          </w:p>
        </w:tc>
      </w:tr>
      <w:tr w:rsidR="00EA7842" w14:paraId="04057D85" w14:textId="77777777" w:rsidTr="00EA7842">
        <w:tc>
          <w:tcPr>
            <w:tcW w:w="1668" w:type="dxa"/>
            <w:vAlign w:val="center"/>
          </w:tcPr>
          <w:p w14:paraId="36FA2961" w14:textId="12D8F1B0" w:rsidR="00EA7842" w:rsidRDefault="00EA7842" w:rsidP="00EA7842">
            <w:pPr>
              <w:keepNext/>
              <w:spacing w:before="80" w:after="40" w:line="240" w:lineRule="auto"/>
              <w:jc w:val="both"/>
              <w:rPr>
                <w:rFonts w:eastAsia="宋体" w:hint="eastAsia"/>
                <w:lang w:eastAsia="zh-CN"/>
              </w:rPr>
            </w:pPr>
            <w:r>
              <w:rPr>
                <w:rFonts w:cs="Times New Roman"/>
                <w:color w:val="000000"/>
                <w:sz w:val="18"/>
              </w:rPr>
              <w:t>Event</w:t>
            </w:r>
          </w:p>
        </w:tc>
        <w:tc>
          <w:tcPr>
            <w:tcW w:w="2409" w:type="dxa"/>
            <w:vAlign w:val="center"/>
          </w:tcPr>
          <w:p w14:paraId="36124A2D" w14:textId="505E0363" w:rsidR="00EA7842" w:rsidRDefault="00EA7842" w:rsidP="00EA7842">
            <w:pPr>
              <w:keepNext/>
              <w:spacing w:before="80" w:after="40" w:line="240" w:lineRule="auto"/>
              <w:jc w:val="both"/>
              <w:rPr>
                <w:rFonts w:eastAsia="宋体" w:hint="eastAsia"/>
                <w:lang w:eastAsia="zh-CN"/>
              </w:rPr>
            </w:pPr>
            <w:r>
              <w:rPr>
                <w:rFonts w:eastAsia="宋体" w:cs="Times New Roman" w:hint="eastAsia"/>
                <w:color w:val="000000"/>
                <w:sz w:val="18"/>
                <w:lang w:eastAsia="zh-CN"/>
              </w:rPr>
              <w:t>E</w:t>
            </w:r>
            <w:r>
              <w:rPr>
                <w:rFonts w:cs="Times New Roman"/>
                <w:color w:val="000000"/>
                <w:sz w:val="18"/>
              </w:rPr>
              <w:t>arnings announcements, consensus snapshots</w:t>
            </w:r>
          </w:p>
        </w:tc>
        <w:tc>
          <w:tcPr>
            <w:tcW w:w="5165" w:type="dxa"/>
            <w:vAlign w:val="center"/>
          </w:tcPr>
          <w:p w14:paraId="76B47550" w14:textId="0B237705" w:rsidR="00EA7842" w:rsidRDefault="00EA7842" w:rsidP="00EA7842">
            <w:pPr>
              <w:keepNext/>
              <w:spacing w:before="80" w:after="40" w:line="240" w:lineRule="auto"/>
              <w:jc w:val="both"/>
              <w:rPr>
                <w:rFonts w:eastAsia="宋体" w:hint="eastAsia"/>
                <w:lang w:eastAsia="zh-CN"/>
              </w:rPr>
            </w:pPr>
            <w:r>
              <w:rPr>
                <w:rFonts w:cs="Times New Roman"/>
                <w:color w:val="000000"/>
                <w:sz w:val="18"/>
              </w:rPr>
              <w:t>Standardised surprise against the last pre-announcement consensus, sign and size, announcement timing, transfer to linked companies (built on an event panel; transfer tested; surprise to join the stock-level set)</w:t>
            </w:r>
          </w:p>
        </w:tc>
      </w:tr>
      <w:tr w:rsidR="00EA7842" w14:paraId="2A21A6BA" w14:textId="77777777" w:rsidTr="00EA7842">
        <w:tc>
          <w:tcPr>
            <w:tcW w:w="1668" w:type="dxa"/>
            <w:tcBorders>
              <w:bottom w:val="single" w:sz="12" w:space="0" w:color="000000"/>
            </w:tcBorders>
            <w:vAlign w:val="center"/>
          </w:tcPr>
          <w:p w14:paraId="61AD09BE" w14:textId="6A99B4EC" w:rsidR="00EA7842" w:rsidRDefault="00EA7842" w:rsidP="00EA7842">
            <w:pPr>
              <w:keepNext/>
              <w:spacing w:before="80" w:after="40" w:line="240" w:lineRule="auto"/>
              <w:jc w:val="both"/>
              <w:rPr>
                <w:rFonts w:eastAsia="宋体" w:hint="eastAsia"/>
                <w:lang w:eastAsia="zh-CN"/>
              </w:rPr>
            </w:pPr>
            <w:r>
              <w:rPr>
                <w:rFonts w:cs="Times New Roman"/>
                <w:color w:val="000000"/>
                <w:sz w:val="18"/>
              </w:rPr>
              <w:t>Fundamental</w:t>
            </w:r>
          </w:p>
        </w:tc>
        <w:tc>
          <w:tcPr>
            <w:tcW w:w="2409" w:type="dxa"/>
            <w:tcBorders>
              <w:bottom w:val="single" w:sz="12" w:space="0" w:color="000000"/>
            </w:tcBorders>
            <w:vAlign w:val="center"/>
          </w:tcPr>
          <w:p w14:paraId="465BA13A" w14:textId="25BEA979" w:rsidR="00EA7842" w:rsidRDefault="00EA7842" w:rsidP="00EA7842">
            <w:pPr>
              <w:keepNext/>
              <w:spacing w:before="80" w:after="40" w:line="240" w:lineRule="auto"/>
              <w:jc w:val="both"/>
              <w:rPr>
                <w:rFonts w:eastAsia="宋体" w:hint="eastAsia"/>
                <w:lang w:eastAsia="zh-CN"/>
              </w:rPr>
            </w:pPr>
            <w:r>
              <w:rPr>
                <w:rFonts w:cs="Times New Roman"/>
                <w:color w:val="000000"/>
                <w:sz w:val="18"/>
              </w:rPr>
              <w:t>Original-filing segment revenue, R&amp;D, balance sheet</w:t>
            </w:r>
          </w:p>
        </w:tc>
        <w:tc>
          <w:tcPr>
            <w:tcW w:w="5165" w:type="dxa"/>
            <w:tcBorders>
              <w:bottom w:val="single" w:sz="12" w:space="0" w:color="000000"/>
            </w:tcBorders>
            <w:vAlign w:val="center"/>
          </w:tcPr>
          <w:p w14:paraId="44451ACB" w14:textId="1E786020" w:rsidR="00EA7842" w:rsidRDefault="00EA7842" w:rsidP="00EA7842">
            <w:pPr>
              <w:keepNext/>
              <w:spacing w:before="80" w:after="40" w:line="240" w:lineRule="auto"/>
              <w:jc w:val="both"/>
              <w:rPr>
                <w:rFonts w:eastAsia="宋体" w:hint="eastAsia"/>
                <w:lang w:eastAsia="zh-CN"/>
              </w:rPr>
            </w:pPr>
            <w:r>
              <w:rPr>
                <w:rFonts w:cs="Times New Roman"/>
                <w:color w:val="000000"/>
                <w:sz w:val="18"/>
              </w:rPr>
              <w:t>R&amp;D intensity, segment-revenue shares, size, value, profitability, investment, leverage (fields probed; cleaning in progress)</w:t>
            </w:r>
          </w:p>
        </w:tc>
      </w:tr>
    </w:tbl>
    <w:p w14:paraId="44A6BAEA" w14:textId="77777777" w:rsidR="00A329A5" w:rsidRPr="00EA7842" w:rsidRDefault="00A329A5" w:rsidP="00EA7842">
      <w:pPr>
        <w:spacing w:after="40" w:line="240" w:lineRule="auto"/>
        <w:jc w:val="both"/>
        <w:rPr>
          <w:rFonts w:eastAsia="宋体" w:hint="eastAsia"/>
          <w:lang w:eastAsia="zh-CN"/>
        </w:rPr>
      </w:pPr>
    </w:p>
    <w:p w14:paraId="4B5D71AF" w14:textId="77777777" w:rsidR="00A329A5" w:rsidRDefault="00000000" w:rsidP="00EA7842">
      <w:pPr>
        <w:pStyle w:val="21"/>
        <w:spacing w:before="80" w:after="60"/>
        <w:jc w:val="both"/>
      </w:pPr>
      <w:r>
        <w:rPr>
          <w:rFonts w:ascii="Times New Roman" w:eastAsia="Times New Roman" w:hAnsi="Times New Roman" w:cs="Times New Roman"/>
          <w:color w:val="000000"/>
          <w:sz w:val="22"/>
        </w:rPr>
        <w:t>1.2 Why machine learning, and how the pilot was chosen</w:t>
      </w:r>
    </w:p>
    <w:p w14:paraId="5ADF15C6" w14:textId="77777777" w:rsidR="00A329A5" w:rsidRDefault="00000000" w:rsidP="00EA7842">
      <w:pPr>
        <w:spacing w:after="100"/>
        <w:jc w:val="both"/>
      </w:pPr>
      <w:r>
        <w:rPr>
          <w:rFonts w:cs="Times New Roman"/>
          <w:color w:val="000000"/>
        </w:rPr>
        <w:t>Predicting whether a stock beats SPY over 21 sessions is a supervised classification problem, and a model can weigh dozens of factors jointly under a fixed protocol. Logistic Regression is the transparent benchmark because its coefficients can be reviewed and it tests whether a more flexible model adds anything; Random Forest is the matched non-linear comparison. The ML contribution is measured as a pre-specified improvement over the simpler model with dependence-aware uncertainty, never as the best number found by searching the validation set.</w:t>
      </w:r>
    </w:p>
    <w:p w14:paraId="3B53268B" w14:textId="77777777" w:rsidR="00A329A5" w:rsidRDefault="00000000" w:rsidP="00EA7842">
      <w:pPr>
        <w:spacing w:after="100"/>
        <w:jc w:val="both"/>
      </w:pPr>
      <w:r>
        <w:rPr>
          <w:rFonts w:cs="Times New Roman"/>
          <w:color w:val="000000"/>
        </w:rPr>
        <w:t xml:space="preserve">We screened ten candidate strategies against LSEG Workspace data access on 7 September 2026, from asset allocation and post-earnings drift to FX carry and the volatility risk premium, and pursued the two that passed the data gate with the fewest open questions. We first built an earnings-event </w:t>
      </w:r>
      <w:r>
        <w:rPr>
          <w:rFonts w:cs="Times New Roman"/>
          <w:color w:val="000000"/>
        </w:rPr>
        <w:lastRenderedPageBreak/>
        <w:t>panel on the full S&amp;P 500 to test whether one company's earnings surprise predicts the returns of linked companies; in validation, the receiver's own market factors carried the signal and the transfer factors added 0.001 to the within-event rank correlation, so surprise was returned to the factor library as a candidate and the transfer channel was set aside. We then built the stock-level pipeline that this report presents, and ran it first on a 49-company thematic universe, the US AI supply chain, where a small pool lets every stage be audited before scaling to the full universe. Figure 1 summarises that pipeline.</w:t>
      </w:r>
    </w:p>
    <w:p w14:paraId="7FFA859F" w14:textId="77777777" w:rsidR="00A329A5" w:rsidRDefault="00000000" w:rsidP="00BE33DC">
      <w:pPr>
        <w:keepNext/>
        <w:spacing w:before="80" w:after="40"/>
        <w:jc w:val="center"/>
      </w:pPr>
      <w:r>
        <w:rPr>
          <w:noProof/>
        </w:rPr>
        <w:drawing>
          <wp:inline distT="0" distB="0" distL="0" distR="0" wp14:anchorId="6E2B606D" wp14:editId="6FDC1E15">
            <wp:extent cx="5729125" cy="173973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6"/>
                    <a:stretch>
                      <a:fillRect/>
                    </a:stretch>
                  </pic:blipFill>
                  <pic:spPr>
                    <a:xfrm>
                      <a:off x="0" y="0"/>
                      <a:ext cx="5743177" cy="1744002"/>
                    </a:xfrm>
                    <a:prstGeom prst="rect">
                      <a:avLst/>
                    </a:prstGeom>
                  </pic:spPr>
                </pic:pic>
              </a:graphicData>
            </a:graphic>
          </wp:inline>
        </w:drawing>
      </w:r>
    </w:p>
    <w:p w14:paraId="48E530E1" w14:textId="77777777" w:rsidR="00A329A5" w:rsidRDefault="00000000" w:rsidP="00EA7842">
      <w:pPr>
        <w:spacing w:after="160" w:line="252" w:lineRule="auto"/>
        <w:jc w:val="both"/>
      </w:pPr>
      <w:r>
        <w:rPr>
          <w:rFonts w:cs="Times New Roman"/>
          <w:color w:val="000000"/>
          <w:sz w:val="20"/>
        </w:rPr>
        <w:t>Figure 1. Research pipeline. Every stage uses only information dated before the decision session, and the test period stays sealed until the design is frozen.</w:t>
      </w:r>
    </w:p>
    <w:p w14:paraId="1B90F4FE" w14:textId="77777777" w:rsidR="00A329A5" w:rsidRDefault="00000000" w:rsidP="00EA7842">
      <w:pPr>
        <w:pStyle w:val="1"/>
        <w:spacing w:before="160" w:after="60"/>
        <w:jc w:val="both"/>
      </w:pPr>
      <w:r>
        <w:rPr>
          <w:rFonts w:ascii="Times New Roman" w:eastAsia="Times New Roman" w:hAnsi="Times New Roman" w:cs="Times New Roman"/>
          <w:color w:val="000000"/>
          <w:sz w:val="24"/>
        </w:rPr>
        <w:t>2. Data</w:t>
      </w:r>
    </w:p>
    <w:p w14:paraId="2313722B" w14:textId="77777777" w:rsidR="00A329A5" w:rsidRDefault="00000000" w:rsidP="00EA7842">
      <w:pPr>
        <w:pStyle w:val="21"/>
        <w:spacing w:before="80" w:after="60"/>
        <w:jc w:val="both"/>
      </w:pPr>
      <w:r>
        <w:rPr>
          <w:rFonts w:ascii="Times New Roman" w:eastAsia="Times New Roman" w:hAnsi="Times New Roman" w:cs="Times New Roman"/>
          <w:color w:val="000000"/>
          <w:sz w:val="22"/>
        </w:rPr>
        <w:t>2.1 Sources and point-in-time universe</w:t>
      </w:r>
    </w:p>
    <w:p w14:paraId="3C0F9072" w14:textId="77777777" w:rsidR="00A329A5" w:rsidRDefault="00000000" w:rsidP="00EA7842">
      <w:pPr>
        <w:spacing w:after="100"/>
        <w:jc w:val="both"/>
      </w:pPr>
      <w:r>
        <w:rPr>
          <w:rFonts w:cs="Times New Roman"/>
          <w:color w:val="000000"/>
        </w:rPr>
        <w:t>Every result in this report depends on whether the data reproduce what an investor could have known on the decision date, so we built the data layer before any model, on two rules. The universe must include companies that later left the index or were delisted, and every field must carry the date on which it became public. Market and company data come from LSEG Workspace. We rebuilt a point-in-time S&amp;P 500 universe of 781 RICs, including 154 delisted identifiers, by rolling the 7 September 2026 constituent list backwards through 751 index-change records, and the cleaned daily panel holds about 2.08 million company-day rows of adjusted prices, volume, and bid/ask quotes from 2015 to 2026. Macro series come from FRED, and SOXX and XLK prices describe the semiconductor and technology industry state.</w:t>
      </w:r>
    </w:p>
    <w:p w14:paraId="3C25416D" w14:textId="77777777" w:rsidR="00A329A5" w:rsidRDefault="00000000" w:rsidP="00EA7842">
      <w:pPr>
        <w:pStyle w:val="21"/>
        <w:spacing w:before="80" w:after="60"/>
        <w:jc w:val="both"/>
      </w:pPr>
      <w:r>
        <w:rPr>
          <w:rFonts w:ascii="Times New Roman" w:eastAsia="Times New Roman" w:hAnsi="Times New Roman" w:cs="Times New Roman"/>
          <w:color w:val="000000"/>
          <w:sz w:val="22"/>
        </w:rPr>
        <w:t>2.2 Pilot universe</w:t>
      </w:r>
    </w:p>
    <w:p w14:paraId="7C4BCE88" w14:textId="77777777" w:rsidR="00A329A5" w:rsidRDefault="00000000" w:rsidP="00EA7842">
      <w:pPr>
        <w:spacing w:after="100"/>
        <w:jc w:val="both"/>
      </w:pPr>
      <w:r>
        <w:rPr>
          <w:rFonts w:cs="Times New Roman"/>
          <w:color w:val="000000"/>
        </w:rPr>
        <w:t>The pilot pool holds 49 companies from the parent universe, assigned by economic role to seven supply-chain groups, from GPUs and accelerators, AI semiconductors, memory and storage, and servers and networking to cloud and software, data-centre power and cooling, and robotics and autonomy. Assignment used business-segment disclosures and company descriptions; historical returns, volatility, size, liquidity, and model output played no part, and delisting is not an exclusion (JNPR.N^G25 stays in the registry with its membership ending on 8 July 2025). Each company carries a membership span, an evidence source, and a delisting flag. Direct dated segment evidence is on file for nine companies, and the remaining 40 are documented from current disclosures pending the historical extension described in Section 5. The resulting stock-day panel holds 110,829 company-day observations.</w:t>
      </w:r>
    </w:p>
    <w:p w14:paraId="033F32BE" w14:textId="77777777" w:rsidR="00A329A5" w:rsidRDefault="00000000" w:rsidP="00EA7842">
      <w:pPr>
        <w:pStyle w:val="21"/>
        <w:spacing w:before="80" w:after="60"/>
        <w:jc w:val="both"/>
      </w:pPr>
      <w:r>
        <w:rPr>
          <w:rFonts w:ascii="Times New Roman" w:eastAsia="Times New Roman" w:hAnsi="Times New Roman" w:cs="Times New Roman"/>
          <w:color w:val="000000"/>
          <w:sz w:val="22"/>
        </w:rPr>
        <w:t>2.3 Factors and information boundary</w:t>
      </w:r>
    </w:p>
    <w:p w14:paraId="2A8A55E7" w14:textId="205B5098" w:rsidR="00A329A5" w:rsidRDefault="00000000" w:rsidP="00EA7842">
      <w:pPr>
        <w:spacing w:after="100"/>
        <w:jc w:val="both"/>
      </w:pPr>
      <w:r>
        <w:rPr>
          <w:rFonts w:cs="Times New Roman"/>
          <w:color w:val="000000"/>
        </w:rPr>
        <w:t xml:space="preserve">Every feature uses data available through session </w:t>
      </w:r>
      <w:r w:rsidR="00EA7842">
        <w:rPr>
          <w:rFonts w:eastAsia="宋体" w:cs="Times New Roman" w:hint="eastAsia"/>
          <w:color w:val="000000"/>
          <w:lang w:eastAsia="zh-CN"/>
        </w:rPr>
        <w:t>D</w:t>
      </w:r>
      <w:r>
        <w:rPr>
          <w:rFonts w:cs="Times New Roman"/>
          <w:color w:val="000000"/>
        </w:rPr>
        <w:t>-1</w:t>
      </w:r>
      <w:r w:rsidR="00EA7842">
        <w:rPr>
          <w:rFonts w:eastAsia="宋体" w:cs="Times New Roman" w:hint="eastAsia"/>
          <w:color w:val="000000"/>
          <w:lang w:eastAsia="zh-CN"/>
        </w:rPr>
        <w:t xml:space="preserve"> (</w:t>
      </w:r>
      <w:r>
        <w:rPr>
          <w:rFonts w:cs="Times New Roman"/>
          <w:color w:val="000000"/>
        </w:rPr>
        <w:t xml:space="preserve">one session before the formation date </w:t>
      </w:r>
      <w:r w:rsidR="00EA7842">
        <w:rPr>
          <w:rFonts w:eastAsia="宋体" w:cs="Times New Roman" w:hint="eastAsia"/>
          <w:color w:val="000000"/>
          <w:lang w:eastAsia="zh-CN"/>
        </w:rPr>
        <w:t>D)</w:t>
      </w:r>
      <w:r>
        <w:rPr>
          <w:rFonts w:cs="Times New Roman"/>
          <w:color w:val="000000"/>
        </w:rPr>
        <w:t>. The 21 market variables cover stock momentum over 1 to 60 sessions, 20- and 60-session volatility, 126-</w:t>
      </w:r>
      <w:r>
        <w:rPr>
          <w:rFonts w:cs="Times New Roman"/>
          <w:color w:val="000000"/>
        </w:rPr>
        <w:lastRenderedPageBreak/>
        <w:t>session beta and idiosyncratic volatility, 20- and 60-session medians of volume, dollar volume, and quoted spread, and SPY momentum and volatility. The 20 macro variables cover VIX, the 3-month, 2-year, and 10-year yields and their changes, the broad dollar index, and two term spreads, each aligned to the SPY calendar and lagged one session. The 21 industry-state variables are SOXX and XLK momentum, volatility, and drawdown; SOXX return relative to SPY; and pool breadth (the share of pool stocks rising or above their moving averages), dispersion, and equal-weight return. Variables with no coverage in the early training years (six credit spreads and 18 variables on ETFs launched after 2015) were excluded beforehand so that their missingness could not act as a calendar label.</w:t>
      </w:r>
    </w:p>
    <w:p w14:paraId="180E3F36" w14:textId="77777777" w:rsidR="00A329A5" w:rsidRDefault="00000000" w:rsidP="00EA7842">
      <w:pPr>
        <w:pStyle w:val="21"/>
        <w:spacing w:before="80" w:after="60"/>
        <w:jc w:val="both"/>
      </w:pPr>
      <w:r>
        <w:rPr>
          <w:rFonts w:ascii="Times New Roman" w:eastAsia="Times New Roman" w:hAnsi="Times New Roman" w:cs="Times New Roman"/>
          <w:color w:val="000000"/>
          <w:sz w:val="22"/>
        </w:rPr>
        <w:t>2.4 Target, split, and leakage controls</w:t>
      </w:r>
    </w:p>
    <w:p w14:paraId="1D7CAEC2" w14:textId="69E22256" w:rsidR="00A329A5" w:rsidRPr="00EA7842" w:rsidRDefault="00000000" w:rsidP="00EA7842">
      <w:pPr>
        <w:spacing w:after="100"/>
        <w:jc w:val="both"/>
        <w:rPr>
          <w:rFonts w:eastAsia="宋体" w:hint="eastAsia"/>
          <w:lang w:eastAsia="zh-CN"/>
        </w:rPr>
      </w:pPr>
      <w:r>
        <w:rPr>
          <w:rFonts w:cs="Times New Roman"/>
          <w:color w:val="000000"/>
        </w:rPr>
        <w:t>The target is y = 1 when the stock's 21-session total return from the close of F exceeds SPY's, and y = 0 otherwise. Training covers 2015-2020 with 2,334 non-overlapping anchors across 39 companies and 444 formation dates; validation covers 2021-2022 with 992 anchors, 44 companies, and 89 formation dates, of which 50.7% are positive. The test period, 1 January 2023 to 30 June 2026, is sealed; its labels have not been opened, predicted, or scored. Samples are never shuffled, and each company keeps at most one anchor per 21-session block so that labels do not overlap within a company. Hyperparameters are chosen only on expanding folds inside the training period, ending in 2018, 2019, and 2020, and every training row must exit before a fold's validation start, which gives a full 21-session purge.</w:t>
      </w:r>
    </w:p>
    <w:p w14:paraId="53490072" w14:textId="77777777" w:rsidR="00A329A5" w:rsidRDefault="00000000" w:rsidP="00EA7842">
      <w:pPr>
        <w:pStyle w:val="1"/>
        <w:spacing w:before="160" w:after="60"/>
        <w:jc w:val="both"/>
      </w:pPr>
      <w:r>
        <w:rPr>
          <w:rFonts w:ascii="Times New Roman" w:eastAsia="Times New Roman" w:hAnsi="Times New Roman" w:cs="Times New Roman"/>
          <w:color w:val="000000"/>
          <w:sz w:val="24"/>
        </w:rPr>
        <w:t>3. Baseline models</w:t>
      </w:r>
    </w:p>
    <w:p w14:paraId="32A3098E" w14:textId="77777777" w:rsidR="00A329A5" w:rsidRDefault="00000000" w:rsidP="00EA7842">
      <w:pPr>
        <w:spacing w:after="100"/>
        <w:jc w:val="both"/>
      </w:pPr>
      <w:r>
        <w:rPr>
          <w:rFonts w:cs="Times New Roman"/>
          <w:color w:val="000000"/>
        </w:rPr>
        <w:t>The baselines are deliberately simple. Their job is to set the bar that any later model must clear on the same sample. Both models run as fixed scikit-learn pipelines on the same anchors. Logistic Regression uses a training-fitted median imputer with missing indicators, a standard scaler, C = 1.0, balanced class weights, and the lbfgs solver. Random Forest uses 200 trees and an 18-point grid over depth, leaf size, and feature fraction, selected for each factor set by mean ROC-AUC across the three purged training folds, with Brier score as the tie-breaker. Four nested factor sets were registered before any validation score was read, namely market only (21 factors), market plus macro (41), market plus industry state (42), and all three (62), and the validation period was used once, for the final comparison of the eight resulting models. Metrics are ROC-AUC, PR-AUC, Brier score, accuracy at 0.50, and the rank information coefficient (IC) between predicted probability and realised excess return, pooled and by formation date.</w:t>
      </w:r>
    </w:p>
    <w:p w14:paraId="33B254E5" w14:textId="77777777" w:rsidR="00A329A5" w:rsidRDefault="00000000" w:rsidP="00EA7842">
      <w:pPr>
        <w:pStyle w:val="1"/>
        <w:spacing w:before="160" w:after="60"/>
        <w:jc w:val="both"/>
      </w:pPr>
      <w:r>
        <w:rPr>
          <w:rFonts w:ascii="Times New Roman" w:eastAsia="Times New Roman" w:hAnsi="Times New Roman" w:cs="Times New Roman"/>
          <w:color w:val="000000"/>
          <w:sz w:val="24"/>
        </w:rPr>
        <w:t>4. Preliminary results</w:t>
      </w:r>
    </w:p>
    <w:p w14:paraId="5B6F9388" w14:textId="77777777" w:rsidR="00A329A5" w:rsidRDefault="00000000" w:rsidP="00EA7842">
      <w:pPr>
        <w:spacing w:after="100"/>
        <w:jc w:val="both"/>
      </w:pPr>
      <w:r>
        <w:rPr>
          <w:rFonts w:cs="Times New Roman"/>
          <w:color w:val="000000"/>
        </w:rPr>
        <w:t>All results below are validation-period comparisons on frozen samples. They are evidence about the factors and the pipeline, not a performance claim for the fund.</w:t>
      </w:r>
    </w:p>
    <w:p w14:paraId="627BA70A" w14:textId="77777777" w:rsidR="00A329A5" w:rsidRDefault="00000000" w:rsidP="00EA7842">
      <w:pPr>
        <w:pStyle w:val="21"/>
        <w:spacing w:before="80" w:after="60"/>
        <w:jc w:val="both"/>
        <w:rPr>
          <w:rFonts w:ascii="Times New Roman" w:eastAsia="宋体" w:hAnsi="Times New Roman" w:cs="Times New Roman"/>
          <w:color w:val="000000"/>
          <w:sz w:val="22"/>
          <w:lang w:eastAsia="zh-CN"/>
        </w:rPr>
      </w:pPr>
      <w:r>
        <w:rPr>
          <w:rFonts w:ascii="Times New Roman" w:eastAsia="Times New Roman" w:hAnsi="Times New Roman" w:cs="Times New Roman"/>
          <w:color w:val="000000"/>
          <w:sz w:val="22"/>
        </w:rPr>
        <w:t>4.1 Classification</w:t>
      </w:r>
    </w:p>
    <w:p w14:paraId="1FA3A3B3" w14:textId="6A7B0B14" w:rsidR="00BE33DC" w:rsidRPr="00BE33DC" w:rsidRDefault="00BE33DC" w:rsidP="00BE33DC">
      <w:pPr>
        <w:spacing w:after="100"/>
        <w:jc w:val="both"/>
        <w:rPr>
          <w:rFonts w:eastAsia="宋体" w:hint="eastAsia"/>
          <w:lang w:eastAsia="zh-CN"/>
        </w:rPr>
      </w:pPr>
      <w:r>
        <w:rPr>
          <w:rFonts w:cs="Times New Roman"/>
          <w:color w:val="000000"/>
        </w:rPr>
        <w:t>The market-plus-industry-state Logistic model is the primary model. Its ROC-AUC of 0.5799 is 0.0405 above the market-only Logistic benchmark, and a paired bootstrap clustered by formation date (2,000 draws) gives a 95% interval of [0.0007, 0.0801] for that lift; the AUC is 0.5906 in 2021 and 0.6213 in 2022, so the direction holds in both years. It also leads on PR-AUC</w:t>
      </w:r>
      <w:r>
        <w:rPr>
          <w:rFonts w:eastAsia="宋体" w:cs="Times New Roman" w:hint="eastAsia"/>
          <w:color w:val="000000"/>
          <w:lang w:eastAsia="zh-CN"/>
        </w:rPr>
        <w:t xml:space="preserve"> and</w:t>
      </w:r>
      <w:r>
        <w:rPr>
          <w:rFonts w:cs="Times New Roman"/>
          <w:color w:val="000000"/>
        </w:rPr>
        <w:t xml:space="preserve"> Brier score</w:t>
      </w:r>
      <w:r>
        <w:rPr>
          <w:rFonts w:eastAsia="宋体" w:cs="Times New Roman" w:hint="eastAsia"/>
          <w:color w:val="000000"/>
          <w:lang w:eastAsia="zh-CN"/>
        </w:rPr>
        <w:t>.</w:t>
      </w:r>
      <w:r>
        <w:rPr>
          <w:rFonts w:cs="Times New Roman"/>
          <w:color w:val="000000"/>
        </w:rPr>
        <w:t xml:space="preserve"> The all-factor Logistic model has a slightly higher AUC but a worse Brier score (0.2700 against 0.2476), so its probabilities are less reliable. Random Forest is below Logistic in every factor set.</w:t>
      </w:r>
    </w:p>
    <w:p w14:paraId="3CC41448" w14:textId="3A3525C2" w:rsidR="00A329A5" w:rsidRDefault="00000000" w:rsidP="00EA7842">
      <w:pPr>
        <w:keepNext/>
        <w:spacing w:before="80" w:after="40" w:line="240" w:lineRule="auto"/>
        <w:jc w:val="both"/>
        <w:rPr>
          <w:rFonts w:eastAsia="宋体" w:cs="Times New Roman"/>
          <w:b/>
          <w:color w:val="000000"/>
          <w:sz w:val="20"/>
          <w:lang w:eastAsia="zh-CN"/>
        </w:rPr>
      </w:pPr>
      <w:r>
        <w:rPr>
          <w:rFonts w:cs="Times New Roman"/>
          <w:b/>
          <w:color w:val="000000"/>
          <w:sz w:val="20"/>
        </w:rPr>
        <w:lastRenderedPageBreak/>
        <w:t>Table 2. Validation results</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559"/>
        <w:gridCol w:w="1276"/>
        <w:gridCol w:w="1276"/>
        <w:gridCol w:w="1154"/>
        <w:gridCol w:w="1473"/>
      </w:tblGrid>
      <w:tr w:rsidR="00EA7842" w14:paraId="2E23091E" w14:textId="77777777" w:rsidTr="00EA7842">
        <w:trPr>
          <w:trHeight w:val="20"/>
        </w:trPr>
        <w:tc>
          <w:tcPr>
            <w:tcW w:w="2093" w:type="dxa"/>
            <w:tcBorders>
              <w:top w:val="single" w:sz="12" w:space="0" w:color="000000"/>
              <w:bottom w:val="single" w:sz="6" w:space="0" w:color="000000"/>
            </w:tcBorders>
            <w:vAlign w:val="center"/>
          </w:tcPr>
          <w:p w14:paraId="4E09FD25" w14:textId="248FDE70" w:rsidR="00EA7842" w:rsidRDefault="00EA7842" w:rsidP="00EA7842">
            <w:pPr>
              <w:keepNext/>
              <w:spacing w:before="80" w:after="40" w:line="240" w:lineRule="auto"/>
              <w:jc w:val="both"/>
              <w:rPr>
                <w:rFonts w:eastAsia="宋体" w:hint="eastAsia"/>
                <w:lang w:eastAsia="zh-CN"/>
              </w:rPr>
            </w:pPr>
            <w:r>
              <w:rPr>
                <w:rFonts w:cs="Times New Roman"/>
                <w:b/>
                <w:color w:val="000000"/>
                <w:sz w:val="18"/>
              </w:rPr>
              <w:t>Factor set</w:t>
            </w:r>
          </w:p>
        </w:tc>
        <w:tc>
          <w:tcPr>
            <w:tcW w:w="1559" w:type="dxa"/>
            <w:tcBorders>
              <w:top w:val="single" w:sz="12" w:space="0" w:color="000000"/>
              <w:bottom w:val="single" w:sz="6" w:space="0" w:color="000000"/>
            </w:tcBorders>
            <w:vAlign w:val="center"/>
          </w:tcPr>
          <w:p w14:paraId="70416428" w14:textId="3E553738" w:rsidR="00EA7842" w:rsidRDefault="00EA7842" w:rsidP="00EA7842">
            <w:pPr>
              <w:keepNext/>
              <w:spacing w:before="80" w:after="40" w:line="240" w:lineRule="auto"/>
              <w:jc w:val="both"/>
              <w:rPr>
                <w:rFonts w:eastAsia="宋体" w:hint="eastAsia"/>
                <w:lang w:eastAsia="zh-CN"/>
              </w:rPr>
            </w:pPr>
            <w:r>
              <w:rPr>
                <w:rFonts w:cs="Times New Roman"/>
                <w:b/>
                <w:color w:val="000000"/>
                <w:sz w:val="18"/>
              </w:rPr>
              <w:t>Model</w:t>
            </w:r>
          </w:p>
        </w:tc>
        <w:tc>
          <w:tcPr>
            <w:tcW w:w="1276" w:type="dxa"/>
            <w:tcBorders>
              <w:top w:val="single" w:sz="12" w:space="0" w:color="000000"/>
              <w:bottom w:val="single" w:sz="6" w:space="0" w:color="000000"/>
            </w:tcBorders>
            <w:vAlign w:val="center"/>
          </w:tcPr>
          <w:p w14:paraId="17AC4C11" w14:textId="66343296" w:rsidR="00EA7842" w:rsidRDefault="00EA7842" w:rsidP="00EA7842">
            <w:pPr>
              <w:keepNext/>
              <w:spacing w:before="80" w:after="40" w:line="240" w:lineRule="auto"/>
              <w:jc w:val="both"/>
              <w:rPr>
                <w:rFonts w:eastAsia="宋体" w:hint="eastAsia"/>
                <w:lang w:eastAsia="zh-CN"/>
              </w:rPr>
            </w:pPr>
            <w:r>
              <w:rPr>
                <w:rFonts w:cs="Times New Roman"/>
                <w:b/>
                <w:color w:val="000000"/>
                <w:sz w:val="18"/>
              </w:rPr>
              <w:t>ROC-AUC</w:t>
            </w:r>
          </w:p>
        </w:tc>
        <w:tc>
          <w:tcPr>
            <w:tcW w:w="1276" w:type="dxa"/>
            <w:tcBorders>
              <w:top w:val="single" w:sz="12" w:space="0" w:color="000000"/>
              <w:bottom w:val="single" w:sz="6" w:space="0" w:color="000000"/>
            </w:tcBorders>
            <w:vAlign w:val="center"/>
          </w:tcPr>
          <w:p w14:paraId="47EEF3A1" w14:textId="7B859D20" w:rsidR="00EA7842" w:rsidRDefault="00EA7842" w:rsidP="00EA7842">
            <w:pPr>
              <w:keepNext/>
              <w:spacing w:before="80" w:after="40" w:line="240" w:lineRule="auto"/>
              <w:jc w:val="both"/>
              <w:rPr>
                <w:rFonts w:eastAsia="宋体" w:hint="eastAsia"/>
                <w:lang w:eastAsia="zh-CN"/>
              </w:rPr>
            </w:pPr>
            <w:r>
              <w:rPr>
                <w:rFonts w:cs="Times New Roman"/>
                <w:b/>
                <w:color w:val="000000"/>
                <w:sz w:val="18"/>
              </w:rPr>
              <w:t>PR-AUC</w:t>
            </w:r>
          </w:p>
        </w:tc>
        <w:tc>
          <w:tcPr>
            <w:tcW w:w="1154" w:type="dxa"/>
            <w:tcBorders>
              <w:top w:val="single" w:sz="12" w:space="0" w:color="000000"/>
              <w:bottom w:val="single" w:sz="6" w:space="0" w:color="000000"/>
            </w:tcBorders>
            <w:vAlign w:val="center"/>
          </w:tcPr>
          <w:p w14:paraId="35053DF5" w14:textId="4FE9BF66" w:rsidR="00EA7842" w:rsidRDefault="00EA7842" w:rsidP="00EA7842">
            <w:pPr>
              <w:keepNext/>
              <w:spacing w:before="80" w:after="40" w:line="240" w:lineRule="auto"/>
              <w:jc w:val="both"/>
              <w:rPr>
                <w:rFonts w:eastAsia="宋体" w:hint="eastAsia"/>
                <w:lang w:eastAsia="zh-CN"/>
              </w:rPr>
            </w:pPr>
            <w:r>
              <w:rPr>
                <w:rFonts w:cs="Times New Roman"/>
                <w:b/>
                <w:color w:val="000000"/>
                <w:sz w:val="18"/>
              </w:rPr>
              <w:t>Brier</w:t>
            </w:r>
          </w:p>
        </w:tc>
        <w:tc>
          <w:tcPr>
            <w:tcW w:w="1473" w:type="dxa"/>
            <w:tcBorders>
              <w:top w:val="single" w:sz="12" w:space="0" w:color="000000"/>
              <w:bottom w:val="single" w:sz="6" w:space="0" w:color="000000"/>
            </w:tcBorders>
            <w:vAlign w:val="center"/>
          </w:tcPr>
          <w:p w14:paraId="2526AB02" w14:textId="55607FC0" w:rsidR="00EA7842" w:rsidRDefault="00EA7842" w:rsidP="00EA7842">
            <w:pPr>
              <w:keepNext/>
              <w:spacing w:before="80" w:after="40" w:line="240" w:lineRule="auto"/>
              <w:jc w:val="both"/>
              <w:rPr>
                <w:rFonts w:eastAsia="宋体" w:hint="eastAsia"/>
                <w:lang w:eastAsia="zh-CN"/>
              </w:rPr>
            </w:pPr>
            <w:r>
              <w:rPr>
                <w:rFonts w:cs="Times New Roman"/>
                <w:b/>
                <w:color w:val="000000"/>
                <w:sz w:val="18"/>
              </w:rPr>
              <w:t>Accuracy</w:t>
            </w:r>
          </w:p>
        </w:tc>
      </w:tr>
      <w:tr w:rsidR="00EA7842" w14:paraId="4A76B537" w14:textId="77777777" w:rsidTr="00EA7842">
        <w:trPr>
          <w:trHeight w:val="20"/>
        </w:trPr>
        <w:tc>
          <w:tcPr>
            <w:tcW w:w="2093" w:type="dxa"/>
            <w:tcBorders>
              <w:top w:val="single" w:sz="6" w:space="0" w:color="000000"/>
            </w:tcBorders>
            <w:vAlign w:val="center"/>
          </w:tcPr>
          <w:p w14:paraId="112194AD" w14:textId="72F81085" w:rsidR="00EA7842" w:rsidRDefault="00EA7842" w:rsidP="00EA7842">
            <w:pPr>
              <w:keepNext/>
              <w:spacing w:before="80" w:after="40" w:line="240" w:lineRule="auto"/>
              <w:jc w:val="both"/>
              <w:rPr>
                <w:rFonts w:eastAsia="宋体" w:hint="eastAsia"/>
                <w:lang w:eastAsia="zh-CN"/>
              </w:rPr>
            </w:pPr>
            <w:r>
              <w:rPr>
                <w:rFonts w:cs="Times New Roman"/>
                <w:color w:val="000000"/>
                <w:sz w:val="18"/>
              </w:rPr>
              <w:t>Market</w:t>
            </w:r>
          </w:p>
        </w:tc>
        <w:tc>
          <w:tcPr>
            <w:tcW w:w="1559" w:type="dxa"/>
            <w:tcBorders>
              <w:top w:val="single" w:sz="6" w:space="0" w:color="000000"/>
            </w:tcBorders>
            <w:vAlign w:val="center"/>
          </w:tcPr>
          <w:p w14:paraId="50515CFB" w14:textId="319EA545" w:rsidR="00EA7842" w:rsidRDefault="00EA7842" w:rsidP="00EA7842">
            <w:pPr>
              <w:keepNext/>
              <w:spacing w:before="80" w:after="40" w:line="240" w:lineRule="auto"/>
              <w:jc w:val="both"/>
              <w:rPr>
                <w:rFonts w:eastAsia="宋体" w:hint="eastAsia"/>
                <w:lang w:eastAsia="zh-CN"/>
              </w:rPr>
            </w:pPr>
            <w:r>
              <w:rPr>
                <w:rFonts w:cs="Times New Roman"/>
                <w:color w:val="000000"/>
                <w:sz w:val="18"/>
              </w:rPr>
              <w:t>Logistic</w:t>
            </w:r>
          </w:p>
        </w:tc>
        <w:tc>
          <w:tcPr>
            <w:tcW w:w="1276" w:type="dxa"/>
            <w:tcBorders>
              <w:top w:val="single" w:sz="6" w:space="0" w:color="000000"/>
            </w:tcBorders>
            <w:vAlign w:val="center"/>
          </w:tcPr>
          <w:p w14:paraId="5C68E27F" w14:textId="2E3711B9" w:rsidR="00EA7842" w:rsidRDefault="00EA7842" w:rsidP="00EA7842">
            <w:pPr>
              <w:keepNext/>
              <w:spacing w:before="80" w:after="40" w:line="240" w:lineRule="auto"/>
              <w:jc w:val="both"/>
              <w:rPr>
                <w:rFonts w:eastAsia="宋体" w:hint="eastAsia"/>
                <w:lang w:eastAsia="zh-CN"/>
              </w:rPr>
            </w:pPr>
            <w:r>
              <w:rPr>
                <w:rFonts w:cs="Times New Roman"/>
                <w:color w:val="000000"/>
                <w:sz w:val="18"/>
              </w:rPr>
              <w:t>0.5395</w:t>
            </w:r>
          </w:p>
        </w:tc>
        <w:tc>
          <w:tcPr>
            <w:tcW w:w="1276" w:type="dxa"/>
            <w:tcBorders>
              <w:top w:val="single" w:sz="6" w:space="0" w:color="000000"/>
            </w:tcBorders>
            <w:vAlign w:val="center"/>
          </w:tcPr>
          <w:p w14:paraId="3EC60FC2" w14:textId="11AFAEE4" w:rsidR="00EA7842" w:rsidRDefault="00EA7842" w:rsidP="00EA7842">
            <w:pPr>
              <w:keepNext/>
              <w:spacing w:before="80" w:after="40" w:line="240" w:lineRule="auto"/>
              <w:jc w:val="both"/>
              <w:rPr>
                <w:rFonts w:eastAsia="宋体" w:hint="eastAsia"/>
                <w:lang w:eastAsia="zh-CN"/>
              </w:rPr>
            </w:pPr>
            <w:r>
              <w:rPr>
                <w:rFonts w:cs="Times New Roman"/>
                <w:color w:val="000000"/>
                <w:sz w:val="18"/>
              </w:rPr>
              <w:t>0.5421</w:t>
            </w:r>
          </w:p>
        </w:tc>
        <w:tc>
          <w:tcPr>
            <w:tcW w:w="1154" w:type="dxa"/>
            <w:tcBorders>
              <w:top w:val="single" w:sz="6" w:space="0" w:color="000000"/>
            </w:tcBorders>
            <w:vAlign w:val="center"/>
          </w:tcPr>
          <w:p w14:paraId="4F575559" w14:textId="1BD51BA6" w:rsidR="00EA7842" w:rsidRDefault="00EA7842" w:rsidP="00EA7842">
            <w:pPr>
              <w:keepNext/>
              <w:spacing w:before="80" w:after="40" w:line="240" w:lineRule="auto"/>
              <w:jc w:val="both"/>
              <w:rPr>
                <w:rFonts w:eastAsia="宋体" w:hint="eastAsia"/>
                <w:lang w:eastAsia="zh-CN"/>
              </w:rPr>
            </w:pPr>
            <w:r>
              <w:rPr>
                <w:rFonts w:cs="Times New Roman"/>
                <w:color w:val="000000"/>
                <w:sz w:val="18"/>
              </w:rPr>
              <w:t>0.2511</w:t>
            </w:r>
          </w:p>
        </w:tc>
        <w:tc>
          <w:tcPr>
            <w:tcW w:w="1473" w:type="dxa"/>
            <w:tcBorders>
              <w:top w:val="single" w:sz="6" w:space="0" w:color="000000"/>
            </w:tcBorders>
            <w:vAlign w:val="center"/>
          </w:tcPr>
          <w:p w14:paraId="6472294C" w14:textId="59927955" w:rsidR="00EA7842" w:rsidRDefault="00EA7842" w:rsidP="00EA7842">
            <w:pPr>
              <w:keepNext/>
              <w:spacing w:before="80" w:after="40" w:line="240" w:lineRule="auto"/>
              <w:jc w:val="both"/>
              <w:rPr>
                <w:rFonts w:eastAsia="宋体" w:hint="eastAsia"/>
                <w:lang w:eastAsia="zh-CN"/>
              </w:rPr>
            </w:pPr>
            <w:r>
              <w:rPr>
                <w:rFonts w:cs="Times New Roman"/>
                <w:color w:val="000000"/>
                <w:sz w:val="18"/>
              </w:rPr>
              <w:t>51.61%</w:t>
            </w:r>
          </w:p>
        </w:tc>
      </w:tr>
      <w:tr w:rsidR="00EA7842" w14:paraId="69CA4DF8" w14:textId="77777777" w:rsidTr="00EA7842">
        <w:trPr>
          <w:trHeight w:val="20"/>
        </w:trPr>
        <w:tc>
          <w:tcPr>
            <w:tcW w:w="2093" w:type="dxa"/>
            <w:vAlign w:val="center"/>
          </w:tcPr>
          <w:p w14:paraId="28557530" w14:textId="1EC7B68B" w:rsidR="00EA7842" w:rsidRDefault="00EA7842" w:rsidP="00EA7842">
            <w:pPr>
              <w:keepNext/>
              <w:spacing w:before="80" w:after="40" w:line="240" w:lineRule="auto"/>
              <w:jc w:val="both"/>
              <w:rPr>
                <w:rFonts w:eastAsia="宋体" w:hint="eastAsia"/>
                <w:lang w:eastAsia="zh-CN"/>
              </w:rPr>
            </w:pPr>
            <w:r>
              <w:rPr>
                <w:rFonts w:cs="Times New Roman"/>
                <w:color w:val="000000"/>
                <w:sz w:val="18"/>
              </w:rPr>
              <w:t>Market</w:t>
            </w:r>
          </w:p>
        </w:tc>
        <w:tc>
          <w:tcPr>
            <w:tcW w:w="1559" w:type="dxa"/>
            <w:vAlign w:val="center"/>
          </w:tcPr>
          <w:p w14:paraId="717D87C7" w14:textId="6EB2A60C" w:rsidR="00EA7842" w:rsidRDefault="00EA7842" w:rsidP="00EA7842">
            <w:pPr>
              <w:keepNext/>
              <w:spacing w:before="80" w:after="40" w:line="240" w:lineRule="auto"/>
              <w:jc w:val="both"/>
              <w:rPr>
                <w:rFonts w:eastAsia="宋体" w:hint="eastAsia"/>
                <w:lang w:eastAsia="zh-CN"/>
              </w:rPr>
            </w:pPr>
            <w:r>
              <w:rPr>
                <w:rFonts w:cs="Times New Roman"/>
                <w:color w:val="000000"/>
                <w:sz w:val="18"/>
              </w:rPr>
              <w:t>Random Forest</w:t>
            </w:r>
          </w:p>
        </w:tc>
        <w:tc>
          <w:tcPr>
            <w:tcW w:w="1276" w:type="dxa"/>
            <w:vAlign w:val="center"/>
          </w:tcPr>
          <w:p w14:paraId="77CED939" w14:textId="5698FE80" w:rsidR="00EA7842" w:rsidRDefault="00EA7842" w:rsidP="00EA7842">
            <w:pPr>
              <w:keepNext/>
              <w:spacing w:before="80" w:after="40" w:line="240" w:lineRule="auto"/>
              <w:jc w:val="both"/>
              <w:rPr>
                <w:rFonts w:eastAsia="宋体" w:hint="eastAsia"/>
                <w:lang w:eastAsia="zh-CN"/>
              </w:rPr>
            </w:pPr>
            <w:r>
              <w:rPr>
                <w:rFonts w:cs="Times New Roman"/>
                <w:color w:val="000000"/>
                <w:sz w:val="18"/>
              </w:rPr>
              <w:t>0.5231</w:t>
            </w:r>
          </w:p>
        </w:tc>
        <w:tc>
          <w:tcPr>
            <w:tcW w:w="1276" w:type="dxa"/>
            <w:vAlign w:val="center"/>
          </w:tcPr>
          <w:p w14:paraId="55704A54" w14:textId="46685887" w:rsidR="00EA7842" w:rsidRDefault="00EA7842" w:rsidP="00EA7842">
            <w:pPr>
              <w:keepNext/>
              <w:spacing w:before="80" w:after="40" w:line="240" w:lineRule="auto"/>
              <w:jc w:val="both"/>
              <w:rPr>
                <w:rFonts w:eastAsia="宋体" w:hint="eastAsia"/>
                <w:lang w:eastAsia="zh-CN"/>
              </w:rPr>
            </w:pPr>
            <w:r>
              <w:rPr>
                <w:rFonts w:cs="Times New Roman"/>
                <w:color w:val="000000"/>
                <w:sz w:val="18"/>
              </w:rPr>
              <w:t>0.5511</w:t>
            </w:r>
          </w:p>
        </w:tc>
        <w:tc>
          <w:tcPr>
            <w:tcW w:w="1154" w:type="dxa"/>
            <w:vAlign w:val="center"/>
          </w:tcPr>
          <w:p w14:paraId="4FE064A3" w14:textId="2C191FB1" w:rsidR="00EA7842" w:rsidRDefault="00EA7842" w:rsidP="00EA7842">
            <w:pPr>
              <w:keepNext/>
              <w:spacing w:before="80" w:after="40" w:line="240" w:lineRule="auto"/>
              <w:jc w:val="both"/>
              <w:rPr>
                <w:rFonts w:eastAsia="宋体" w:hint="eastAsia"/>
                <w:lang w:eastAsia="zh-CN"/>
              </w:rPr>
            </w:pPr>
            <w:r>
              <w:rPr>
                <w:rFonts w:cs="Times New Roman"/>
                <w:color w:val="000000"/>
                <w:sz w:val="18"/>
              </w:rPr>
              <w:t>0.2543</w:t>
            </w:r>
          </w:p>
        </w:tc>
        <w:tc>
          <w:tcPr>
            <w:tcW w:w="1473" w:type="dxa"/>
            <w:vAlign w:val="center"/>
          </w:tcPr>
          <w:p w14:paraId="6E819F2C" w14:textId="5AE18B50" w:rsidR="00EA7842" w:rsidRDefault="00EA7842" w:rsidP="00EA7842">
            <w:pPr>
              <w:keepNext/>
              <w:spacing w:before="80" w:after="40" w:line="240" w:lineRule="auto"/>
              <w:jc w:val="both"/>
              <w:rPr>
                <w:rFonts w:eastAsia="宋体" w:hint="eastAsia"/>
                <w:lang w:eastAsia="zh-CN"/>
              </w:rPr>
            </w:pPr>
            <w:r>
              <w:rPr>
                <w:rFonts w:cs="Times New Roman"/>
                <w:color w:val="000000"/>
                <w:sz w:val="18"/>
              </w:rPr>
              <w:t>51.92%</w:t>
            </w:r>
          </w:p>
        </w:tc>
      </w:tr>
      <w:tr w:rsidR="00EA7842" w14:paraId="15E3F442" w14:textId="77777777" w:rsidTr="00EA7842">
        <w:trPr>
          <w:trHeight w:val="20"/>
        </w:trPr>
        <w:tc>
          <w:tcPr>
            <w:tcW w:w="2093" w:type="dxa"/>
            <w:vAlign w:val="center"/>
          </w:tcPr>
          <w:p w14:paraId="4601FD48" w14:textId="71E9EAD2" w:rsidR="00EA7842" w:rsidRDefault="00EA7842" w:rsidP="00EA7842">
            <w:pPr>
              <w:keepNext/>
              <w:spacing w:before="80" w:after="40" w:line="240" w:lineRule="auto"/>
              <w:jc w:val="both"/>
              <w:rPr>
                <w:rFonts w:eastAsia="宋体" w:hint="eastAsia"/>
                <w:lang w:eastAsia="zh-CN"/>
              </w:rPr>
            </w:pPr>
            <w:r>
              <w:rPr>
                <w:rFonts w:cs="Times New Roman"/>
                <w:color w:val="000000"/>
                <w:sz w:val="18"/>
              </w:rPr>
              <w:t>Market + macro</w:t>
            </w:r>
          </w:p>
        </w:tc>
        <w:tc>
          <w:tcPr>
            <w:tcW w:w="1559" w:type="dxa"/>
            <w:vAlign w:val="center"/>
          </w:tcPr>
          <w:p w14:paraId="555E9F94" w14:textId="35E273C0" w:rsidR="00EA7842" w:rsidRDefault="00EA7842" w:rsidP="00EA7842">
            <w:pPr>
              <w:keepNext/>
              <w:spacing w:before="80" w:after="40" w:line="240" w:lineRule="auto"/>
              <w:jc w:val="both"/>
              <w:rPr>
                <w:rFonts w:eastAsia="宋体" w:hint="eastAsia"/>
                <w:lang w:eastAsia="zh-CN"/>
              </w:rPr>
            </w:pPr>
            <w:r>
              <w:rPr>
                <w:rFonts w:cs="Times New Roman"/>
                <w:color w:val="000000"/>
                <w:sz w:val="18"/>
              </w:rPr>
              <w:t>Logistic</w:t>
            </w:r>
          </w:p>
        </w:tc>
        <w:tc>
          <w:tcPr>
            <w:tcW w:w="1276" w:type="dxa"/>
            <w:vAlign w:val="center"/>
          </w:tcPr>
          <w:p w14:paraId="2A1CC43D" w14:textId="4B7F5129" w:rsidR="00EA7842" w:rsidRDefault="00EA7842" w:rsidP="00EA7842">
            <w:pPr>
              <w:keepNext/>
              <w:spacing w:before="80" w:after="40" w:line="240" w:lineRule="auto"/>
              <w:jc w:val="both"/>
              <w:rPr>
                <w:rFonts w:eastAsia="宋体" w:hint="eastAsia"/>
                <w:lang w:eastAsia="zh-CN"/>
              </w:rPr>
            </w:pPr>
            <w:r>
              <w:rPr>
                <w:rFonts w:cs="Times New Roman"/>
                <w:color w:val="000000"/>
                <w:sz w:val="18"/>
              </w:rPr>
              <w:t>0.5616</w:t>
            </w:r>
          </w:p>
        </w:tc>
        <w:tc>
          <w:tcPr>
            <w:tcW w:w="1276" w:type="dxa"/>
            <w:vAlign w:val="center"/>
          </w:tcPr>
          <w:p w14:paraId="2CA118FA" w14:textId="6E596583" w:rsidR="00EA7842" w:rsidRDefault="00EA7842" w:rsidP="00EA7842">
            <w:pPr>
              <w:keepNext/>
              <w:spacing w:before="80" w:after="40" w:line="240" w:lineRule="auto"/>
              <w:jc w:val="both"/>
              <w:rPr>
                <w:rFonts w:eastAsia="宋体" w:hint="eastAsia"/>
                <w:lang w:eastAsia="zh-CN"/>
              </w:rPr>
            </w:pPr>
            <w:r>
              <w:rPr>
                <w:rFonts w:cs="Times New Roman"/>
                <w:color w:val="000000"/>
                <w:sz w:val="18"/>
              </w:rPr>
              <w:t>0.5524</w:t>
            </w:r>
          </w:p>
        </w:tc>
        <w:tc>
          <w:tcPr>
            <w:tcW w:w="1154" w:type="dxa"/>
            <w:vAlign w:val="center"/>
          </w:tcPr>
          <w:p w14:paraId="3B47E6DE" w14:textId="769847B3" w:rsidR="00EA7842" w:rsidRDefault="00EA7842" w:rsidP="00EA7842">
            <w:pPr>
              <w:keepNext/>
              <w:spacing w:before="80" w:after="40" w:line="240" w:lineRule="auto"/>
              <w:jc w:val="both"/>
              <w:rPr>
                <w:rFonts w:eastAsia="宋体" w:hint="eastAsia"/>
                <w:lang w:eastAsia="zh-CN"/>
              </w:rPr>
            </w:pPr>
            <w:r>
              <w:rPr>
                <w:rFonts w:cs="Times New Roman"/>
                <w:color w:val="000000"/>
                <w:sz w:val="18"/>
              </w:rPr>
              <w:t>0.2508</w:t>
            </w:r>
          </w:p>
        </w:tc>
        <w:tc>
          <w:tcPr>
            <w:tcW w:w="1473" w:type="dxa"/>
            <w:vAlign w:val="center"/>
          </w:tcPr>
          <w:p w14:paraId="5070A764" w14:textId="4B039AA2" w:rsidR="00EA7842" w:rsidRDefault="00EA7842" w:rsidP="00EA7842">
            <w:pPr>
              <w:keepNext/>
              <w:spacing w:before="80" w:after="40" w:line="240" w:lineRule="auto"/>
              <w:jc w:val="both"/>
              <w:rPr>
                <w:rFonts w:eastAsia="宋体" w:hint="eastAsia"/>
                <w:lang w:eastAsia="zh-CN"/>
              </w:rPr>
            </w:pPr>
            <w:r>
              <w:rPr>
                <w:rFonts w:cs="Times New Roman"/>
                <w:color w:val="000000"/>
                <w:sz w:val="18"/>
              </w:rPr>
              <w:t>56.45%</w:t>
            </w:r>
          </w:p>
        </w:tc>
      </w:tr>
      <w:tr w:rsidR="00EA7842" w14:paraId="2CEEA89C" w14:textId="77777777" w:rsidTr="00EA7842">
        <w:trPr>
          <w:trHeight w:val="20"/>
        </w:trPr>
        <w:tc>
          <w:tcPr>
            <w:tcW w:w="2093" w:type="dxa"/>
            <w:vAlign w:val="center"/>
          </w:tcPr>
          <w:p w14:paraId="4E6A76B8" w14:textId="1F75CAEA" w:rsidR="00EA7842" w:rsidRDefault="00EA7842" w:rsidP="00EA7842">
            <w:pPr>
              <w:keepNext/>
              <w:spacing w:before="80" w:after="40" w:line="240" w:lineRule="auto"/>
              <w:jc w:val="both"/>
              <w:rPr>
                <w:rFonts w:eastAsia="宋体" w:hint="eastAsia"/>
                <w:lang w:eastAsia="zh-CN"/>
              </w:rPr>
            </w:pPr>
            <w:r>
              <w:rPr>
                <w:rFonts w:cs="Times New Roman"/>
                <w:color w:val="000000"/>
                <w:sz w:val="18"/>
              </w:rPr>
              <w:t>Market + macro</w:t>
            </w:r>
          </w:p>
        </w:tc>
        <w:tc>
          <w:tcPr>
            <w:tcW w:w="1559" w:type="dxa"/>
            <w:vAlign w:val="center"/>
          </w:tcPr>
          <w:p w14:paraId="65594AD5" w14:textId="04F62870" w:rsidR="00EA7842" w:rsidRDefault="00EA7842" w:rsidP="00EA7842">
            <w:pPr>
              <w:keepNext/>
              <w:spacing w:before="80" w:after="40" w:line="240" w:lineRule="auto"/>
              <w:jc w:val="both"/>
              <w:rPr>
                <w:rFonts w:eastAsia="宋体" w:hint="eastAsia"/>
                <w:lang w:eastAsia="zh-CN"/>
              </w:rPr>
            </w:pPr>
            <w:r>
              <w:rPr>
                <w:rFonts w:cs="Times New Roman"/>
                <w:color w:val="000000"/>
                <w:sz w:val="18"/>
              </w:rPr>
              <w:t>Random Forest</w:t>
            </w:r>
          </w:p>
        </w:tc>
        <w:tc>
          <w:tcPr>
            <w:tcW w:w="1276" w:type="dxa"/>
            <w:vAlign w:val="center"/>
          </w:tcPr>
          <w:p w14:paraId="2D98ACFD" w14:textId="7279F15A" w:rsidR="00EA7842" w:rsidRDefault="00EA7842" w:rsidP="00EA7842">
            <w:pPr>
              <w:keepNext/>
              <w:spacing w:before="80" w:after="40" w:line="240" w:lineRule="auto"/>
              <w:jc w:val="both"/>
              <w:rPr>
                <w:rFonts w:eastAsia="宋体" w:hint="eastAsia"/>
                <w:lang w:eastAsia="zh-CN"/>
              </w:rPr>
            </w:pPr>
            <w:r>
              <w:rPr>
                <w:rFonts w:cs="Times New Roman"/>
                <w:color w:val="000000"/>
                <w:sz w:val="18"/>
              </w:rPr>
              <w:t>0.5362</w:t>
            </w:r>
          </w:p>
        </w:tc>
        <w:tc>
          <w:tcPr>
            <w:tcW w:w="1276" w:type="dxa"/>
            <w:vAlign w:val="center"/>
          </w:tcPr>
          <w:p w14:paraId="5531370E" w14:textId="4B2D1164" w:rsidR="00EA7842" w:rsidRDefault="00EA7842" w:rsidP="00EA7842">
            <w:pPr>
              <w:keepNext/>
              <w:spacing w:before="80" w:after="40" w:line="240" w:lineRule="auto"/>
              <w:jc w:val="both"/>
              <w:rPr>
                <w:rFonts w:eastAsia="宋体" w:hint="eastAsia"/>
                <w:lang w:eastAsia="zh-CN"/>
              </w:rPr>
            </w:pPr>
            <w:r>
              <w:rPr>
                <w:rFonts w:cs="Times New Roman"/>
                <w:color w:val="000000"/>
                <w:sz w:val="18"/>
              </w:rPr>
              <w:t>0.5454</w:t>
            </w:r>
          </w:p>
        </w:tc>
        <w:tc>
          <w:tcPr>
            <w:tcW w:w="1154" w:type="dxa"/>
            <w:vAlign w:val="center"/>
          </w:tcPr>
          <w:p w14:paraId="5C1A096C" w14:textId="1B01015F" w:rsidR="00EA7842" w:rsidRDefault="00EA7842" w:rsidP="00EA7842">
            <w:pPr>
              <w:keepNext/>
              <w:spacing w:before="80" w:after="40" w:line="240" w:lineRule="auto"/>
              <w:jc w:val="both"/>
              <w:rPr>
                <w:rFonts w:eastAsia="宋体" w:hint="eastAsia"/>
                <w:lang w:eastAsia="zh-CN"/>
              </w:rPr>
            </w:pPr>
            <w:r>
              <w:rPr>
                <w:rFonts w:cs="Times New Roman"/>
                <w:color w:val="000000"/>
                <w:sz w:val="18"/>
              </w:rPr>
              <w:t>0.2496</w:t>
            </w:r>
          </w:p>
        </w:tc>
        <w:tc>
          <w:tcPr>
            <w:tcW w:w="1473" w:type="dxa"/>
            <w:vAlign w:val="center"/>
          </w:tcPr>
          <w:p w14:paraId="6DE85F4E" w14:textId="109E5D66" w:rsidR="00EA7842" w:rsidRDefault="00EA7842" w:rsidP="00EA7842">
            <w:pPr>
              <w:keepNext/>
              <w:spacing w:before="80" w:after="40" w:line="240" w:lineRule="auto"/>
              <w:jc w:val="both"/>
              <w:rPr>
                <w:rFonts w:eastAsia="宋体" w:hint="eastAsia"/>
                <w:lang w:eastAsia="zh-CN"/>
              </w:rPr>
            </w:pPr>
            <w:r>
              <w:rPr>
                <w:rFonts w:cs="Times New Roman"/>
                <w:color w:val="000000"/>
                <w:sz w:val="18"/>
              </w:rPr>
              <w:t>52.92%</w:t>
            </w:r>
          </w:p>
        </w:tc>
      </w:tr>
      <w:tr w:rsidR="00EA7842" w14:paraId="26FBE1A5" w14:textId="77777777" w:rsidTr="00EA7842">
        <w:trPr>
          <w:trHeight w:val="20"/>
        </w:trPr>
        <w:tc>
          <w:tcPr>
            <w:tcW w:w="2093" w:type="dxa"/>
            <w:vAlign w:val="center"/>
          </w:tcPr>
          <w:p w14:paraId="4712D2C0" w14:textId="783A00F2" w:rsidR="00EA7842" w:rsidRDefault="00EA7842" w:rsidP="00EA7842">
            <w:pPr>
              <w:keepNext/>
              <w:spacing w:before="80" w:after="40" w:line="240" w:lineRule="auto"/>
              <w:jc w:val="both"/>
              <w:rPr>
                <w:rFonts w:eastAsia="宋体" w:hint="eastAsia"/>
                <w:lang w:eastAsia="zh-CN"/>
              </w:rPr>
            </w:pPr>
            <w:r>
              <w:rPr>
                <w:rFonts w:cs="Times New Roman"/>
                <w:color w:val="000000"/>
                <w:sz w:val="18"/>
              </w:rPr>
              <w:t>Market + industry state</w:t>
            </w:r>
          </w:p>
        </w:tc>
        <w:tc>
          <w:tcPr>
            <w:tcW w:w="1559" w:type="dxa"/>
            <w:vAlign w:val="center"/>
          </w:tcPr>
          <w:p w14:paraId="382BEC70" w14:textId="64433222" w:rsidR="00EA7842" w:rsidRDefault="00EA7842" w:rsidP="00EA7842">
            <w:pPr>
              <w:keepNext/>
              <w:spacing w:before="80" w:after="40" w:line="240" w:lineRule="auto"/>
              <w:jc w:val="both"/>
              <w:rPr>
                <w:rFonts w:eastAsia="宋体" w:hint="eastAsia"/>
                <w:lang w:eastAsia="zh-CN"/>
              </w:rPr>
            </w:pPr>
            <w:r>
              <w:rPr>
                <w:rFonts w:cs="Times New Roman"/>
                <w:color w:val="000000"/>
                <w:sz w:val="18"/>
              </w:rPr>
              <w:t>Logistic</w:t>
            </w:r>
          </w:p>
        </w:tc>
        <w:tc>
          <w:tcPr>
            <w:tcW w:w="1276" w:type="dxa"/>
            <w:vAlign w:val="center"/>
          </w:tcPr>
          <w:p w14:paraId="081A529E" w14:textId="00E723B0" w:rsidR="00EA7842" w:rsidRDefault="00EA7842" w:rsidP="00EA7842">
            <w:pPr>
              <w:keepNext/>
              <w:spacing w:before="80" w:after="40" w:line="240" w:lineRule="auto"/>
              <w:jc w:val="both"/>
              <w:rPr>
                <w:rFonts w:eastAsia="宋体" w:hint="eastAsia"/>
                <w:lang w:eastAsia="zh-CN"/>
              </w:rPr>
            </w:pPr>
            <w:r>
              <w:rPr>
                <w:rFonts w:cs="Times New Roman"/>
                <w:color w:val="000000"/>
                <w:sz w:val="18"/>
              </w:rPr>
              <w:t>0.5799</w:t>
            </w:r>
          </w:p>
        </w:tc>
        <w:tc>
          <w:tcPr>
            <w:tcW w:w="1276" w:type="dxa"/>
            <w:vAlign w:val="center"/>
          </w:tcPr>
          <w:p w14:paraId="74E02746" w14:textId="3E50C88A" w:rsidR="00EA7842" w:rsidRDefault="00EA7842" w:rsidP="00EA7842">
            <w:pPr>
              <w:keepNext/>
              <w:spacing w:before="80" w:after="40" w:line="240" w:lineRule="auto"/>
              <w:jc w:val="both"/>
              <w:rPr>
                <w:rFonts w:eastAsia="宋体" w:hint="eastAsia"/>
                <w:lang w:eastAsia="zh-CN"/>
              </w:rPr>
            </w:pPr>
            <w:r>
              <w:rPr>
                <w:rFonts w:cs="Times New Roman"/>
                <w:color w:val="000000"/>
                <w:sz w:val="18"/>
              </w:rPr>
              <w:t>0.5745</w:t>
            </w:r>
          </w:p>
        </w:tc>
        <w:tc>
          <w:tcPr>
            <w:tcW w:w="1154" w:type="dxa"/>
            <w:vAlign w:val="center"/>
          </w:tcPr>
          <w:p w14:paraId="564FAB41" w14:textId="3C2A396A" w:rsidR="00EA7842" w:rsidRDefault="00EA7842" w:rsidP="00EA7842">
            <w:pPr>
              <w:keepNext/>
              <w:spacing w:before="80" w:after="40" w:line="240" w:lineRule="auto"/>
              <w:jc w:val="both"/>
              <w:rPr>
                <w:rFonts w:eastAsia="宋体" w:hint="eastAsia"/>
                <w:lang w:eastAsia="zh-CN"/>
              </w:rPr>
            </w:pPr>
            <w:r>
              <w:rPr>
                <w:rFonts w:cs="Times New Roman"/>
                <w:color w:val="000000"/>
                <w:sz w:val="18"/>
              </w:rPr>
              <w:t>0.2476</w:t>
            </w:r>
          </w:p>
        </w:tc>
        <w:tc>
          <w:tcPr>
            <w:tcW w:w="1473" w:type="dxa"/>
            <w:vAlign w:val="center"/>
          </w:tcPr>
          <w:p w14:paraId="4969BC26" w14:textId="3AE9704C" w:rsidR="00EA7842" w:rsidRDefault="00EA7842" w:rsidP="00EA7842">
            <w:pPr>
              <w:keepNext/>
              <w:spacing w:before="80" w:after="40" w:line="240" w:lineRule="auto"/>
              <w:jc w:val="both"/>
              <w:rPr>
                <w:rFonts w:eastAsia="宋体" w:hint="eastAsia"/>
                <w:lang w:eastAsia="zh-CN"/>
              </w:rPr>
            </w:pPr>
            <w:r>
              <w:rPr>
                <w:rFonts w:cs="Times New Roman"/>
                <w:color w:val="000000"/>
                <w:sz w:val="18"/>
              </w:rPr>
              <w:t>54.54%</w:t>
            </w:r>
          </w:p>
        </w:tc>
      </w:tr>
      <w:tr w:rsidR="00EA7842" w14:paraId="1CD6CB98" w14:textId="77777777" w:rsidTr="00EA7842">
        <w:trPr>
          <w:trHeight w:val="20"/>
        </w:trPr>
        <w:tc>
          <w:tcPr>
            <w:tcW w:w="2093" w:type="dxa"/>
            <w:vAlign w:val="center"/>
          </w:tcPr>
          <w:p w14:paraId="63DF3992" w14:textId="310D8B4A" w:rsidR="00EA7842" w:rsidRDefault="00EA7842" w:rsidP="00EA7842">
            <w:pPr>
              <w:keepNext/>
              <w:spacing w:before="80" w:after="40" w:line="240" w:lineRule="auto"/>
              <w:jc w:val="both"/>
              <w:rPr>
                <w:rFonts w:cs="Times New Roman"/>
                <w:color w:val="000000"/>
                <w:sz w:val="18"/>
              </w:rPr>
            </w:pPr>
            <w:r>
              <w:rPr>
                <w:rFonts w:cs="Times New Roman"/>
                <w:color w:val="000000"/>
                <w:sz w:val="18"/>
              </w:rPr>
              <w:t>Market + industry state</w:t>
            </w:r>
          </w:p>
        </w:tc>
        <w:tc>
          <w:tcPr>
            <w:tcW w:w="1559" w:type="dxa"/>
            <w:vAlign w:val="center"/>
          </w:tcPr>
          <w:p w14:paraId="05B0902D" w14:textId="6FA56514" w:rsidR="00EA7842" w:rsidRDefault="00EA7842" w:rsidP="00EA7842">
            <w:pPr>
              <w:keepNext/>
              <w:spacing w:before="80" w:after="40" w:line="240" w:lineRule="auto"/>
              <w:jc w:val="both"/>
              <w:rPr>
                <w:rFonts w:cs="Times New Roman"/>
                <w:color w:val="000000"/>
                <w:sz w:val="18"/>
              </w:rPr>
            </w:pPr>
            <w:r>
              <w:rPr>
                <w:rFonts w:cs="Times New Roman"/>
                <w:color w:val="000000"/>
                <w:sz w:val="18"/>
              </w:rPr>
              <w:t>Random Forest</w:t>
            </w:r>
          </w:p>
        </w:tc>
        <w:tc>
          <w:tcPr>
            <w:tcW w:w="1276" w:type="dxa"/>
            <w:vAlign w:val="center"/>
          </w:tcPr>
          <w:p w14:paraId="6197C4AB" w14:textId="3723B03E" w:rsidR="00EA7842" w:rsidRDefault="00EA7842" w:rsidP="00EA7842">
            <w:pPr>
              <w:keepNext/>
              <w:spacing w:before="80" w:after="40" w:line="240" w:lineRule="auto"/>
              <w:jc w:val="both"/>
              <w:rPr>
                <w:rFonts w:cs="Times New Roman"/>
                <w:color w:val="000000"/>
                <w:sz w:val="18"/>
              </w:rPr>
            </w:pPr>
            <w:r>
              <w:rPr>
                <w:rFonts w:cs="Times New Roman"/>
                <w:color w:val="000000"/>
                <w:sz w:val="18"/>
              </w:rPr>
              <w:t>0.5391</w:t>
            </w:r>
          </w:p>
        </w:tc>
        <w:tc>
          <w:tcPr>
            <w:tcW w:w="1276" w:type="dxa"/>
            <w:vAlign w:val="center"/>
          </w:tcPr>
          <w:p w14:paraId="1660C86A" w14:textId="6F2D1DA7" w:rsidR="00EA7842" w:rsidRDefault="00EA7842" w:rsidP="00EA7842">
            <w:pPr>
              <w:keepNext/>
              <w:spacing w:before="80" w:after="40" w:line="240" w:lineRule="auto"/>
              <w:jc w:val="both"/>
              <w:rPr>
                <w:rFonts w:cs="Times New Roman"/>
                <w:color w:val="000000"/>
                <w:sz w:val="18"/>
              </w:rPr>
            </w:pPr>
            <w:r>
              <w:rPr>
                <w:rFonts w:cs="Times New Roman"/>
                <w:color w:val="000000"/>
                <w:sz w:val="18"/>
              </w:rPr>
              <w:t>0.5422</w:t>
            </w:r>
          </w:p>
        </w:tc>
        <w:tc>
          <w:tcPr>
            <w:tcW w:w="1154" w:type="dxa"/>
            <w:vAlign w:val="center"/>
          </w:tcPr>
          <w:p w14:paraId="19F53A64" w14:textId="30D7756C" w:rsidR="00EA7842" w:rsidRDefault="00EA7842" w:rsidP="00EA7842">
            <w:pPr>
              <w:keepNext/>
              <w:spacing w:before="80" w:after="40" w:line="240" w:lineRule="auto"/>
              <w:jc w:val="both"/>
              <w:rPr>
                <w:rFonts w:cs="Times New Roman"/>
                <w:color w:val="000000"/>
                <w:sz w:val="18"/>
              </w:rPr>
            </w:pPr>
            <w:r>
              <w:rPr>
                <w:rFonts w:cs="Times New Roman"/>
                <w:color w:val="000000"/>
                <w:sz w:val="18"/>
              </w:rPr>
              <w:t>0.2520</w:t>
            </w:r>
          </w:p>
        </w:tc>
        <w:tc>
          <w:tcPr>
            <w:tcW w:w="1473" w:type="dxa"/>
            <w:vAlign w:val="center"/>
          </w:tcPr>
          <w:p w14:paraId="6FCDC46C" w14:textId="54C07D7C" w:rsidR="00EA7842" w:rsidRDefault="00EA7842" w:rsidP="00EA7842">
            <w:pPr>
              <w:keepNext/>
              <w:spacing w:before="80" w:after="40" w:line="240" w:lineRule="auto"/>
              <w:jc w:val="both"/>
              <w:rPr>
                <w:rFonts w:cs="Times New Roman"/>
                <w:color w:val="000000"/>
                <w:sz w:val="18"/>
              </w:rPr>
            </w:pPr>
            <w:r>
              <w:rPr>
                <w:rFonts w:cs="Times New Roman"/>
                <w:color w:val="000000"/>
                <w:sz w:val="18"/>
              </w:rPr>
              <w:t>54.84%</w:t>
            </w:r>
          </w:p>
        </w:tc>
      </w:tr>
      <w:tr w:rsidR="00EA7842" w14:paraId="7B3E560A" w14:textId="77777777" w:rsidTr="00EA7842">
        <w:trPr>
          <w:trHeight w:val="20"/>
        </w:trPr>
        <w:tc>
          <w:tcPr>
            <w:tcW w:w="2093" w:type="dxa"/>
            <w:vAlign w:val="center"/>
          </w:tcPr>
          <w:p w14:paraId="67D6B12D" w14:textId="716323FB" w:rsidR="00EA7842" w:rsidRDefault="00EA7842" w:rsidP="00EA7842">
            <w:pPr>
              <w:keepNext/>
              <w:spacing w:before="80" w:after="40" w:line="240" w:lineRule="auto"/>
              <w:jc w:val="both"/>
              <w:rPr>
                <w:rFonts w:cs="Times New Roman"/>
                <w:color w:val="000000"/>
                <w:sz w:val="18"/>
              </w:rPr>
            </w:pPr>
            <w:r>
              <w:rPr>
                <w:rFonts w:cs="Times New Roman"/>
                <w:color w:val="000000"/>
                <w:sz w:val="18"/>
              </w:rPr>
              <w:t>All three</w:t>
            </w:r>
          </w:p>
        </w:tc>
        <w:tc>
          <w:tcPr>
            <w:tcW w:w="1559" w:type="dxa"/>
            <w:vAlign w:val="center"/>
          </w:tcPr>
          <w:p w14:paraId="3257F7FF" w14:textId="03683718" w:rsidR="00EA7842" w:rsidRDefault="00EA7842" w:rsidP="00EA7842">
            <w:pPr>
              <w:keepNext/>
              <w:spacing w:before="80" w:after="40" w:line="240" w:lineRule="auto"/>
              <w:jc w:val="both"/>
              <w:rPr>
                <w:rFonts w:cs="Times New Roman"/>
                <w:color w:val="000000"/>
                <w:sz w:val="18"/>
              </w:rPr>
            </w:pPr>
            <w:r>
              <w:rPr>
                <w:rFonts w:cs="Times New Roman"/>
                <w:color w:val="000000"/>
                <w:sz w:val="18"/>
              </w:rPr>
              <w:t>Logistic</w:t>
            </w:r>
          </w:p>
        </w:tc>
        <w:tc>
          <w:tcPr>
            <w:tcW w:w="1276" w:type="dxa"/>
            <w:vAlign w:val="center"/>
          </w:tcPr>
          <w:p w14:paraId="73D1B3A5" w14:textId="50163E34" w:rsidR="00EA7842" w:rsidRDefault="00EA7842" w:rsidP="00EA7842">
            <w:pPr>
              <w:keepNext/>
              <w:spacing w:before="80" w:after="40" w:line="240" w:lineRule="auto"/>
              <w:jc w:val="both"/>
              <w:rPr>
                <w:rFonts w:cs="Times New Roman"/>
                <w:color w:val="000000"/>
                <w:sz w:val="18"/>
              </w:rPr>
            </w:pPr>
            <w:r>
              <w:rPr>
                <w:rFonts w:cs="Times New Roman"/>
                <w:color w:val="000000"/>
                <w:sz w:val="18"/>
              </w:rPr>
              <w:t>0.5820</w:t>
            </w:r>
          </w:p>
        </w:tc>
        <w:tc>
          <w:tcPr>
            <w:tcW w:w="1276" w:type="dxa"/>
            <w:vAlign w:val="center"/>
          </w:tcPr>
          <w:p w14:paraId="4EE5C21E" w14:textId="005D2A5C" w:rsidR="00EA7842" w:rsidRDefault="00EA7842" w:rsidP="00EA7842">
            <w:pPr>
              <w:keepNext/>
              <w:spacing w:before="80" w:after="40" w:line="240" w:lineRule="auto"/>
              <w:jc w:val="both"/>
              <w:rPr>
                <w:rFonts w:cs="Times New Roman"/>
                <w:color w:val="000000"/>
                <w:sz w:val="18"/>
              </w:rPr>
            </w:pPr>
            <w:r>
              <w:rPr>
                <w:rFonts w:cs="Times New Roman"/>
                <w:color w:val="000000"/>
                <w:sz w:val="18"/>
              </w:rPr>
              <w:t>0.5456</w:t>
            </w:r>
          </w:p>
        </w:tc>
        <w:tc>
          <w:tcPr>
            <w:tcW w:w="1154" w:type="dxa"/>
            <w:vAlign w:val="center"/>
          </w:tcPr>
          <w:p w14:paraId="5F54D86E" w14:textId="112EBA41" w:rsidR="00EA7842" w:rsidRDefault="00EA7842" w:rsidP="00EA7842">
            <w:pPr>
              <w:keepNext/>
              <w:spacing w:before="80" w:after="40" w:line="240" w:lineRule="auto"/>
              <w:jc w:val="both"/>
              <w:rPr>
                <w:rFonts w:cs="Times New Roman"/>
                <w:color w:val="000000"/>
                <w:sz w:val="18"/>
              </w:rPr>
            </w:pPr>
            <w:r>
              <w:rPr>
                <w:rFonts w:cs="Times New Roman"/>
                <w:color w:val="000000"/>
                <w:sz w:val="18"/>
              </w:rPr>
              <w:t>0.2700</w:t>
            </w:r>
          </w:p>
        </w:tc>
        <w:tc>
          <w:tcPr>
            <w:tcW w:w="1473" w:type="dxa"/>
            <w:vAlign w:val="center"/>
          </w:tcPr>
          <w:p w14:paraId="54FFE481" w14:textId="48AC173F" w:rsidR="00EA7842" w:rsidRDefault="00EA7842" w:rsidP="00EA7842">
            <w:pPr>
              <w:keepNext/>
              <w:spacing w:before="80" w:after="40" w:line="240" w:lineRule="auto"/>
              <w:jc w:val="both"/>
              <w:rPr>
                <w:rFonts w:cs="Times New Roman"/>
                <w:color w:val="000000"/>
                <w:sz w:val="18"/>
              </w:rPr>
            </w:pPr>
            <w:r>
              <w:rPr>
                <w:rFonts w:cs="Times New Roman"/>
                <w:color w:val="000000"/>
                <w:sz w:val="18"/>
              </w:rPr>
              <w:t>55.65%</w:t>
            </w:r>
          </w:p>
        </w:tc>
      </w:tr>
      <w:tr w:rsidR="00EA7842" w14:paraId="0A70A579" w14:textId="77777777" w:rsidTr="00EA7842">
        <w:trPr>
          <w:trHeight w:val="20"/>
        </w:trPr>
        <w:tc>
          <w:tcPr>
            <w:tcW w:w="2093" w:type="dxa"/>
            <w:tcBorders>
              <w:bottom w:val="single" w:sz="12" w:space="0" w:color="000000"/>
            </w:tcBorders>
            <w:vAlign w:val="center"/>
          </w:tcPr>
          <w:p w14:paraId="280C3B5A" w14:textId="2B5E1117" w:rsidR="00EA7842" w:rsidRDefault="00EA7842" w:rsidP="00EA7842">
            <w:pPr>
              <w:keepNext/>
              <w:spacing w:before="80" w:after="40" w:line="240" w:lineRule="auto"/>
              <w:jc w:val="both"/>
              <w:rPr>
                <w:rFonts w:eastAsia="宋体" w:hint="eastAsia"/>
                <w:lang w:eastAsia="zh-CN"/>
              </w:rPr>
            </w:pPr>
            <w:r>
              <w:rPr>
                <w:rFonts w:cs="Times New Roman"/>
                <w:color w:val="000000"/>
                <w:sz w:val="18"/>
              </w:rPr>
              <w:t>All three</w:t>
            </w:r>
          </w:p>
        </w:tc>
        <w:tc>
          <w:tcPr>
            <w:tcW w:w="1559" w:type="dxa"/>
            <w:tcBorders>
              <w:bottom w:val="single" w:sz="12" w:space="0" w:color="000000"/>
            </w:tcBorders>
            <w:vAlign w:val="center"/>
          </w:tcPr>
          <w:p w14:paraId="784DBF50" w14:textId="0723C232" w:rsidR="00EA7842" w:rsidRDefault="00EA7842" w:rsidP="00EA7842">
            <w:pPr>
              <w:keepNext/>
              <w:spacing w:before="80" w:after="40" w:line="240" w:lineRule="auto"/>
              <w:jc w:val="both"/>
              <w:rPr>
                <w:rFonts w:eastAsia="宋体" w:hint="eastAsia"/>
                <w:lang w:eastAsia="zh-CN"/>
              </w:rPr>
            </w:pPr>
            <w:r>
              <w:rPr>
                <w:rFonts w:cs="Times New Roman"/>
                <w:color w:val="000000"/>
                <w:sz w:val="18"/>
              </w:rPr>
              <w:t>Random Forest</w:t>
            </w:r>
          </w:p>
        </w:tc>
        <w:tc>
          <w:tcPr>
            <w:tcW w:w="1276" w:type="dxa"/>
            <w:tcBorders>
              <w:bottom w:val="single" w:sz="12" w:space="0" w:color="000000"/>
            </w:tcBorders>
            <w:vAlign w:val="center"/>
          </w:tcPr>
          <w:p w14:paraId="59B1552D" w14:textId="32338B8D" w:rsidR="00EA7842" w:rsidRDefault="00EA7842" w:rsidP="00EA7842">
            <w:pPr>
              <w:keepNext/>
              <w:spacing w:before="80" w:after="40" w:line="240" w:lineRule="auto"/>
              <w:jc w:val="both"/>
              <w:rPr>
                <w:rFonts w:eastAsia="宋体" w:hint="eastAsia"/>
                <w:lang w:eastAsia="zh-CN"/>
              </w:rPr>
            </w:pPr>
            <w:r>
              <w:rPr>
                <w:rFonts w:cs="Times New Roman"/>
                <w:color w:val="000000"/>
                <w:sz w:val="18"/>
              </w:rPr>
              <w:t>0.5349</w:t>
            </w:r>
          </w:p>
        </w:tc>
        <w:tc>
          <w:tcPr>
            <w:tcW w:w="1276" w:type="dxa"/>
            <w:tcBorders>
              <w:bottom w:val="single" w:sz="12" w:space="0" w:color="000000"/>
            </w:tcBorders>
            <w:vAlign w:val="center"/>
          </w:tcPr>
          <w:p w14:paraId="031D7598" w14:textId="2BB5A389" w:rsidR="00EA7842" w:rsidRDefault="00EA7842" w:rsidP="00EA7842">
            <w:pPr>
              <w:keepNext/>
              <w:spacing w:before="80" w:after="40" w:line="240" w:lineRule="auto"/>
              <w:jc w:val="both"/>
              <w:rPr>
                <w:rFonts w:eastAsia="宋体" w:hint="eastAsia"/>
                <w:lang w:eastAsia="zh-CN"/>
              </w:rPr>
            </w:pPr>
            <w:r>
              <w:rPr>
                <w:rFonts w:cs="Times New Roman"/>
                <w:color w:val="000000"/>
                <w:sz w:val="18"/>
              </w:rPr>
              <w:t>0.5481</w:t>
            </w:r>
          </w:p>
        </w:tc>
        <w:tc>
          <w:tcPr>
            <w:tcW w:w="1154" w:type="dxa"/>
            <w:tcBorders>
              <w:bottom w:val="single" w:sz="12" w:space="0" w:color="000000"/>
            </w:tcBorders>
            <w:vAlign w:val="center"/>
          </w:tcPr>
          <w:p w14:paraId="1C34FE52" w14:textId="71DAF323" w:rsidR="00EA7842" w:rsidRDefault="00EA7842" w:rsidP="00EA7842">
            <w:pPr>
              <w:keepNext/>
              <w:spacing w:before="80" w:after="40" w:line="240" w:lineRule="auto"/>
              <w:jc w:val="both"/>
              <w:rPr>
                <w:rFonts w:eastAsia="宋体" w:hint="eastAsia"/>
                <w:lang w:eastAsia="zh-CN"/>
              </w:rPr>
            </w:pPr>
            <w:r>
              <w:rPr>
                <w:rFonts w:cs="Times New Roman"/>
                <w:color w:val="000000"/>
                <w:sz w:val="18"/>
              </w:rPr>
              <w:t>0.2506</w:t>
            </w:r>
          </w:p>
        </w:tc>
        <w:tc>
          <w:tcPr>
            <w:tcW w:w="1473" w:type="dxa"/>
            <w:tcBorders>
              <w:bottom w:val="single" w:sz="12" w:space="0" w:color="000000"/>
            </w:tcBorders>
            <w:vAlign w:val="center"/>
          </w:tcPr>
          <w:p w14:paraId="380D48D0" w14:textId="794988AC" w:rsidR="00EA7842" w:rsidRDefault="00EA7842" w:rsidP="00EA7842">
            <w:pPr>
              <w:keepNext/>
              <w:spacing w:before="80" w:after="40" w:line="240" w:lineRule="auto"/>
              <w:jc w:val="both"/>
              <w:rPr>
                <w:rFonts w:eastAsia="宋体" w:hint="eastAsia"/>
                <w:lang w:eastAsia="zh-CN"/>
              </w:rPr>
            </w:pPr>
            <w:r>
              <w:rPr>
                <w:rFonts w:cs="Times New Roman"/>
                <w:color w:val="000000"/>
                <w:sz w:val="18"/>
              </w:rPr>
              <w:t>52.62%</w:t>
            </w:r>
          </w:p>
        </w:tc>
      </w:tr>
    </w:tbl>
    <w:p w14:paraId="47441B2C" w14:textId="77777777" w:rsidR="00EA7842" w:rsidRDefault="00EA7842" w:rsidP="00EA7842">
      <w:pPr>
        <w:spacing w:after="100"/>
        <w:jc w:val="both"/>
        <w:rPr>
          <w:rFonts w:eastAsia="宋体" w:cs="Times New Roman"/>
          <w:color w:val="000000"/>
          <w:lang w:eastAsia="zh-CN"/>
        </w:rPr>
      </w:pPr>
    </w:p>
    <w:p w14:paraId="7A4E18D1" w14:textId="77777777" w:rsidR="00A329A5" w:rsidRDefault="00000000" w:rsidP="00EA7842">
      <w:pPr>
        <w:pStyle w:val="21"/>
        <w:spacing w:before="80" w:after="60"/>
        <w:jc w:val="both"/>
      </w:pPr>
      <w:r>
        <w:rPr>
          <w:rFonts w:ascii="Times New Roman" w:eastAsia="Times New Roman" w:hAnsi="Times New Roman" w:cs="Times New Roman"/>
          <w:color w:val="000000"/>
          <w:sz w:val="22"/>
        </w:rPr>
        <w:t>4.2 First portfolio mapping</w:t>
      </w:r>
    </w:p>
    <w:p w14:paraId="211B0D21" w14:textId="77777777" w:rsidR="00A329A5" w:rsidRDefault="00000000" w:rsidP="00EA7842">
      <w:pPr>
        <w:spacing w:after="100"/>
        <w:jc w:val="both"/>
      </w:pPr>
      <w:r>
        <w:rPr>
          <w:rFonts w:cs="Times New Roman"/>
          <w:color w:val="000000"/>
        </w:rPr>
        <w:t>To test whether the ranking converts into returns, we fixed a portfolio rule before running it. Every 21 sessions the primary model scores all eligible stocks, and those with predicted probability of at least 0.55 are held, subject to a 10% single-stock cap, a 30% group cap, a 10% volatility target, a 50% one-way turnover cap per rebalance, and a SPY beta hedge, with half the quoted spread charged on every trade. A date with fewer than five qualifying stocks is skipped and, as the rule was written, the existing positions are kept until the next rebalance. Figure 3 shows the result over 2021-2022: a cumulative net return of -3.10% with a realised beta of 0.064, annualised volatility of 9.78%, a maximum drawdown of -13.15%, and spread costs of 0.24% of initial NAV, against +13.11% for SPY. An independent daily re-accounting of cash, positions, trades, and costs passed 13 of 14 checks with one non-blocking warning.</w:t>
      </w:r>
    </w:p>
    <w:p w14:paraId="25D36090" w14:textId="77777777" w:rsidR="00A329A5" w:rsidRDefault="00000000" w:rsidP="00EA7842">
      <w:pPr>
        <w:keepNext/>
        <w:spacing w:before="80" w:after="40"/>
        <w:jc w:val="both"/>
      </w:pPr>
      <w:r>
        <w:rPr>
          <w:noProof/>
        </w:rPr>
        <w:drawing>
          <wp:inline distT="0" distB="0" distL="0" distR="0" wp14:anchorId="75C1E747" wp14:editId="2AD28E9F">
            <wp:extent cx="4754880" cy="16983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nav.png"/>
                    <pic:cNvPicPr/>
                  </pic:nvPicPr>
                  <pic:blipFill>
                    <a:blip r:embed="rId7"/>
                    <a:stretch>
                      <a:fillRect/>
                    </a:stretch>
                  </pic:blipFill>
                  <pic:spPr>
                    <a:xfrm>
                      <a:off x="0" y="0"/>
                      <a:ext cx="4754880" cy="1698371"/>
                    </a:xfrm>
                    <a:prstGeom prst="rect">
                      <a:avLst/>
                    </a:prstGeom>
                  </pic:spPr>
                </pic:pic>
              </a:graphicData>
            </a:graphic>
          </wp:inline>
        </w:drawing>
      </w:r>
    </w:p>
    <w:p w14:paraId="392C4948" w14:textId="77777777" w:rsidR="00A329A5" w:rsidRDefault="00000000" w:rsidP="00EA7842">
      <w:pPr>
        <w:spacing w:after="160" w:line="252" w:lineRule="auto"/>
        <w:jc w:val="both"/>
      </w:pPr>
      <w:r>
        <w:rPr>
          <w:rFonts w:cs="Times New Roman"/>
          <w:color w:val="000000"/>
          <w:sz w:val="20"/>
        </w:rPr>
        <w:t>Figure 3. Pre-registered hedged portfolio versus SPY, 2021-2022, growth of 1 net of spread costs. Shaded bands mark the four windows in which a rebalance was skipped and the previous positions were held for a further 21 sessions.</w:t>
      </w:r>
    </w:p>
    <w:p w14:paraId="7304283E" w14:textId="77777777" w:rsidR="00A329A5" w:rsidRDefault="00000000" w:rsidP="00EA7842">
      <w:pPr>
        <w:spacing w:after="100"/>
        <w:jc w:val="both"/>
      </w:pPr>
      <w:r>
        <w:rPr>
          <w:rFonts w:cs="Times New Roman"/>
          <w:color w:val="000000"/>
        </w:rPr>
        <w:t>The loss has a single source. In the 21 sessions after each executed rebalance, the horizon the model was trained for, the hedged portfolio compounded to +14.6% net. All of the loss came from the four shaded windows, which compounded to -15.4%. On those dates the model's highest probability had fallen to between 0.43 and 0.59, fewer than five names qualified, and the rule held the previous positions for another 21 sessions; the largest of these windows, January to February 2022, coincided with the start of the technology drawdown. The model's date-level signal was right on those dates, and the rule ignored it. The hedge worked as designed (realised beta 0.064) and costs are immaterial. Because this attribution was made on the validation period, the corrected rule (move to cash or hedge-only when a date is skipped, and select by within-date rank rather than a fixed probability threshold) is pre-registered for the next stage and is not re-run on the same data.</w:t>
      </w:r>
    </w:p>
    <w:p w14:paraId="0188D19B" w14:textId="77777777" w:rsidR="00A329A5" w:rsidRDefault="00000000" w:rsidP="00EA7842">
      <w:pPr>
        <w:pStyle w:val="1"/>
        <w:spacing w:before="160" w:after="60"/>
        <w:jc w:val="both"/>
      </w:pPr>
      <w:r>
        <w:rPr>
          <w:rFonts w:ascii="Times New Roman" w:eastAsia="Times New Roman" w:hAnsi="Times New Roman" w:cs="Times New Roman"/>
          <w:color w:val="000000"/>
          <w:sz w:val="24"/>
        </w:rPr>
        <w:lastRenderedPageBreak/>
        <w:t>5. Limitations and next stage</w:t>
      </w:r>
    </w:p>
    <w:p w14:paraId="78DDDD2E" w14:textId="05300E5A" w:rsidR="00A329A5" w:rsidRDefault="00BE33DC" w:rsidP="00EA7842">
      <w:pPr>
        <w:spacing w:after="100"/>
        <w:jc w:val="both"/>
      </w:pPr>
      <w:r>
        <w:rPr>
          <w:rFonts w:eastAsia="宋体" w:cs="Times New Roman" w:hint="eastAsia"/>
          <w:color w:val="000000"/>
          <w:lang w:eastAsia="zh-CN"/>
        </w:rPr>
        <w:t>There are t</w:t>
      </w:r>
      <w:r w:rsidR="00000000">
        <w:rPr>
          <w:rFonts w:cs="Times New Roman"/>
          <w:color w:val="000000"/>
        </w:rPr>
        <w:t xml:space="preserve">hree limitations </w:t>
      </w:r>
      <w:r>
        <w:rPr>
          <w:rFonts w:eastAsia="宋体" w:cs="Times New Roman" w:hint="eastAsia"/>
          <w:color w:val="000000"/>
          <w:lang w:eastAsia="zh-CN"/>
        </w:rPr>
        <w:t>that</w:t>
      </w:r>
      <w:r w:rsidR="00000000">
        <w:rPr>
          <w:rFonts w:cs="Times New Roman"/>
          <w:color w:val="000000"/>
        </w:rPr>
        <w:t xml:space="preserve"> should be </w:t>
      </w:r>
      <w:r>
        <w:rPr>
          <w:rFonts w:eastAsia="宋体" w:cs="Times New Roman" w:hint="eastAsia"/>
          <w:color w:val="000000"/>
          <w:lang w:eastAsia="zh-CN"/>
        </w:rPr>
        <w:t>known</w:t>
      </w:r>
      <w:r w:rsidR="00000000">
        <w:rPr>
          <w:rFonts w:cs="Times New Roman"/>
          <w:color w:val="000000"/>
        </w:rPr>
        <w:t>. The validation sample has 89 formation dates, and stocks on the same date share market shocks, so every interval above uses date or block resampling. The probabilities are not calibrated (expected calibration error 0.057 overall and 0.125 in 2022), which is why the portfolio rule uses ranks and a fixed threshold rather than probability levels. And the pilot pool is small; dated historical membership evidence is complete for nine of the 49 companies and the remaining 40 are documented from current disclosures, so scaling to the full point-in-time universe is the first step below.</w:t>
      </w:r>
    </w:p>
    <w:p w14:paraId="727B1E8D" w14:textId="20163D93" w:rsidR="00A329A5" w:rsidRDefault="00000000" w:rsidP="00EA7842">
      <w:pPr>
        <w:spacing w:after="100"/>
        <w:jc w:val="both"/>
      </w:pPr>
      <w:r>
        <w:rPr>
          <w:rFonts w:cs="Times New Roman"/>
          <w:color w:val="000000"/>
        </w:rPr>
        <w:t xml:space="preserve">The next stage has </w:t>
      </w:r>
      <w:r w:rsidR="00BE33DC">
        <w:rPr>
          <w:rFonts w:eastAsia="宋体" w:cs="Times New Roman" w:hint="eastAsia"/>
          <w:color w:val="000000"/>
          <w:lang w:eastAsia="zh-CN"/>
        </w:rPr>
        <w:t>three</w:t>
      </w:r>
      <w:r>
        <w:rPr>
          <w:rFonts w:cs="Times New Roman"/>
          <w:color w:val="000000"/>
        </w:rPr>
        <w:t xml:space="preserve"> steps. First, extend dated membership evidence to the remaining pilot companies and run the same pipeline. Second, choose the final fund strategy on six written criteria (economic mechanism, point-in-time feasibility, sample adequacy, pre-specified ML contribution, an implementable rule with costs, and one untouched test period). </w:t>
      </w:r>
      <w:r w:rsidR="00BE33DC">
        <w:rPr>
          <w:rFonts w:eastAsia="宋体" w:cs="Times New Roman" w:hint="eastAsia"/>
          <w:color w:val="000000"/>
          <w:lang w:eastAsia="zh-CN"/>
        </w:rPr>
        <w:t>Last</w:t>
      </w:r>
      <w:r>
        <w:rPr>
          <w:rFonts w:cs="Times New Roman"/>
          <w:color w:val="000000"/>
        </w:rPr>
        <w:t>, freeze the design and open the sealed test period once.</w:t>
      </w:r>
    </w:p>
    <w:p w14:paraId="785001BA" w14:textId="77777777" w:rsidR="00A329A5" w:rsidRDefault="00000000" w:rsidP="00EA7842">
      <w:pPr>
        <w:pStyle w:val="1"/>
        <w:spacing w:before="160" w:after="60"/>
        <w:jc w:val="both"/>
      </w:pPr>
      <w:r>
        <w:rPr>
          <w:rFonts w:ascii="Times New Roman" w:eastAsia="Times New Roman" w:hAnsi="Times New Roman" w:cs="Times New Roman"/>
          <w:color w:val="000000"/>
          <w:sz w:val="24"/>
        </w:rPr>
        <w:t>References</w:t>
      </w:r>
    </w:p>
    <w:p w14:paraId="305F3C2D" w14:textId="77777777" w:rsidR="00A329A5" w:rsidRDefault="00000000" w:rsidP="00EA7842">
      <w:pPr>
        <w:spacing w:after="60" w:line="264" w:lineRule="auto"/>
        <w:ind w:left="432" w:hanging="432"/>
        <w:jc w:val="both"/>
      </w:pPr>
      <w:r>
        <w:rPr>
          <w:rFonts w:cs="Times New Roman"/>
          <w:color w:val="000000"/>
          <w:sz w:val="20"/>
        </w:rPr>
        <w:t>Gu, S., Kelly, B., and Xiu, D. (2020). Empirical asset pricing via machine learning. Review of Financial Studies, 33(5), 2223-2273.</w:t>
      </w:r>
    </w:p>
    <w:p w14:paraId="629A03BC" w14:textId="77777777" w:rsidR="00A329A5" w:rsidRDefault="00000000" w:rsidP="00EA7842">
      <w:pPr>
        <w:spacing w:after="60" w:line="264" w:lineRule="auto"/>
        <w:ind w:left="432" w:hanging="432"/>
        <w:jc w:val="both"/>
      </w:pPr>
      <w:r>
        <w:rPr>
          <w:rFonts w:cs="Times New Roman"/>
          <w:color w:val="000000"/>
          <w:sz w:val="20"/>
        </w:rPr>
        <w:t>Federal Reserve Bank of St. Louis. FRED economic data: VIXCLS, DGS3MO, DGS2, DGS10, DTWEXBGS.</w:t>
      </w:r>
    </w:p>
    <w:p w14:paraId="498E2B99" w14:textId="77777777" w:rsidR="00A329A5" w:rsidRDefault="00000000" w:rsidP="00EA7842">
      <w:pPr>
        <w:spacing w:after="60" w:line="264" w:lineRule="auto"/>
        <w:ind w:left="432" w:hanging="432"/>
        <w:jc w:val="both"/>
      </w:pPr>
      <w:r>
        <w:rPr>
          <w:rFonts w:cs="Times New Roman"/>
          <w:color w:val="000000"/>
          <w:sz w:val="20"/>
        </w:rPr>
        <w:t>LSEG Workspace and LSEG Data Library for Python. Daily prices, quotes, index constituents, earnings events, consensus estimates, and segment fundamentals.</w:t>
      </w:r>
    </w:p>
    <w:sectPr w:rsidR="00A329A5"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3013129">
    <w:abstractNumId w:val="8"/>
  </w:num>
  <w:num w:numId="2" w16cid:durableId="974025233">
    <w:abstractNumId w:val="6"/>
  </w:num>
  <w:num w:numId="3" w16cid:durableId="1158495380">
    <w:abstractNumId w:val="5"/>
  </w:num>
  <w:num w:numId="4" w16cid:durableId="1416048011">
    <w:abstractNumId w:val="4"/>
  </w:num>
  <w:num w:numId="5" w16cid:durableId="99297789">
    <w:abstractNumId w:val="7"/>
  </w:num>
  <w:num w:numId="6" w16cid:durableId="807671396">
    <w:abstractNumId w:val="3"/>
  </w:num>
  <w:num w:numId="7" w16cid:durableId="1688556780">
    <w:abstractNumId w:val="2"/>
  </w:num>
  <w:num w:numId="8" w16cid:durableId="1445735094">
    <w:abstractNumId w:val="1"/>
  </w:num>
  <w:num w:numId="9" w16cid:durableId="83657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29A5"/>
    <w:rsid w:val="00AA1D8D"/>
    <w:rsid w:val="00B47730"/>
    <w:rsid w:val="00BE33DC"/>
    <w:rsid w:val="00CB0664"/>
    <w:rsid w:val="00DE5C72"/>
    <w:rsid w:val="00EA7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85E15"/>
  <w14:defaultImageDpi w14:val="300"/>
  <w15:docId w15:val="{C497A9A8-F22C-4EDA-B088-BE5731667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88" w:lineRule="auto"/>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2292</Words>
  <Characters>12332</Characters>
  <Application>Microsoft Office Word</Application>
  <DocSecurity>0</DocSecurity>
  <Lines>280</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Yuxuan Zhou</cp:lastModifiedBy>
  <cp:revision>2</cp:revision>
  <dcterms:created xsi:type="dcterms:W3CDTF">2013-12-23T23:15:00Z</dcterms:created>
  <dcterms:modified xsi:type="dcterms:W3CDTF">2026-09-11T16:54:00Z</dcterms:modified>
  <cp:category/>
</cp:coreProperties>
</file>