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495C4">
      <w:pPr>
        <w:spacing w:line="400" w:lineRule="exact"/>
        <w:rPr>
          <w:rFonts w:ascii="Times New Roman" w:hAnsi="Times New Roman" w:eastAsia="等线" w:cs="Times New Roman"/>
          <w:b/>
          <w:bCs/>
          <w:sz w:val="28"/>
          <w:szCs w:val="28"/>
        </w:rPr>
      </w:pPr>
      <w:r>
        <w:rPr>
          <w:rFonts w:hint="eastAsia" w:ascii="Times New Roman" w:hAnsi="Times New Roman" w:eastAsia="等线" w:cs="Times New Roman"/>
          <w:b/>
          <w:bCs/>
          <w:sz w:val="28"/>
          <w:szCs w:val="28"/>
        </w:rPr>
        <w:t>Dear Editors and Reviewers,</w:t>
      </w:r>
    </w:p>
    <w:p w14:paraId="3623633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imes New Roman" w:hAnsi="Times New Roman" w:eastAsia="等线" w:cs="Times New Roman"/>
          <w:color w:val="0000FF"/>
          <w:sz w:val="28"/>
          <w:szCs w:val="28"/>
        </w:rPr>
      </w:pPr>
      <w:r>
        <w:rPr>
          <w:rFonts w:hint="eastAsia" w:ascii="Times New Roman" w:hAnsi="Times New Roman" w:eastAsia="等线" w:cs="Times New Roman"/>
          <w:color w:val="0000FF"/>
          <w:sz w:val="28"/>
          <w:szCs w:val="28"/>
        </w:rPr>
        <w:t xml:space="preserve">Thank you for sharing the reviewers' comments and suggestions. We sincerely appreciate the opportunity to revise our manuscript and improve its quality based on the constructive feedback provided. We have addressed each comment and revised the manuscript. All modifications have been annotated within the text for your review. Detailed responses are included in this document, and we have carefully adhered to the </w:t>
      </w:r>
      <w:r>
        <w:rPr>
          <w:rFonts w:hint="eastAsia" w:ascii="Times New Roman" w:hAnsi="Times New Roman" w:eastAsia="等线" w:cs="Times New Roman"/>
          <w:b/>
          <w:bCs/>
          <w:i/>
          <w:iCs/>
          <w:color w:val="0000FF"/>
          <w:sz w:val="28"/>
          <w:szCs w:val="28"/>
        </w:rPr>
        <w:t>Applied Soft Computing Journal</w:t>
      </w:r>
      <w:r>
        <w:rPr>
          <w:rFonts w:hint="eastAsia" w:ascii="Times New Roman" w:hAnsi="Times New Roman" w:eastAsia="等线" w:cs="Times New Roman"/>
          <w:color w:val="0000FF"/>
          <w:sz w:val="28"/>
          <w:szCs w:val="28"/>
        </w:rPr>
        <w:t xml:space="preserve"> author guidelines.</w:t>
      </w:r>
    </w:p>
    <w:p w14:paraId="7940713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Times New Roman" w:hAnsi="Times New Roman" w:cs="Times New Roman" w:eastAsiaTheme="minorEastAsia"/>
          <w:i w:val="0"/>
          <w:iCs w:val="0"/>
          <w:caps w:val="0"/>
          <w:color w:val="000033"/>
          <w:spacing w:val="0"/>
          <w:kern w:val="2"/>
          <w:sz w:val="28"/>
          <w:szCs w:val="28"/>
          <w:lang w:val="en-US" w:eastAsia="zh-CN" w:bidi="ar-SA"/>
        </w:rPr>
      </w:pPr>
      <w:r>
        <w:rPr>
          <w:rFonts w:hint="default" w:ascii="Times New Roman" w:hAnsi="Times New Roman" w:cs="Times New Roman" w:eastAsiaTheme="minorEastAsia"/>
          <w:i w:val="0"/>
          <w:iCs w:val="0"/>
          <w:caps w:val="0"/>
          <w:color w:val="000033"/>
          <w:spacing w:val="0"/>
          <w:kern w:val="2"/>
          <w:sz w:val="28"/>
          <w:szCs w:val="28"/>
          <w:lang w:val="en-US" w:eastAsia="zh-CN" w:bidi="ar-SA"/>
        </w:rPr>
        <w:t>Regarding Reviewer #2’s comments, we sincerely thank the reviewer for recognizing the substantial improvements made in the previous revision and for providing further constructive suggestions. In this revision, we focused on refining the interpretation, methodological clarification, and organization of the manuscript and Supplementary Material. Specifically, we moderated the discussion of the high R² values and clarified that they should be interpreted together with error-based metrics, temporal persistence, direct forecasting design, and out-of-time evaluation results. We also added a detailed explanation of the operational boundaries used in CEEMDAN decomposition, SE reconstruction, normalization, feature selection, and direct multi-step forecasting to further exclude potential information leakage. In addition, we revised the discussion of the horizon-wise forecasting results to avoid overstating the medium-horizon performance, and we acknowledged in the Limitations and Outlook section that more extreme crisis-transfer scenarios, such as pandemic-related or geopolitical energy shocks, remain an important direction for future work. Finally, we reorganized and condensed the robustness discussions and appendices to improve coherence, reduce repetition, and better integrate the supplementary analyses with the main empirical narrative.We sincerely appreciate the reviewer’s careful reading and constructive comments, which have helped us further improve the clarity, rigor, and presentation of the manuscript.</w:t>
      </w:r>
    </w:p>
    <w:p w14:paraId="031C1FDC">
      <w:pPr>
        <w:pStyle w:val="3"/>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560" w:firstLineChars="200"/>
        <w:jc w:val="both"/>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eastAsiaTheme="minorEastAsia"/>
          <w:i w:val="0"/>
          <w:iCs w:val="0"/>
          <w:caps w:val="0"/>
          <w:color w:val="000033"/>
          <w:spacing w:val="0"/>
          <w:kern w:val="2"/>
          <w:sz w:val="28"/>
          <w:szCs w:val="28"/>
          <w:lang w:val="en-US" w:eastAsia="zh-CN" w:bidi="ar-SA"/>
        </w:rPr>
        <w:t>For Reviewer #8’s comments, we sincerely thank the reviewer for their positive feedback and for confirming that all concerns have been addressed. We are grateful for the reviewer’s careful evaluation of our revised manuscript and appreciate the time and effort devoted to assessing our responses and revisions.We sincerely thank the reviewer once again for their time, expertise, and valuable support.</w:t>
      </w:r>
    </w:p>
    <w:p w14:paraId="50671A8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Times New Roman" w:hAnsi="Times New Roman" w:cs="Times New Roman"/>
          <w:i w:val="0"/>
          <w:iCs w:val="0"/>
          <w:caps w:val="0"/>
          <w:color w:val="000033"/>
          <w:spacing w:val="0"/>
          <w:sz w:val="28"/>
          <w:szCs w:val="28"/>
        </w:rPr>
      </w:pPr>
      <w:r>
        <w:rPr>
          <w:rFonts w:hint="eastAsia" w:ascii="Times New Roman" w:hAnsi="Times New Roman" w:cs="Times New Roman"/>
          <w:i w:val="0"/>
          <w:iCs w:val="0"/>
          <w:caps w:val="0"/>
          <w:color w:val="000033"/>
          <w:spacing w:val="0"/>
          <w:sz w:val="28"/>
          <w:szCs w:val="28"/>
          <w:lang w:val="en-US" w:eastAsia="zh-CN"/>
        </w:rPr>
        <w:t>F</w:t>
      </w:r>
      <w:r>
        <w:rPr>
          <w:rFonts w:hint="default" w:ascii="Times New Roman" w:hAnsi="Times New Roman" w:cs="Times New Roman"/>
          <w:i w:val="0"/>
          <w:iCs w:val="0"/>
          <w:caps w:val="0"/>
          <w:color w:val="000033"/>
          <w:spacing w:val="0"/>
          <w:sz w:val="28"/>
          <w:szCs w:val="28"/>
        </w:rPr>
        <w:t>or Reviewer #9’s comments, we sincerely thank the reviewer for their positive evaluation, encouraging remarks, and careful assessment of our revised manuscript. We are very grateful that the reviewer recognized the relevance of our study in the field of energy price forecasting and acknowledged that the revisions have substantially improved the manuscript.We also sincerely appreciate the reviewer’s recognition of the improvements made in the statistical analyses, baseline comparisons, hyperparameter tuning procedures, ablation studies, SHAP-based interpretation, and clarification of the role of AutoML in the overall framework. The reviewer’s careful evaluation and positive recommendation are highly encouraging to us.We have carefully checked the revised manuscript once again to ensure consistency, clarity, and presentation quality. We sincerely thank the reviewer for their time, expertise, and valuable encouragement.</w:t>
      </w:r>
    </w:p>
    <w:p w14:paraId="25351B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i w:val="0"/>
          <w:iCs w:val="0"/>
          <w:caps w:val="0"/>
          <w:color w:val="000033"/>
          <w:spacing w:val="0"/>
          <w:sz w:val="28"/>
          <w:szCs w:val="28"/>
        </w:rPr>
        <w:br w:type="textWrapping"/>
      </w:r>
      <w:r>
        <w:rPr>
          <w:rFonts w:hint="default" w:ascii="Times New Roman" w:hAnsi="Times New Roman" w:cs="Times New Roman"/>
          <w:i w:val="0"/>
          <w:iCs w:val="0"/>
          <w:caps w:val="0"/>
          <w:color w:val="000033"/>
          <w:spacing w:val="0"/>
          <w:sz w:val="28"/>
          <w:szCs w:val="28"/>
        </w:rPr>
        <w:t>Reviewer #2: Overall, the revision is substantially improved and most of my major methodological concerns were addressed in a serious and technically appropriate way. The authors clearly invested significant additional experimental and statistical work. Remaining minor issues are:</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1.</w:t>
      </w:r>
      <w:r>
        <w:rPr>
          <w:rFonts w:hint="default" w:ascii="Times New Roman" w:hAnsi="Times New Roman" w:cs="Times New Roman"/>
          <w:i w:val="0"/>
          <w:iCs w:val="0"/>
          <w:caps w:val="0"/>
          <w:color w:val="000033"/>
          <w:spacing w:val="0"/>
          <w:sz w:val="28"/>
          <w:szCs w:val="28"/>
        </w:rPr>
        <w:t>- The manuscript still reports extremely high R² values (≈0.99+) across nearly all settings and markets, including out-of-time evaluations. Although the authors provided stronger justification (high autocorrelation, direct forecasting setup, structural persistence), the performance remains unusually strong for real financial/energy forecasting and still deserves cautious interpretation. The explanation is more reasonable now, but not entirely fully convincing.</w:t>
      </w:r>
    </w:p>
    <w:p w14:paraId="74E584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i/>
          <w:iCs/>
          <w:caps w:val="0"/>
          <w:color w:val="000033"/>
          <w:spacing w:val="0"/>
          <w:sz w:val="28"/>
          <w:szCs w:val="28"/>
        </w:rPr>
        <w:t>Thank you for emphasizing this concern. We fully understand why consistently high R² values may raise questions in real energy-market forecasting, and we have therefore treated this issue as a matter of interpretation and experimental credibility rather than simply defending the numerical results. In the revised manuscript, we have substantially condensed and moderated all related discussions and clarified that the observed values may be partly explained by the strong temporal persistence of energy prices, the shared economic fundamentals among the examined markets, and the horizon-specific direct forecasting design, without presenting these factors as conclusive explanations. We have also explicitly documented the rolling out-of-time decomposition and reconstruction boundaries in Appendix B to demonstrate that future observations were excluded from the forecasting pipeline. We hope that these revisions provide a more transparent, balanced, and empirically grounded interpretation of the high R² values. We sincerely thank the reviewer again for the careful scrutiny and constructive guidance on this important issue.</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2.</w:t>
      </w:r>
      <w:r>
        <w:rPr>
          <w:rFonts w:hint="default" w:ascii="Times New Roman" w:hAnsi="Times New Roman" w:cs="Times New Roman"/>
          <w:i w:val="0"/>
          <w:iCs w:val="0"/>
          <w:caps w:val="0"/>
          <w:color w:val="000033"/>
          <w:spacing w:val="0"/>
          <w:sz w:val="28"/>
          <w:szCs w:val="28"/>
        </w:rPr>
        <w:t>- The authors state that CEEMDAN decomposition was performed using training data only, but the manuscript should explicitly clarify operationally how decomposition boundaries were handled in rolling/out-of-time settings to fully exclude subtle leakage through decomposition/reconstruction procedures.</w:t>
      </w:r>
    </w:p>
    <w:p w14:paraId="2400E6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i/>
          <w:iCs/>
          <w:caps w:val="0"/>
          <w:color w:val="000033"/>
          <w:spacing w:val="0"/>
          <w:sz w:val="28"/>
          <w:szCs w:val="28"/>
        </w:rPr>
      </w:pPr>
      <w:r>
        <w:rPr>
          <w:rFonts w:hint="default" w:ascii="Times New Roman" w:hAnsi="Times New Roman" w:cs="Times New Roman"/>
          <w:i/>
          <w:iCs/>
          <w:caps w:val="0"/>
          <w:color w:val="000033"/>
          <w:spacing w:val="0"/>
          <w:sz w:val="28"/>
          <w:szCs w:val="28"/>
        </w:rPr>
        <w:t>Thank you for raising this important methodological issue. We agree that the original description did not sufficiently explain how the temporal boundaries were operationally controlled during out-of-time forecasting. To address this concern, we have added a new subsection entitled “B.1 Operational Control of Temporal Boundaries and Data Leakage” and a corresponding summary table (Table B.1) to Appendix B of the Supplementary Material.</w:t>
      </w:r>
    </w:p>
    <w:p w14:paraId="75EA8D0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i/>
          <w:iCs/>
          <w:caps w:val="0"/>
          <w:color w:val="000033"/>
          <w:spacing w:val="0"/>
          <w:sz w:val="28"/>
          <w:szCs w:val="28"/>
        </w:rPr>
      </w:pPr>
      <w:r>
        <w:rPr>
          <w:rFonts w:hint="default" w:ascii="Times New Roman" w:hAnsi="Times New Roman" w:cs="Times New Roman"/>
          <w:i/>
          <w:iCs/>
          <w:caps w:val="0"/>
          <w:color w:val="000033"/>
          <w:spacing w:val="0"/>
          <w:sz w:val="28"/>
          <w:szCs w:val="28"/>
        </w:rPr>
        <w:t>The new subsection clarifies that, for each forecast generated at origin t, CEEMDAN decomposition was restricted to observations available up to and including t. The subsequent sample-entropy calculation and component reconstruction were conducted exclusively using the IMFs derived from this temporally bounded historical segment, without access to the target y</w:t>
      </w:r>
      <w:r>
        <w:rPr>
          <w:rFonts w:hint="default" w:ascii="Times New Roman" w:hAnsi="Times New Roman" w:cs="Times New Roman"/>
          <w:i/>
          <w:iCs/>
          <w:caps w:val="0"/>
          <w:color w:val="000033"/>
          <w:spacing w:val="0"/>
          <w:sz w:val="28"/>
          <w:szCs w:val="28"/>
          <w:vertAlign w:val="subscript"/>
        </w:rPr>
        <w:t>t+h</w:t>
      </w:r>
      <w:r>
        <w:rPr>
          <w:rFonts w:hint="default" w:ascii="Times New Roman" w:hAnsi="Times New Roman" w:cs="Times New Roman"/>
          <w:i/>
          <w:iCs/>
          <w:caps w:val="0"/>
          <w:color w:val="000033"/>
          <w:spacing w:val="0"/>
          <w:sz w:val="28"/>
          <w:szCs w:val="28"/>
        </w:rPr>
        <w:t xml:space="preserve"> or any observations after t. As the forecast origin advanced, the historical information set was updated, and the decomposition-reconstruction procedure was repeated using only the observations available at the new origin. We further clarified that feature-selection and normalization parameters were estimated from the training data and held fixed during validation and testing. For the direct multi-step experiments, an independent model was trained for each forecasting horizon rather than generating longer-horizon forecasts recursively.These additions explicitly document the operational treatment of decomposition boundaries and demonstrate how future information was excluded from the decomposition, reconstruction, and subsequent forecasting procedures.</w:t>
      </w:r>
    </w:p>
    <w:p w14:paraId="36DC0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i/>
          <w:iCs/>
          <w:caps w:val="0"/>
          <w:color w:val="000033"/>
          <w:spacing w:val="0"/>
          <w:sz w:val="28"/>
          <w:szCs w:val="28"/>
        </w:rPr>
      </w:pPr>
      <w:r>
        <w:rPr>
          <w:rFonts w:hint="default" w:ascii="Times New Roman" w:hAnsi="Times New Roman" w:cs="Times New Roman"/>
          <w:i/>
          <w:iCs/>
          <w:caps w:val="0"/>
          <w:color w:val="000033"/>
          <w:spacing w:val="0"/>
          <w:sz w:val="28"/>
          <w:szCs w:val="28"/>
        </w:rPr>
        <w:t>The specific revision added to Appendix B of the Supplementary Material is as follows (the newly added text is highlighted in italics for your convenience):</w:t>
      </w:r>
    </w:p>
    <w:p w14:paraId="26856D54">
      <w:pPr>
        <w:keepNext/>
        <w:keepLines/>
        <w:pageBreakBefore w:val="0"/>
        <w:widowControl/>
        <w:kinsoku/>
        <w:wordWrap/>
        <w:overflowPunct/>
        <w:topLinePunct w:val="0"/>
        <w:autoSpaceDE/>
        <w:autoSpaceDN/>
        <w:bidi w:val="0"/>
        <w:adjustRightInd/>
        <w:snapToGrid/>
        <w:spacing w:before="140" w:after="60" w:line="360" w:lineRule="auto"/>
        <w:textAlignment w:val="auto"/>
        <w:outlineLvl w:val="1"/>
        <w:rPr>
          <w:rFonts w:ascii="Calibri" w:hAnsi="Calibri" w:eastAsia="宋体" w:cs="Times New Roman"/>
          <w:b/>
          <w:bCs/>
          <w:i/>
          <w:iCs/>
          <w:color w:val="E54C5E" w:themeColor="accent6"/>
          <w:sz w:val="28"/>
          <w:szCs w:val="28"/>
          <w:lang w:val="en-US" w:eastAsia="en-US" w:bidi="ar-SA"/>
          <w14:textFill>
            <w14:solidFill>
              <w14:schemeClr w14:val="accent6"/>
            </w14:solidFill>
          </w14:textFill>
        </w:rPr>
      </w:pPr>
      <w:r>
        <w:rPr>
          <w:rFonts w:ascii="Times New Roman" w:hAnsi="Times New Roman" w:eastAsia="宋体" w:cs="Times New Roman"/>
          <w:b/>
          <w:bCs/>
          <w:i/>
          <w:iCs/>
          <w:color w:val="E54C5E" w:themeColor="accent6"/>
          <w:sz w:val="28"/>
          <w:szCs w:val="28"/>
          <w:lang w:val="en-US" w:eastAsia="en-US" w:bidi="ar-SA"/>
          <w14:textFill>
            <w14:solidFill>
              <w14:schemeClr w14:val="accent6"/>
            </w14:solidFill>
          </w14:textFill>
        </w:rPr>
        <w:t>B.1 Operational control of temporal boundaries and data leakage</w:t>
      </w:r>
    </w:p>
    <w:p w14:paraId="2B58C01C">
      <w:pPr>
        <w:pageBreakBefore w:val="0"/>
        <w:widowControl/>
        <w:kinsoku/>
        <w:wordWrap/>
        <w:overflowPunct/>
        <w:topLinePunct w:val="0"/>
        <w:autoSpaceDE/>
        <w:autoSpaceDN/>
        <w:bidi w:val="0"/>
        <w:adjustRightInd/>
        <w:snapToGrid/>
        <w:spacing w:after="60" w:line="360" w:lineRule="auto"/>
        <w:ind w:firstLine="360"/>
        <w:jc w:val="both"/>
        <w:textAlignment w:val="auto"/>
        <w:rPr>
          <w:rFonts w:ascii="Times New Roman" w:hAnsi="Times New Roman" w:eastAsia="宋体" w:cs="Times New Roman"/>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i/>
          <w:iCs/>
          <w:color w:val="E54C5E" w:themeColor="accent6"/>
          <w:kern w:val="0"/>
          <w:sz w:val="28"/>
          <w:szCs w:val="28"/>
          <w:lang w:eastAsia="en-US"/>
          <w14:textFill>
            <w14:solidFill>
              <w14:schemeClr w14:val="accent6"/>
            </w14:solidFill>
          </w14:textFill>
        </w:rPr>
        <w:t>The chronological training, validation, and test boundaries were defined before decomposition, reconstruction, feature selection, normalization, or model estimation. No observation from the validation or test target periods was used to determine preprocessing parameters for the training sample. This ordering is important because applying a non-causal decomposition to the complete series before temporal splitting could allow future observations to influence the intrinsic mode functions available to the forecasting model.</w:t>
      </w:r>
    </w:p>
    <w:p w14:paraId="2C411CC7">
      <w:pPr>
        <w:pageBreakBefore w:val="0"/>
        <w:widowControl/>
        <w:kinsoku/>
        <w:wordWrap/>
        <w:overflowPunct/>
        <w:topLinePunct w:val="0"/>
        <w:autoSpaceDE/>
        <w:autoSpaceDN/>
        <w:bidi w:val="0"/>
        <w:adjustRightInd/>
        <w:snapToGrid/>
        <w:spacing w:after="60" w:line="360" w:lineRule="auto"/>
        <w:ind w:firstLine="360"/>
        <w:jc w:val="both"/>
        <w:textAlignment w:val="auto"/>
        <w:rPr>
          <w:rFonts w:ascii="Times New Roman" w:hAnsi="Times New Roman" w:eastAsia="宋体" w:cs="Times New Roman"/>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i/>
          <w:iCs/>
          <w:color w:val="E54C5E" w:themeColor="accent6"/>
          <w:kern w:val="0"/>
          <w:sz w:val="28"/>
          <w:szCs w:val="28"/>
          <w:lang w:eastAsia="en-US"/>
          <w14:textFill>
            <w14:solidFill>
              <w14:schemeClr w14:val="accent6"/>
            </w14:solidFill>
          </w14:textFill>
        </w:rPr>
        <w:t>For an out-of-time forecast generated at origin t, the decomposition input was restricted to observations available up to and including t. CEEMDAN and the subsequent sample-entropy calculation were therefore applied to the historical segment {1, …, t}, without access to the target y(t+h) or to observations after t. The reconstructed components used to form the model input were obtained exclusively from this origin-specific historical segment. When the forecast origin advanced, the available historical segment was updated and the decomposition-reconstruction procedure was repeated using the newly available information. This expanding-origin implementation prevents the two-sided nature of empirical mode decomposition from extending across the forecast boundary.</w:t>
      </w:r>
    </w:p>
    <w:p w14:paraId="7B32E908">
      <w:pPr>
        <w:pageBreakBefore w:val="0"/>
        <w:widowControl/>
        <w:kinsoku/>
        <w:wordWrap/>
        <w:overflowPunct/>
        <w:topLinePunct w:val="0"/>
        <w:autoSpaceDE/>
        <w:autoSpaceDN/>
        <w:bidi w:val="0"/>
        <w:adjustRightInd/>
        <w:snapToGrid/>
        <w:spacing w:after="60" w:line="360" w:lineRule="auto"/>
        <w:ind w:firstLine="360"/>
        <w:jc w:val="both"/>
        <w:textAlignment w:val="auto"/>
        <w:rPr>
          <w:rFonts w:ascii="Times New Roman" w:hAnsi="Times New Roman" w:eastAsia="宋体" w:cs="Times New Roman"/>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i/>
          <w:iCs/>
          <w:color w:val="E54C5E" w:themeColor="accent6"/>
          <w:kern w:val="0"/>
          <w:sz w:val="28"/>
          <w:szCs w:val="28"/>
          <w:lang w:eastAsia="en-US"/>
          <w14:textFill>
            <w14:solidFill>
              <w14:schemeClr w14:val="accent6"/>
            </w14:solidFill>
          </w14:textFill>
        </w:rPr>
        <w:t>The Lasso feature-selection coefficients, scaling parameters, and model hyperparameters were estimated using the training data only. Once selected, the feature set and preprocessing rules were held fixed during validation and test evaluation. For the direct multi-step experiments, a separate model was trained for each horizon h. Each model mapped the historical information available at origin t directly to y(t+h); predictions at shorter horizons were not recursively inserted as inputs for longer-horizon forecasts. Thus, the T+1, T+5, T+10, T+15, T+20, T+25, and T+30 results were generated by horizon-specific models rather than by repeated application of a single one-step model.</w:t>
      </w:r>
    </w:p>
    <w:p w14:paraId="1E4D3ACB">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eastAsia="宋体" w:cs="Times New Roman"/>
          <w:b/>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i/>
          <w:iCs/>
          <w:color w:val="E54C5E" w:themeColor="accent6"/>
          <w:kern w:val="0"/>
          <w:sz w:val="28"/>
          <w:szCs w:val="28"/>
          <w:lang w:eastAsia="en-US"/>
          <w14:textFill>
            <w14:solidFill>
              <w14:schemeClr w14:val="accent6"/>
            </w14:solidFill>
          </w14:textFill>
        </w:rPr>
        <w:t>Table B.1. Temporal-boundary controls used in the out-of-time evaluation</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0210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61A6CB33">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Operation</w:t>
            </w:r>
          </w:p>
        </w:tc>
        <w:tc>
          <w:tcPr>
            <w:tcW w:w="316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91DE1BD">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Information set</w:t>
            </w:r>
          </w:p>
        </w:tc>
        <w:tc>
          <w:tcPr>
            <w:tcW w:w="3456"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CAE3147">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Leakage-control function</w:t>
            </w:r>
          </w:p>
        </w:tc>
      </w:tr>
      <w:tr w14:paraId="55FF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38579E3">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Temporal split</w:t>
            </w:r>
          </w:p>
        </w:tc>
        <w:tc>
          <w:tcPr>
            <w:tcW w:w="316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2CE60769">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Before all preprocessing and model fitting</w:t>
            </w:r>
          </w:p>
        </w:tc>
        <w:tc>
          <w:tcPr>
            <w:tcW w:w="345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DB0CB76">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Prevents full-series transformations</w:t>
            </w:r>
          </w:p>
        </w:tc>
      </w:tr>
      <w:tr w14:paraId="118D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1D59CFB5">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CEEMDAN input at origin t</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631484EC">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Observations 1, …, t only</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36E1C879">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Excludes y(t+h) and later observations</w:t>
            </w:r>
          </w:p>
        </w:tc>
      </w:tr>
      <w:tr w14:paraId="2E68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6163D986">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SE reconstruction</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2634809A">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Computed from origin-specific IMFs</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7492934F">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No reconstruction across the forecast boundary</w:t>
            </w:r>
          </w:p>
        </w:tc>
      </w:tr>
      <w:tr w14:paraId="4253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2CFF608E">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Lasso and scaling</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2FECEC52">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Estimated on the training sample</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1CB7AF5D">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Rules fixed for validation and test data</w:t>
            </w:r>
          </w:p>
        </w:tc>
      </w:tr>
      <w:tr w14:paraId="5FCF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5917A41D">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Multi-step forecasts</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01C2CCB6">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Independent model for each horizon h</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63357B03">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No recursive forecast substitution</w:t>
            </w:r>
          </w:p>
        </w:tc>
      </w:tr>
      <w:tr w14:paraId="0DBE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BB76FEC">
            <w:pPr>
              <w:pageBreakBefore w:val="0"/>
              <w:widowControl/>
              <w:kinsoku/>
              <w:wordWrap/>
              <w:overflowPunct/>
              <w:topLinePunct w:val="0"/>
              <w:autoSpaceDE/>
              <w:autoSpaceDN/>
              <w:bidi w:val="0"/>
              <w:adjustRightInd/>
              <w:snapToGrid/>
              <w:spacing w:after="60" w:line="360" w:lineRule="auto"/>
              <w:jc w:val="left"/>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Performance comparison</w:t>
            </w:r>
          </w:p>
        </w:tc>
        <w:tc>
          <w:tcPr>
            <w:tcW w:w="316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AAC792C">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Common out-of-time test observations</w:t>
            </w:r>
          </w:p>
        </w:tc>
        <w:tc>
          <w:tcPr>
            <w:tcW w:w="345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04AF65B5">
            <w:pPr>
              <w:pageBreakBefore w:val="0"/>
              <w:widowControl/>
              <w:kinsoku/>
              <w:wordWrap/>
              <w:overflowPunct/>
              <w:topLinePunct w:val="0"/>
              <w:autoSpaceDE/>
              <w:autoSpaceDN/>
              <w:bidi w:val="0"/>
              <w:adjustRightInd/>
              <w:snapToGrid/>
              <w:spacing w:after="60" w:line="360" w:lineRule="auto"/>
              <w:jc w:val="center"/>
              <w:textAlignment w:val="auto"/>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pPr>
            <w:r>
              <w:rPr>
                <w:rFonts w:ascii="Times New Roman" w:hAnsi="Times New Roman" w:eastAsia="宋体" w:cs="Times New Roman"/>
                <w:b w:val="0"/>
                <w:i/>
                <w:iCs/>
                <w:color w:val="E54C5E" w:themeColor="accent6"/>
                <w:kern w:val="0"/>
                <w:sz w:val="28"/>
                <w:szCs w:val="28"/>
                <w:lang w:eastAsia="en-US"/>
                <w14:textFill>
                  <w14:solidFill>
                    <w14:schemeClr w14:val="accent6"/>
                  </w14:solidFill>
                </w14:textFill>
              </w:rPr>
              <w:t>Paired errors used for statistical tests</w:t>
            </w:r>
          </w:p>
        </w:tc>
      </w:tr>
    </w:tbl>
    <w:p w14:paraId="7A77B4BE">
      <w:pPr>
        <w:pageBreakBefore w:val="0"/>
        <w:widowControl/>
        <w:kinsoku/>
        <w:wordWrap/>
        <w:overflowPunct/>
        <w:topLinePunct w:val="0"/>
        <w:autoSpaceDE/>
        <w:autoSpaceDN/>
        <w:bidi w:val="0"/>
        <w:adjustRightInd/>
        <w:snapToGrid/>
        <w:spacing w:after="60" w:line="360" w:lineRule="auto"/>
        <w:ind w:firstLine="360"/>
        <w:jc w:val="both"/>
        <w:textAlignment w:val="auto"/>
        <w:rPr>
          <w:rFonts w:hint="default" w:ascii="Times New Roman" w:hAnsi="Times New Roman" w:cs="Times New Roman"/>
          <w:i w:val="0"/>
          <w:iCs w:val="0"/>
          <w:caps w:val="0"/>
          <w:color w:val="000033"/>
          <w:spacing w:val="0"/>
          <w:sz w:val="28"/>
          <w:szCs w:val="28"/>
        </w:rPr>
      </w:pPr>
      <w:r>
        <w:rPr>
          <w:rFonts w:ascii="Times New Roman" w:hAnsi="Times New Roman" w:eastAsia="宋体" w:cs="Times New Roman"/>
          <w:i/>
          <w:iCs/>
          <w:color w:val="E54C5E" w:themeColor="accent6"/>
          <w:kern w:val="0"/>
          <w:sz w:val="28"/>
          <w:szCs w:val="28"/>
          <w:lang w:eastAsia="en-US"/>
          <w14:textFill>
            <w14:solidFill>
              <w14:schemeClr w14:val="accent6"/>
            </w14:solidFill>
          </w14:textFill>
        </w:rPr>
        <w:t>These controls distinguish the operational procedure from a full-sample decomposition followed by retrospective splitting. In particular, neither the final test targets nor their surrounding future observations entered the decomposition or reconstruction used to generate a forecast at origin t.</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3.</w:t>
      </w:r>
      <w:r>
        <w:rPr>
          <w:rFonts w:hint="default" w:ascii="Times New Roman" w:hAnsi="Times New Roman" w:cs="Times New Roman"/>
          <w:i w:val="0"/>
          <w:iCs w:val="0"/>
          <w:caps w:val="0"/>
          <w:color w:val="000033"/>
          <w:spacing w:val="0"/>
          <w:sz w:val="28"/>
          <w:szCs w:val="28"/>
        </w:rPr>
        <w:t>- The new robustness experiments are useful, but the regime-shift evaluation is still relatively mild because the test distributions remain economically related to the training regime. True crisis-transfer robustness (e.g., COVID spike / Ukraine-war shock isolation) is still not deeply examined.</w:t>
      </w:r>
    </w:p>
    <w:p w14:paraId="6C9C14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cs="Times New Roman" w:eastAsiaTheme="minorEastAsia"/>
          <w:i/>
          <w:iCs/>
          <w:caps w:val="0"/>
          <w:color w:val="000033"/>
          <w:spacing w:val="0"/>
          <w:sz w:val="28"/>
          <w:szCs w:val="28"/>
          <w:lang w:val="en-US" w:eastAsia="zh-CN"/>
        </w:rPr>
      </w:pPr>
      <w:r>
        <w:rPr>
          <w:rFonts w:hint="eastAsia" w:ascii="Times New Roman" w:hAnsi="Times New Roman" w:cs="Times New Roman" w:eastAsiaTheme="minorEastAsia"/>
          <w:i/>
          <w:iCs/>
          <w:caps w:val="0"/>
          <w:color w:val="000033"/>
          <w:spacing w:val="0"/>
          <w:sz w:val="28"/>
          <w:szCs w:val="28"/>
          <w:lang w:val="en-US" w:eastAsia="zh-CN"/>
        </w:rPr>
        <w:t>We sincerely thank the reviewer for this valuable comment. We agree that the current regime‑based evaluation mainly covers representative trend and volatility conditions, while more extreme exogenous‑shock scenarios—such as pandemic‑related demand disruptions and geopolitical energy supply shocks—require further dedicated investigation.Over the course of the previous revisions, we have already incorporated several robustness and supplementary analyses to strengthen the empirical evaluation. To maintain a focused experimental scope and avoid further overextending the manuscript, we did not add an additional crisis‑isolation experiment in this round. We have therefore explicitly acknowledged this limitation in the Limitations and Outlook section and identified it as a key priority for future research.</w:t>
      </w:r>
    </w:p>
    <w:p w14:paraId="199BAFF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cs="Times New Roman" w:eastAsiaTheme="minorEastAsia"/>
          <w:i/>
          <w:iCs/>
          <w:caps w:val="0"/>
          <w:color w:val="000033"/>
          <w:spacing w:val="0"/>
          <w:sz w:val="28"/>
          <w:szCs w:val="28"/>
          <w:lang w:val="en-US" w:eastAsia="zh-CN"/>
        </w:rPr>
      </w:pPr>
      <w:r>
        <w:rPr>
          <w:rFonts w:hint="eastAsia" w:ascii="Times New Roman" w:hAnsi="Times New Roman" w:cs="Times New Roman" w:eastAsiaTheme="minorEastAsia"/>
          <w:i/>
          <w:iCs/>
          <w:caps w:val="0"/>
          <w:color w:val="000033"/>
          <w:spacing w:val="0"/>
          <w:sz w:val="28"/>
          <w:szCs w:val="28"/>
          <w:lang w:val="en-US" w:eastAsia="zh-CN"/>
        </w:rPr>
        <w:t>The specific revisions are as follows (the newly added text is highlighted in italics for your convenience):</w:t>
      </w:r>
    </w:p>
    <w:p w14:paraId="11D35F80">
      <w:pPr>
        <w:pStyle w:val="2"/>
        <w:widowControl/>
        <w:spacing w:before="240" w:beforeAutospacing="0" w:after="80" w:afterAutospacing="0" w:line="300" w:lineRule="atLeast"/>
        <w:rPr>
          <w:rFonts w:hint="default" w:ascii="Times New Roman" w:hAnsi="Times New Roman" w:cs="Times New Roman"/>
          <w:i/>
          <w:iCs/>
          <w:caps w:val="0"/>
          <w:color w:val="E54C5E" w:themeColor="accent6"/>
          <w:spacing w:val="0"/>
          <w:sz w:val="28"/>
          <w:szCs w:val="28"/>
          <w14:textFill>
            <w14:solidFill>
              <w14:schemeClr w14:val="accent6"/>
            </w14:solidFill>
          </w14:textFill>
        </w:rPr>
      </w:pPr>
      <w:r>
        <w:rPr>
          <w:rFonts w:hint="default" w:ascii="Times New Roman" w:hAnsi="Times New Roman" w:cs="Times New Roman" w:eastAsiaTheme="minorEastAsia"/>
          <w:b/>
          <w:bCs/>
          <w:i/>
          <w:iCs/>
          <w:caps w:val="0"/>
          <w:color w:val="E54C5E" w:themeColor="accent6"/>
          <w:spacing w:val="0"/>
          <w:kern w:val="2"/>
          <w:sz w:val="28"/>
          <w:szCs w:val="28"/>
          <w:lang w:val="en-US" w:eastAsia="zh-CN" w:bidi="ar-SA"/>
          <w14:textFill>
            <w14:solidFill>
              <w14:schemeClr w14:val="accent6"/>
            </w14:solidFill>
          </w14:textFill>
        </w:rPr>
        <w:t>3.10 Limitations and Outlook</w:t>
      </w:r>
    </w:p>
    <w:p w14:paraId="6BEE773E">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eastAsiaTheme="minorEastAsia"/>
          <w:i/>
          <w:iCs/>
          <w:caps w:val="0"/>
          <w:color w:val="E54C5E" w:themeColor="accent6"/>
          <w:spacing w:val="0"/>
          <w:kern w:val="2"/>
          <w:sz w:val="28"/>
          <w:szCs w:val="28"/>
          <w:lang w:val="en-US" w:eastAsia="zh-CN" w:bidi="ar-SA"/>
          <w14:textFill>
            <w14:solidFill>
              <w14:schemeClr w14:val="accent6"/>
            </w14:solidFill>
          </w14:textFill>
        </w:rPr>
        <w:t>The proposed model demonstrates strong predictive performance in natural gas price forecasting by combining adaptive signal decomposition with a temporal attenuation mechanism to capture non-stationary patterns and balance short- and long-range dependencies. Nevertheless, several aspects can be further improved. First, the hybrid architecture, while effective, may reduce direct economic interpretability compared with simpler econometric models. Second, the current regime-based evaluation focuses on representative downward-trending, upward-trending, and high-volatility market conditions; future studies may extend this design to more extreme exogenous-shock scenarios, such as pandemic-related demand disruptions or geopolitical energy shocks. Third, further improvements in computational efficiency may be achieved through lightweight model designs, pruning, or knowledge distillation. Future research could also incorporate additional macroeconomic, inventory, weather, and policy-related variables to improve the model’s explanatory scope and practical relevance for energy market decision-making.</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4.</w:t>
      </w:r>
      <w:r>
        <w:rPr>
          <w:rFonts w:hint="default" w:ascii="Times New Roman" w:hAnsi="Times New Roman" w:cs="Times New Roman"/>
          <w:i w:val="0"/>
          <w:iCs w:val="0"/>
          <w:caps w:val="0"/>
          <w:color w:val="000033"/>
          <w:spacing w:val="0"/>
          <w:sz w:val="28"/>
          <w:szCs w:val="28"/>
        </w:rPr>
        <w:t>- The explanation for why longer-horizon direct forecasting may outperform shorter horizons is acceptable theoretically, but should be discussed more cautiously in the manuscript because readers may still interpret this as suspicious.</w:t>
      </w:r>
    </w:p>
    <w:p w14:paraId="09999B3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eastAsia" w:ascii="Times New Roman" w:hAnsi="Times New Roman" w:cs="Times New Roman" w:eastAsiaTheme="minorEastAsia"/>
          <w:i/>
          <w:iCs/>
          <w:caps w:val="0"/>
          <w:color w:val="000033"/>
          <w:spacing w:val="0"/>
          <w:kern w:val="2"/>
          <w:sz w:val="28"/>
          <w:szCs w:val="28"/>
          <w:lang w:val="en-US" w:eastAsia="zh-CN" w:bidi="ar-SA"/>
        </w:rPr>
      </w:pPr>
      <w:r>
        <w:rPr>
          <w:rFonts w:hint="eastAsia" w:ascii="Times New Roman" w:hAnsi="Times New Roman" w:cs="Times New Roman" w:eastAsiaTheme="minorEastAsia"/>
          <w:i/>
          <w:iCs/>
          <w:caps w:val="0"/>
          <w:color w:val="000033"/>
          <w:spacing w:val="0"/>
          <w:kern w:val="2"/>
          <w:sz w:val="28"/>
          <w:szCs w:val="28"/>
          <w:lang w:val="en-US" w:eastAsia="zh-CN" w:bidi="ar-SA"/>
        </w:rPr>
        <w:t>Thank you for this important suggestion. We agree that the non-monotonic performance across forecasting horizons requires more cautious interpretation. Accordingly, we have revised the relevant discussion in Section 3.5 (Lines 589–</w:t>
      </w:r>
      <w:r>
        <w:rPr>
          <w:rFonts w:hint="eastAsia" w:ascii="Times New Roman" w:hAnsi="Times New Roman" w:cs="Times New Roman"/>
          <w:i/>
          <w:iCs/>
          <w:caps w:val="0"/>
          <w:color w:val="000033"/>
          <w:spacing w:val="0"/>
          <w:kern w:val="2"/>
          <w:sz w:val="28"/>
          <w:szCs w:val="28"/>
          <w:lang w:val="en-US" w:eastAsia="zh-CN" w:bidi="ar-SA"/>
        </w:rPr>
        <w:t>600</w:t>
      </w:r>
      <w:r>
        <w:rPr>
          <w:rFonts w:hint="eastAsia" w:ascii="Times New Roman" w:hAnsi="Times New Roman" w:cs="Times New Roman" w:eastAsiaTheme="minorEastAsia"/>
          <w:i/>
          <w:iCs/>
          <w:caps w:val="0"/>
          <w:color w:val="000033"/>
          <w:spacing w:val="0"/>
          <w:kern w:val="2"/>
          <w:sz w:val="28"/>
          <w:szCs w:val="28"/>
          <w:lang w:val="en-US" w:eastAsia="zh-CN" w:bidi="ar-SA"/>
        </w:rPr>
        <w:t>) to clarify that each forecasting horizon is modeled independently under the direct forecasting strategy and to avoid presenting the favorable performance at T+25 as a definitive or generally applicable pattern. The revised discussion uses appropriately qualified language and emphasizes the overall stability of the model across forecasting horizons.</w:t>
      </w:r>
    </w:p>
    <w:p w14:paraId="4591BBA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560" w:firstLineChars="200"/>
        <w:textAlignment w:val="auto"/>
        <w:rPr>
          <w:rFonts w:hint="eastAsia" w:ascii="Times New Roman" w:hAnsi="Times New Roman" w:cs="Times New Roman" w:eastAsiaTheme="minorEastAsia"/>
          <w:i/>
          <w:iCs/>
          <w:caps w:val="0"/>
          <w:color w:val="000033"/>
          <w:spacing w:val="0"/>
          <w:sz w:val="28"/>
          <w:szCs w:val="28"/>
          <w:lang w:val="en-US" w:eastAsia="zh-CN"/>
        </w:rPr>
      </w:pPr>
      <w:r>
        <w:rPr>
          <w:rFonts w:hint="eastAsia" w:ascii="Times New Roman" w:hAnsi="Times New Roman" w:cs="Times New Roman" w:eastAsiaTheme="minorEastAsia"/>
          <w:i/>
          <w:iCs/>
          <w:caps w:val="0"/>
          <w:color w:val="000033"/>
          <w:spacing w:val="0"/>
          <w:sz w:val="28"/>
          <w:szCs w:val="28"/>
          <w:lang w:val="en-US" w:eastAsia="zh-CN"/>
        </w:rPr>
        <w:t>The specific revisions are as follows (the newly added text is highlighted in italics for your convenience):</w:t>
      </w:r>
    </w:p>
    <w:p w14:paraId="254BC51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560" w:firstLineChars="200"/>
        <w:textAlignment w:val="auto"/>
        <w:rPr>
          <w:rFonts w:hint="default" w:ascii="Times New Roman" w:hAnsi="Times New Roman" w:cs="Times New Roman"/>
          <w:i/>
          <w:iCs/>
          <w:caps w:val="0"/>
          <w:color w:val="000033"/>
          <w:spacing w:val="0"/>
          <w:sz w:val="28"/>
          <w:szCs w:val="28"/>
        </w:rPr>
      </w:pPr>
      <w:r>
        <w:rPr>
          <w:rFonts w:hint="eastAsia" w:ascii="Times New Roman" w:hAnsi="Times New Roman" w:cs="Times New Roman" w:eastAsiaTheme="minorEastAsia"/>
          <w:i/>
          <w:iCs/>
          <w:caps w:val="0"/>
          <w:color w:val="E54C5E" w:themeColor="accent6"/>
          <w:spacing w:val="0"/>
          <w:sz w:val="28"/>
          <w:szCs w:val="28"/>
          <w:lang w:val="en-US" w:eastAsia="zh-CN"/>
          <w14:textFill>
            <w14:solidFill>
              <w14:schemeClr w14:val="accent6"/>
            </w14:solidFill>
          </w14:textFill>
        </w:rPr>
        <w:t>For direct multi-step forecasting, the proposed model maintained high predictive accuracy across all evaluated horizons. Performance generally improved from T+1 to T+25, with the best result obtained at T+25, followed by a slight decline at T+30. This non-monotonic pattern may be partly attributed to the horizon-specific direct forecasting strategy, in which an independent model is trained for each horizon to learn the corresponding relationship between historical observations and future targets, thereby avoiding the error accumulation typically associated with recursive forecasting. In addition, CEEMDAN-SE reconstruction provides multi-scale representations of the original series, while the time-aware attention mechanism may facilitate the extraction of temporal dependencies relevant to different forecasting horizons. These characteristics may collectively contribute to the stable predictive performance observed across short- and medium-term horizons.</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5.</w:t>
      </w:r>
      <w:r>
        <w:rPr>
          <w:rFonts w:hint="default" w:ascii="Times New Roman" w:hAnsi="Times New Roman" w:cs="Times New Roman"/>
          <w:i w:val="0"/>
          <w:iCs w:val="0"/>
          <w:caps w:val="0"/>
          <w:color w:val="000033"/>
          <w:spacing w:val="0"/>
          <w:sz w:val="28"/>
          <w:szCs w:val="28"/>
        </w:rPr>
        <w:t>- The paper is now somewhat overextended experimentally; several robustness and appendix additions feel reactive and could benefit from tighter organization and condensation.</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 xml:space="preserve">  </w:t>
      </w:r>
      <w:r>
        <w:rPr>
          <w:rFonts w:hint="default" w:ascii="Times New Roman" w:hAnsi="Times New Roman" w:cs="Times New Roman"/>
          <w:i/>
          <w:iCs/>
          <w:caps w:val="0"/>
          <w:color w:val="000033"/>
          <w:spacing w:val="0"/>
          <w:sz w:val="28"/>
          <w:szCs w:val="28"/>
        </w:rPr>
        <w:t>Thank you for this thoughtful comment. We agree that, in responding to the previous review comments, we added several experimental and robustness analyses that made the manuscript and supplementary material overly extended and, in some places, insufficiently integrated. We therefore carefully condensed and reorganized Sections 3.3–3.9 and Section 4, removing repetitive descriptions and combining overlapping discussions while retaining the evidence necessary to support the conclusions. We also comprehensively revised the Supplementary Material so that the computational analysis, statistical tests, robustness evaluation, and ablation results are organized as coherent supporting evidence rather than separate responses to individual concerns. We believe these revisions have substantially improved the focus, logical flow, and readability of both the manuscript and the supplementary material.Thank you again for this constructive suggestion, which helped us substantially improve the focus, coherence, and readability of both the manuscript and the Supplementary Material.</w:t>
      </w:r>
    </w:p>
    <w:p w14:paraId="30DE2BFA">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iCs/>
          <w:caps w:val="0"/>
          <w:color w:val="000033"/>
          <w:spacing w:val="0"/>
          <w:sz w:val="28"/>
          <w:szCs w:val="28"/>
        </w:rPr>
      </w:pPr>
      <w:r>
        <w:rPr>
          <w:rFonts w:hint="default" w:ascii="Times New Roman" w:hAnsi="Times New Roman" w:cs="Times New Roman"/>
          <w:i w:val="0"/>
          <w:iCs w:val="0"/>
          <w:caps w:val="0"/>
          <w:color w:val="000033"/>
          <w:spacing w:val="0"/>
          <w:sz w:val="28"/>
          <w:szCs w:val="28"/>
        </w:rPr>
        <w:br w:type="textWrapping"/>
      </w:r>
      <w:r>
        <w:rPr>
          <w:rFonts w:hint="default" w:ascii="Times New Roman" w:hAnsi="Times New Roman" w:cs="Times New Roman"/>
          <w:i w:val="0"/>
          <w:iCs w:val="0"/>
          <w:caps w:val="0"/>
          <w:color w:val="000033"/>
          <w:spacing w:val="0"/>
          <w:sz w:val="28"/>
          <w:szCs w:val="28"/>
        </w:rPr>
        <w:t>Reviewer #8: The authors have solved all of my concerns</w:t>
      </w:r>
      <w:r>
        <w:rPr>
          <w:rFonts w:hint="default" w:ascii="Times New Roman" w:hAnsi="Times New Roman" w:cs="Times New Roman"/>
          <w:i w:val="0"/>
          <w:iCs w:val="0"/>
          <w:caps w:val="0"/>
          <w:color w:val="000033"/>
          <w:spacing w:val="0"/>
          <w:sz w:val="28"/>
          <w:szCs w:val="28"/>
        </w:rPr>
        <w:br w:type="textWrapping"/>
      </w:r>
      <w:r>
        <w:rPr>
          <w:rFonts w:hint="eastAsia" w:ascii="Times New Roman" w:hAnsi="Times New Roman" w:cs="Times New Roman"/>
          <w:i w:val="0"/>
          <w:iCs w:val="0"/>
          <w:caps w:val="0"/>
          <w:color w:val="000033"/>
          <w:spacing w:val="0"/>
          <w:sz w:val="28"/>
          <w:szCs w:val="28"/>
          <w:lang w:val="en-US" w:eastAsia="zh-CN"/>
        </w:rPr>
        <w:t xml:space="preserve">  </w:t>
      </w:r>
      <w:r>
        <w:rPr>
          <w:rFonts w:hint="eastAsia" w:ascii="Times New Roman" w:hAnsi="Times New Roman" w:cs="Times New Roman"/>
          <w:i/>
          <w:iCs/>
          <w:caps w:val="0"/>
          <w:color w:val="000033"/>
          <w:spacing w:val="0"/>
          <w:sz w:val="28"/>
          <w:szCs w:val="28"/>
          <w:lang w:val="en-US" w:eastAsia="zh-CN"/>
        </w:rPr>
        <w:t xml:space="preserve"> </w:t>
      </w:r>
      <w:r>
        <w:rPr>
          <w:rFonts w:hint="default" w:ascii="Times New Roman" w:hAnsi="Times New Roman" w:cs="Times New Roman"/>
          <w:i/>
          <w:iCs/>
          <w:caps w:val="0"/>
          <w:color w:val="000033"/>
          <w:spacing w:val="0"/>
          <w:sz w:val="28"/>
          <w:szCs w:val="28"/>
        </w:rPr>
        <w:t>We sincerely thank you for your positive feedback and for confirming that your concerns have been addressed. We are grateful for your constructive comments and helpful suggestions, which have helped us improve the manuscript. We appreciate the time and effort you have devoted to reviewing our work. Thank you once again for your valuable feedback and support.</w:t>
      </w:r>
    </w:p>
    <w:p w14:paraId="2A99BD26">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i w:val="0"/>
          <w:iCs w:val="0"/>
          <w:caps w:val="0"/>
          <w:color w:val="000033"/>
          <w:spacing w:val="0"/>
          <w:sz w:val="28"/>
          <w:szCs w:val="28"/>
        </w:rPr>
        <w:br w:type="textWrapping"/>
      </w:r>
      <w:r>
        <w:rPr>
          <w:rFonts w:hint="default" w:ascii="Times New Roman" w:hAnsi="Times New Roman" w:cs="Times New Roman"/>
          <w:i w:val="0"/>
          <w:iCs w:val="0"/>
          <w:caps w:val="0"/>
          <w:color w:val="000033"/>
          <w:spacing w:val="0"/>
          <w:sz w:val="28"/>
          <w:szCs w:val="28"/>
        </w:rPr>
        <w:t>Reviewer #9: The manuscript (ASOC-D-25-10267R2) titled "A One-Shot AutoML Framework and Transformer to Enhance Accuracy and Efficiency in Natural Gas Price Forecasting" presents an interesting and relevant study in energy price forecasting. The authors have carefully revised the manuscript, which has substantially improved it in terms of statistical analyses, baseline comparisons, hyperparameter tuning procedures, ablation studies, SHAP interpretation method, role of AutoML in the overall framework. I have no further concerns and believe that the manuscript is suitable for publication, subject to the editor's final decision.</w:t>
      </w:r>
    </w:p>
    <w:p w14:paraId="0E5915A9">
      <w:pPr>
        <w:pStyle w:val="3"/>
        <w:keepNext w:val="0"/>
        <w:keepLines w:val="0"/>
        <w:pageBreakBefore w:val="0"/>
        <w:widowControl/>
        <w:suppressLineNumbers w:val="0"/>
        <w:kinsoku/>
        <w:wordWrap/>
        <w:overflowPunct/>
        <w:topLinePunct w:val="0"/>
        <w:autoSpaceDE/>
        <w:autoSpaceDN/>
        <w:bidi w:val="0"/>
        <w:adjustRightInd/>
        <w:snapToGrid/>
        <w:spacing w:line="360" w:lineRule="auto"/>
        <w:ind w:left="0" w:firstLine="560" w:firstLineChars="200"/>
        <w:jc w:val="both"/>
        <w:textAlignment w:val="auto"/>
        <w:rPr>
          <w:rFonts w:hint="default" w:ascii="Times New Roman" w:hAnsi="Times New Roman" w:cs="Times New Roman"/>
          <w:i w:val="0"/>
          <w:iCs w:val="0"/>
          <w:caps w:val="0"/>
          <w:color w:val="000033"/>
          <w:spacing w:val="0"/>
          <w:sz w:val="28"/>
          <w:szCs w:val="28"/>
        </w:rPr>
      </w:pPr>
      <w:r>
        <w:rPr>
          <w:rFonts w:hint="default" w:ascii="Times New Roman" w:hAnsi="Times New Roman" w:cs="Times New Roman"/>
          <w:i/>
          <w:iCs/>
          <w:caps w:val="0"/>
          <w:color w:val="000033"/>
          <w:spacing w:val="0"/>
          <w:sz w:val="28"/>
          <w:szCs w:val="28"/>
        </w:rPr>
        <w:t>We sincerely thank you for your positive and encouraging feedback. We greatly appreciate the time and effort you have devoted to carefully evaluating our revised manuscript and to considering the changes made during the revision process.We are pleased that the revisions have addressed your concerns and that you recognize the improvements made to the manuscript. Your careful review and constructive evaluation have been very valuable to us and have helped us further improve the clarity, rigor, and overall quality of our work.Thank you once again for your thoughtful assessment, valuable feedback, and support.</w:t>
      </w:r>
      <w:r>
        <w:rPr>
          <w:rFonts w:hint="default" w:ascii="Times New Roman" w:hAnsi="Times New Roman" w:cs="Times New Roman"/>
          <w:i w:val="0"/>
          <w:iCs w:val="0"/>
          <w:caps w:val="0"/>
          <w:color w:val="000033"/>
          <w:spacing w:val="0"/>
          <w:sz w:val="28"/>
          <w:szCs w:val="28"/>
        </w:rPr>
        <w:br w:type="textWrapping"/>
      </w:r>
      <w:r>
        <w:rPr>
          <w:rFonts w:hint="default" w:ascii="Times New Roman" w:hAnsi="Times New Roman" w:cs="Times New Roman"/>
          <w:i w:val="0"/>
          <w:iCs w:val="0"/>
          <w:caps w:val="0"/>
          <w:color w:val="000033"/>
          <w:spacing w:val="0"/>
          <w:sz w:val="28"/>
          <w:szCs w:val="28"/>
        </w:rPr>
        <w:br w:type="textWrapping"/>
      </w:r>
      <w:bookmarkStart w:id="0" w:name="_GoBack"/>
      <w:bookmarkEnd w:id="0"/>
      <w:r>
        <w:rPr>
          <w:rFonts w:hint="default" w:ascii="Times New Roman" w:hAnsi="Times New Roman" w:cs="Times New Roman"/>
          <w:i w:val="0"/>
          <w:iCs w:val="0"/>
          <w:caps w:val="0"/>
          <w:color w:val="000033"/>
          <w:spacing w:val="0"/>
          <w:sz w:val="28"/>
          <w:szCs w:val="28"/>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45460"/>
    <w:rsid w:val="14425B91"/>
    <w:rsid w:val="1A762CF8"/>
    <w:rsid w:val="1DE33F41"/>
    <w:rsid w:val="21E116E9"/>
    <w:rsid w:val="26526108"/>
    <w:rsid w:val="27007912"/>
    <w:rsid w:val="275814FC"/>
    <w:rsid w:val="2B801021"/>
    <w:rsid w:val="2E9848D4"/>
    <w:rsid w:val="32627A4B"/>
    <w:rsid w:val="33964336"/>
    <w:rsid w:val="379C6FB4"/>
    <w:rsid w:val="419378A9"/>
    <w:rsid w:val="429A4C67"/>
    <w:rsid w:val="496C637E"/>
    <w:rsid w:val="4C83676C"/>
    <w:rsid w:val="4DDC4386"/>
    <w:rsid w:val="4E3046D1"/>
    <w:rsid w:val="51864D34"/>
    <w:rsid w:val="5D164CA2"/>
    <w:rsid w:val="68040309"/>
    <w:rsid w:val="6A7C062B"/>
    <w:rsid w:val="739C1D3D"/>
    <w:rsid w:val="740A6CA7"/>
    <w:rsid w:val="77DC095A"/>
    <w:rsid w:val="78E7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Strong"/>
    <w:basedOn w:val="6"/>
    <w:qFormat/>
    <w:uiPriority w:val="0"/>
    <w:rPr>
      <w:b/>
    </w:rPr>
  </w:style>
  <w:style w:type="paragraph" w:customStyle="1" w:styleId="8">
    <w:name w:val="表标题"/>
    <w:basedOn w:val="1"/>
    <w:qFormat/>
    <w:uiPriority w:val="0"/>
    <w:pPr>
      <w:overflowPunct w:val="0"/>
      <w:spacing w:line="400" w:lineRule="exact"/>
      <w:ind w:firstLine="480" w:firstLineChars="200"/>
    </w:pPr>
    <w:rPr>
      <w:rFonts w:hint="default" w:ascii="Times New Roman" w:hAnsi="Times New Roman" w:eastAsia="黑体" w:cs="Times New Roman"/>
      <w:sz w:val="18"/>
      <w:szCs w:val="32"/>
    </w:rPr>
  </w:style>
  <w:style w:type="paragraph" w:customStyle="1" w:styleId="9">
    <w:name w:val="图标题"/>
    <w:basedOn w:val="1"/>
    <w:qFormat/>
    <w:uiPriority w:val="0"/>
    <w:pPr>
      <w:overflowPunct w:val="0"/>
      <w:spacing w:line="400" w:lineRule="exact"/>
      <w:ind w:firstLine="480" w:firstLineChars="200"/>
    </w:pPr>
    <w:rPr>
      <w:rFonts w:hint="default" w:ascii="Times New Roman" w:hAnsi="Times New Roman" w:eastAsia="黑体" w:cs="Times New Roman"/>
      <w:sz w:val="18"/>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2360</Words>
  <Characters>15132</Characters>
  <Lines>0</Lines>
  <Paragraphs>0</Paragraphs>
  <TotalTime>5</TotalTime>
  <ScaleCrop>false</ScaleCrop>
  <LinksUpToDate>false</LinksUpToDate>
  <CharactersWithSpaces>17429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2026-03-26T06:22:00Z</dcterms:created>
  <dc:creator>7iCK</dc:creator>
  <cp:lastModifiedBy>7ick</cp:lastModifiedBy>
  <dcterms:modified xsi:type="dcterms:W3CDTF">2026-06-18T09:40:52Z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BB9AEAAA01F545E68238FF0C37D27223_12</vt:lpwstr>
  </property>
  <property fmtid="{D5CDD505-2E9C-101B-9397-08002B2CF9AE}" pid="4" name="KSOTemplateDocerSaveRecord">
    <vt:lpwstr>eyJoZGlkIjoiNjRlZTE2Mzc1YmU4NDA1OGFjMDhmZmFmNWQ3MTVkYTUiLCJ1c2VySWQiOiI0MDYwNzYxMTYifQ==</vt:lpwstr>
  </property>
</Properties>
</file>