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8B67EF">
      <w:pPr>
        <w:pageBreakBefore w:val="0"/>
        <w:widowControl/>
        <w:kinsoku/>
        <w:wordWrap/>
        <w:overflowPunct/>
        <w:topLinePunct w:val="0"/>
        <w:autoSpaceDE/>
        <w:autoSpaceDN/>
        <w:bidi w:val="0"/>
        <w:adjustRightInd/>
        <w:snapToGrid/>
        <w:spacing w:after="280" w:line="360" w:lineRule="auto"/>
        <w:jc w:val="center"/>
        <w:textAlignment w:val="auto"/>
        <w:rPr>
          <w:sz w:val="24"/>
          <w:szCs w:val="24"/>
        </w:rPr>
      </w:pPr>
      <w:r>
        <w:rPr>
          <w:rFonts w:ascii="Times New Roman" w:hAnsi="Times New Roman"/>
          <w:b/>
          <w:sz w:val="24"/>
          <w:szCs w:val="24"/>
        </w:rPr>
        <w:t>Supplementary Material</w:t>
      </w:r>
    </w:p>
    <w:p w14:paraId="7EEF025B">
      <w:pPr>
        <w:pStyle w:val="3"/>
        <w:keepNext/>
        <w:pageBreakBefore w:val="0"/>
        <w:widowControl/>
        <w:kinsoku/>
        <w:wordWrap/>
        <w:overflowPunct/>
        <w:topLinePunct w:val="0"/>
        <w:autoSpaceDE/>
        <w:autoSpaceDN/>
        <w:bidi w:val="0"/>
        <w:adjustRightInd/>
        <w:snapToGrid/>
        <w:spacing w:before="200" w:after="60" w:line="360" w:lineRule="auto"/>
        <w:textAlignment w:val="auto"/>
        <w:rPr>
          <w:sz w:val="24"/>
          <w:szCs w:val="24"/>
        </w:rPr>
      </w:pPr>
      <w:r>
        <w:rPr>
          <w:rFonts w:ascii="Times New Roman" w:hAnsi="Times New Roman"/>
          <w:b/>
          <w:sz w:val="24"/>
          <w:szCs w:val="24"/>
        </w:rPr>
        <w:t>Appendix A. Computational Complexity and Implementation Details</w:t>
      </w:r>
    </w:p>
    <w:p w14:paraId="0A0472BE">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sz w:val="24"/>
          <w:szCs w:val="24"/>
        </w:rPr>
      </w:pPr>
      <w:r>
        <w:rPr>
          <w:rFonts w:ascii="Times New Roman" w:hAnsi="Times New Roman"/>
          <w:sz w:val="24"/>
          <w:szCs w:val="24"/>
        </w:rPr>
        <w:t>This appendix documents the computational characteristics and implementation conditions of the CEEMDAN-SE-Time-Aware Transformer. The reported configuration corresponds to the final experiments: an input sequence length of 30 days, d_model = 64, eight attention heads, two encoder layers, d_ff = 128, a batch size of 32, and 300 training epochs. The aligned Henry Hub dataset contains 2,651 effective observations from January 2014 to January 2024.</w:t>
      </w:r>
    </w:p>
    <w:p w14:paraId="1906BFB7">
      <w:pPr>
        <w:pStyle w:val="4"/>
        <w:keepNext/>
        <w:pageBreakBefore w:val="0"/>
        <w:widowControl/>
        <w:kinsoku/>
        <w:wordWrap/>
        <w:overflowPunct/>
        <w:topLinePunct w:val="0"/>
        <w:autoSpaceDE/>
        <w:autoSpaceDN/>
        <w:bidi w:val="0"/>
        <w:adjustRightInd/>
        <w:snapToGrid/>
        <w:spacing w:before="140" w:after="60" w:line="360" w:lineRule="auto"/>
        <w:textAlignment w:val="auto"/>
        <w:rPr>
          <w:sz w:val="24"/>
          <w:szCs w:val="24"/>
        </w:rPr>
      </w:pPr>
      <w:r>
        <w:rPr>
          <w:rFonts w:ascii="Times New Roman" w:hAnsi="Times New Roman"/>
          <w:b/>
          <w:sz w:val="24"/>
          <w:szCs w:val="24"/>
        </w:rPr>
        <w:t>A.1 Theoretical computational complexity</w:t>
      </w:r>
    </w:p>
    <w:p w14:paraId="575F36DC">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ascii="Times New Roman" w:hAnsi="Times New Roman"/>
          <w:sz w:val="24"/>
          <w:szCs w:val="24"/>
        </w:rPr>
      </w:pPr>
      <w:r>
        <w:rPr>
          <w:rFonts w:ascii="Times New Roman" w:hAnsi="Times New Roman"/>
          <w:sz w:val="24"/>
          <w:szCs w:val="24"/>
        </w:rPr>
        <w:t>The computational workflow consists of decomposition, entropy-guided reconstruction, and horizon-specific forecasting. These stages are reported separately because their costs occur at different points in the workflow.</w:t>
      </w:r>
    </w:p>
    <w:p w14:paraId="601D698E">
      <w:pPr>
        <w:pStyle w:val="16"/>
        <w:pageBreakBefore w:val="0"/>
        <w:widowControl/>
        <w:kinsoku/>
        <w:wordWrap/>
        <w:overflowPunct/>
        <w:topLinePunct w:val="0"/>
        <w:autoSpaceDE/>
        <w:autoSpaceDN/>
        <w:bidi w:val="0"/>
        <w:adjustRightInd/>
        <w:snapToGrid/>
        <w:spacing w:after="40" w:line="360" w:lineRule="auto"/>
        <w:ind w:left="360" w:hanging="216"/>
        <w:textAlignment w:val="auto"/>
        <w:rPr>
          <w:sz w:val="24"/>
          <w:szCs w:val="24"/>
        </w:rPr>
      </w:pPr>
      <w:r>
        <w:rPr>
          <w:rFonts w:ascii="Times New Roman" w:hAnsi="Times New Roman"/>
          <w:b/>
          <w:sz w:val="24"/>
          <w:szCs w:val="24"/>
        </w:rPr>
        <w:t xml:space="preserve">CEEMDAN decomposition. </w:t>
      </w:r>
      <w:r>
        <w:rPr>
          <w:rFonts w:ascii="Times New Roman" w:hAnsi="Times New Roman"/>
          <w:sz w:val="24"/>
          <w:szCs w:val="24"/>
        </w:rPr>
        <w:t>For a sequence of length N, an ensemble size M, and K extracted modes, the computational cost is dominated by repeated sifting and can be expressed approximately as O(MKN</w:t>
      </w:r>
      <w:r>
        <w:rPr>
          <w:rFonts w:hint="eastAsia" w:eastAsia="宋体"/>
          <w:sz w:val="24"/>
          <w:szCs w:val="24"/>
          <w:lang w:val="en-US" w:eastAsia="zh-CN"/>
        </w:rPr>
        <w:t>*</w:t>
      </w:r>
      <w:r>
        <w:rPr>
          <w:rFonts w:ascii="Times New Roman" w:hAnsi="Times New Roman"/>
          <w:sz w:val="24"/>
          <w:szCs w:val="24"/>
        </w:rPr>
        <w:t>log N). In the present implementation, the initial decomposition generally produced 10–14 intrinsic mode functions (IMFs). During the experiments, decomposition was performed as part of data preprocessing. In an operational system in which new observations require updated decomposition, this cost would form part of the end-to-end forecasting pipeline.</w:t>
      </w:r>
    </w:p>
    <w:p w14:paraId="0327EC40">
      <w:pPr>
        <w:pStyle w:val="16"/>
        <w:pageBreakBefore w:val="0"/>
        <w:widowControl/>
        <w:kinsoku/>
        <w:wordWrap/>
        <w:overflowPunct/>
        <w:topLinePunct w:val="0"/>
        <w:autoSpaceDE/>
        <w:autoSpaceDN/>
        <w:bidi w:val="0"/>
        <w:adjustRightInd/>
        <w:snapToGrid/>
        <w:spacing w:after="40" w:line="360" w:lineRule="auto"/>
        <w:ind w:left="360" w:hanging="216"/>
        <w:textAlignment w:val="auto"/>
        <w:rPr>
          <w:sz w:val="24"/>
          <w:szCs w:val="24"/>
        </w:rPr>
      </w:pPr>
      <w:r>
        <w:rPr>
          <w:rFonts w:ascii="Times New Roman" w:hAnsi="Times New Roman"/>
          <w:b/>
          <w:sz w:val="24"/>
          <w:szCs w:val="24"/>
        </w:rPr>
        <w:t xml:space="preserve">Sample-entropy-guided reconstruction. </w:t>
      </w:r>
      <w:r>
        <w:rPr>
          <w:rFonts w:ascii="Times New Roman" w:hAnsi="Times New Roman"/>
          <w:sz w:val="24"/>
          <w:szCs w:val="24"/>
        </w:rPr>
        <w:t>Sample entropy is computed for the decomposed modes and modes with similar complexity are subsequently merged. The entropy calculation is approximately O(KN</w:t>
      </w:r>
      <w:r>
        <w:rPr>
          <w:rFonts w:hint="eastAsia" w:eastAsia="宋体"/>
          <w:sz w:val="24"/>
          <w:szCs w:val="24"/>
          <w:lang w:val="en-US" w:eastAsia="zh-CN"/>
        </w:rPr>
        <w:t>*</w:t>
      </w:r>
      <w:r>
        <w:rPr>
          <w:rFonts w:ascii="Times New Roman" w:hAnsi="Times New Roman"/>
          <w:sz w:val="24"/>
          <w:szCs w:val="24"/>
        </w:rPr>
        <w:t>log N), depending on the implementation. Reconstruction reduced the effective representation to approximately 4–6 components (mean 5.1 in the recorded experiments), thereby reducing the dimensionality passed to the forecasting network. This reduction affects downstream model computation; it should not be interpreted as reducing the cost already incurred in generating the original CEEMDAN modes.</w:t>
      </w:r>
    </w:p>
    <w:p w14:paraId="2A8DFCA2">
      <w:pPr>
        <w:pStyle w:val="16"/>
        <w:pageBreakBefore w:val="0"/>
        <w:widowControl/>
        <w:kinsoku/>
        <w:wordWrap/>
        <w:overflowPunct/>
        <w:topLinePunct w:val="0"/>
        <w:autoSpaceDE/>
        <w:autoSpaceDN/>
        <w:bidi w:val="0"/>
        <w:adjustRightInd/>
        <w:snapToGrid/>
        <w:spacing w:after="40" w:line="360" w:lineRule="auto"/>
        <w:ind w:left="360" w:hanging="216"/>
        <w:textAlignment w:val="auto"/>
        <w:rPr>
          <w:sz w:val="24"/>
          <w:szCs w:val="24"/>
        </w:rPr>
      </w:pPr>
      <w:r>
        <w:rPr>
          <w:rFonts w:ascii="Times New Roman" w:hAnsi="Times New Roman"/>
          <w:b/>
          <w:sz w:val="24"/>
          <w:szCs w:val="24"/>
        </w:rPr>
        <w:t xml:space="preserve">Time-aware Transformer. </w:t>
      </w:r>
      <w:r>
        <w:rPr>
          <w:rFonts w:ascii="Times New Roman" w:hAnsi="Times New Roman"/>
          <w:sz w:val="24"/>
          <w:szCs w:val="24"/>
        </w:rPr>
        <w:t>For each encoder layer, the principal operations scale as O(L²d + Ld d_ff), where L is the sequence length and d is the model dimension. With L = 30, d = 64, and d_ff = 128, the approximate forward cost is 3.03 × 10⁵ floating-point operations per layer and 6.06 × 10⁵ for two layers, excluding embedding, output, and implementation-specific overhead. The final network contains approximately 2.3 × 10⁵ trainable parameters.</w:t>
      </w:r>
    </w:p>
    <w:p w14:paraId="1C9CB11E">
      <w:pPr>
        <w:pStyle w:val="4"/>
        <w:keepNext/>
        <w:pageBreakBefore w:val="0"/>
        <w:widowControl/>
        <w:kinsoku/>
        <w:wordWrap/>
        <w:overflowPunct/>
        <w:topLinePunct w:val="0"/>
        <w:autoSpaceDE/>
        <w:autoSpaceDN/>
        <w:bidi w:val="0"/>
        <w:adjustRightInd/>
        <w:snapToGrid/>
        <w:spacing w:before="140" w:after="60" w:line="360" w:lineRule="auto"/>
        <w:textAlignment w:val="auto"/>
        <w:rPr>
          <w:sz w:val="24"/>
          <w:szCs w:val="24"/>
        </w:rPr>
      </w:pPr>
      <w:r>
        <w:rPr>
          <w:rFonts w:ascii="Times New Roman" w:hAnsi="Times New Roman"/>
          <w:b/>
          <w:sz w:val="24"/>
          <w:szCs w:val="24"/>
        </w:rPr>
        <w:t>A.2 Empirical computational performance</w:t>
      </w:r>
    </w:p>
    <w:p w14:paraId="5B8D3459">
      <w:pPr>
        <w:pageBreakBefore w:val="0"/>
        <w:widowControl/>
        <w:kinsoku/>
        <w:wordWrap/>
        <w:overflowPunct/>
        <w:topLinePunct w:val="0"/>
        <w:autoSpaceDE/>
        <w:autoSpaceDN/>
        <w:bidi w:val="0"/>
        <w:adjustRightInd/>
        <w:snapToGrid/>
        <w:spacing w:line="360" w:lineRule="auto"/>
        <w:ind w:firstLine="360"/>
        <w:jc w:val="both"/>
        <w:textAlignment w:val="auto"/>
        <w:rPr>
          <w:rFonts w:ascii="Times New Roman" w:hAnsi="Times New Roman"/>
          <w:sz w:val="24"/>
          <w:szCs w:val="24"/>
        </w:rPr>
      </w:pPr>
      <w:r>
        <w:rPr>
          <w:rFonts w:ascii="Times New Roman" w:hAnsi="Times New Roman"/>
          <w:sz w:val="24"/>
          <w:szCs w:val="24"/>
        </w:rPr>
        <w:t>Runtime measurements were obtained using PyTorch 2.0 or later and CUDA 12.1 on the NVIDIA RTX 4060 system used for the final experiments. Because latency depends on hardware, software versions, synchronization, data transfer, and preprocessing scope, the values below describe this implementation rather than hardware-independent performance.</w:t>
      </w:r>
    </w:p>
    <w:p w14:paraId="7D8F4990">
      <w:pPr>
        <w:keepNext/>
        <w:pageBreakBefore w:val="0"/>
        <w:widowControl/>
        <w:kinsoku/>
        <w:wordWrap/>
        <w:overflowPunct/>
        <w:topLinePunct w:val="0"/>
        <w:autoSpaceDE/>
        <w:autoSpaceDN/>
        <w:bidi w:val="0"/>
        <w:adjustRightInd/>
        <w:snapToGrid/>
        <w:spacing w:before="80" w:after="80" w:line="360" w:lineRule="auto"/>
        <w:jc w:val="center"/>
        <w:textAlignment w:val="auto"/>
        <w:rPr>
          <w:sz w:val="24"/>
          <w:szCs w:val="24"/>
        </w:rPr>
      </w:pPr>
      <w:r>
        <w:rPr>
          <w:rFonts w:ascii="Times New Roman" w:hAnsi="Times New Roman"/>
          <w:b/>
          <w:sz w:val="24"/>
          <w:szCs w:val="24"/>
        </w:rPr>
        <w:t>Table A.1. Computational performance under the reported implementation conditions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54"/>
        <w:gridCol w:w="3154"/>
        <w:gridCol w:w="3154"/>
      </w:tblGrid>
      <w:tr w14:paraId="4262B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Borders>
              <w:top w:val="single" w:color="000000" w:sz="12" w:space="0"/>
              <w:left w:val="nil"/>
              <w:bottom w:val="single" w:color="000000" w:sz="4" w:space="0"/>
              <w:right w:val="nil"/>
              <w:tl2br w:val="nil"/>
            </w:tcBorders>
            <w:shd w:val="clear" w:color="auto" w:fill="FFFFFF"/>
            <w:tcMar>
              <w:top w:w="80" w:type="dxa"/>
              <w:left w:w="100" w:type="dxa"/>
              <w:bottom w:w="80" w:type="dxa"/>
              <w:right w:w="100" w:type="dxa"/>
            </w:tcMar>
            <w:vAlign w:val="center"/>
          </w:tcPr>
          <w:p w14:paraId="41E5F6D3">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Measure</w:t>
            </w:r>
          </w:p>
        </w:tc>
        <w:tc>
          <w:tcPr>
            <w:tcW w:w="3312" w:type="dxa"/>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5A2BFE0B">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Evaluation condition</w:t>
            </w:r>
          </w:p>
        </w:tc>
        <w:tc>
          <w:tcPr>
            <w:tcW w:w="3600" w:type="dxa"/>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71672094">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Observed value</w:t>
            </w:r>
          </w:p>
        </w:tc>
      </w:tr>
      <w:tr w14:paraId="234DF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39616C30">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Training time</w:t>
            </w:r>
          </w:p>
        </w:tc>
        <w:tc>
          <w:tcPr>
            <w:tcW w:w="3312"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61DACDC0">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300 epochs</w:t>
            </w:r>
          </w:p>
        </w:tc>
        <w:tc>
          <w:tcPr>
            <w:tcW w:w="3600"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12A7CB84">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3–5 min (mean 4.2 min over five runs)</w:t>
            </w:r>
          </w:p>
        </w:tc>
      </w:tr>
      <w:tr w14:paraId="3F434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Borders>
              <w:top w:val="nil"/>
              <w:left w:val="nil"/>
              <w:bottom w:val="nil"/>
              <w:right w:val="nil"/>
            </w:tcBorders>
            <w:shd w:val="clear" w:color="auto" w:fill="FFFFFF"/>
            <w:tcMar>
              <w:top w:w="80" w:type="dxa"/>
              <w:left w:w="100" w:type="dxa"/>
              <w:bottom w:w="80" w:type="dxa"/>
              <w:right w:w="100" w:type="dxa"/>
            </w:tcMar>
            <w:vAlign w:val="center"/>
          </w:tcPr>
          <w:p w14:paraId="30AC9C1A">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Epoch duration</w:t>
            </w:r>
          </w:p>
        </w:tc>
        <w:tc>
          <w:tcPr>
            <w:tcW w:w="3312" w:type="dxa"/>
            <w:tcBorders>
              <w:top w:val="nil"/>
              <w:left w:val="nil"/>
              <w:bottom w:val="nil"/>
              <w:right w:val="nil"/>
            </w:tcBorders>
            <w:shd w:val="clear" w:color="auto" w:fill="FFFFFF"/>
            <w:tcMar>
              <w:top w:w="80" w:type="dxa"/>
              <w:left w:w="100" w:type="dxa"/>
              <w:bottom w:w="80" w:type="dxa"/>
              <w:right w:w="100" w:type="dxa"/>
            </w:tcMar>
            <w:vAlign w:val="center"/>
          </w:tcPr>
          <w:p w14:paraId="5D6EAE4A">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Batch size 32</w:t>
            </w:r>
          </w:p>
        </w:tc>
        <w:tc>
          <w:tcPr>
            <w:tcW w:w="3600" w:type="dxa"/>
            <w:tcBorders>
              <w:top w:val="nil"/>
              <w:left w:val="nil"/>
              <w:bottom w:val="nil"/>
              <w:right w:val="nil"/>
            </w:tcBorders>
            <w:shd w:val="clear" w:color="auto" w:fill="FFFFFF"/>
            <w:tcMar>
              <w:top w:w="80" w:type="dxa"/>
              <w:left w:w="100" w:type="dxa"/>
              <w:bottom w:w="80" w:type="dxa"/>
              <w:right w:w="100" w:type="dxa"/>
            </w:tcMar>
            <w:vAlign w:val="center"/>
          </w:tcPr>
          <w:p w14:paraId="40B90068">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Approximately 1.2–1.5 s</w:t>
            </w:r>
          </w:p>
        </w:tc>
      </w:tr>
      <w:tr w14:paraId="7D6B4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Borders>
              <w:top w:val="nil"/>
              <w:left w:val="nil"/>
              <w:bottom w:val="nil"/>
              <w:right w:val="nil"/>
            </w:tcBorders>
            <w:shd w:val="clear" w:color="auto" w:fill="FFFFFF"/>
            <w:tcMar>
              <w:top w:w="80" w:type="dxa"/>
              <w:left w:w="100" w:type="dxa"/>
              <w:bottom w:w="80" w:type="dxa"/>
              <w:right w:w="100" w:type="dxa"/>
            </w:tcMar>
            <w:vAlign w:val="center"/>
          </w:tcPr>
          <w:p w14:paraId="3117B364">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Peak training memory</w:t>
            </w:r>
          </w:p>
        </w:tc>
        <w:tc>
          <w:tcPr>
            <w:tcW w:w="3312" w:type="dxa"/>
            <w:tcBorders>
              <w:top w:val="nil"/>
              <w:left w:val="nil"/>
              <w:bottom w:val="nil"/>
              <w:right w:val="nil"/>
            </w:tcBorders>
            <w:shd w:val="clear" w:color="auto" w:fill="FFFFFF"/>
            <w:tcMar>
              <w:top w:w="80" w:type="dxa"/>
              <w:left w:w="100" w:type="dxa"/>
              <w:bottom w:w="80" w:type="dxa"/>
              <w:right w:w="100" w:type="dxa"/>
            </w:tcMar>
            <w:vAlign w:val="center"/>
          </w:tcPr>
          <w:p w14:paraId="53273A4D">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GPU allocation</w:t>
            </w:r>
          </w:p>
        </w:tc>
        <w:tc>
          <w:tcPr>
            <w:tcW w:w="3600" w:type="dxa"/>
            <w:tcBorders>
              <w:top w:val="nil"/>
              <w:left w:val="nil"/>
              <w:bottom w:val="nil"/>
              <w:right w:val="nil"/>
            </w:tcBorders>
            <w:shd w:val="clear" w:color="auto" w:fill="FFFFFF"/>
            <w:tcMar>
              <w:top w:w="80" w:type="dxa"/>
              <w:left w:w="100" w:type="dxa"/>
              <w:bottom w:w="80" w:type="dxa"/>
              <w:right w:w="100" w:type="dxa"/>
            </w:tcMar>
            <w:vAlign w:val="center"/>
          </w:tcPr>
          <w:p w14:paraId="2F19B53F">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6.2–7.8 GB (mean 7.0 GB)</w:t>
            </w:r>
          </w:p>
        </w:tc>
      </w:tr>
      <w:tr w14:paraId="7EEF6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Borders>
              <w:top w:val="nil"/>
              <w:left w:val="nil"/>
              <w:bottom w:val="nil"/>
              <w:right w:val="nil"/>
            </w:tcBorders>
            <w:shd w:val="clear" w:color="auto" w:fill="FFFFFF"/>
            <w:tcMar>
              <w:top w:w="80" w:type="dxa"/>
              <w:left w:w="100" w:type="dxa"/>
              <w:bottom w:w="80" w:type="dxa"/>
              <w:right w:w="100" w:type="dxa"/>
            </w:tcMar>
            <w:vAlign w:val="center"/>
          </w:tcPr>
          <w:p w14:paraId="57277A78">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End-to-end latency</w:t>
            </w:r>
          </w:p>
        </w:tc>
        <w:tc>
          <w:tcPr>
            <w:tcW w:w="3312" w:type="dxa"/>
            <w:tcBorders>
              <w:top w:val="nil"/>
              <w:left w:val="nil"/>
              <w:bottom w:val="nil"/>
              <w:right w:val="nil"/>
            </w:tcBorders>
            <w:shd w:val="clear" w:color="auto" w:fill="FFFFFF"/>
            <w:tcMar>
              <w:top w:w="80" w:type="dxa"/>
              <w:left w:w="100" w:type="dxa"/>
              <w:bottom w:w="80" w:type="dxa"/>
              <w:right w:w="100" w:type="dxa"/>
            </w:tcMar>
            <w:vAlign w:val="center"/>
          </w:tcPr>
          <w:p w14:paraId="111ED711">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Single sample, preprocessing included</w:t>
            </w:r>
          </w:p>
        </w:tc>
        <w:tc>
          <w:tcPr>
            <w:tcW w:w="3600" w:type="dxa"/>
            <w:tcBorders>
              <w:top w:val="nil"/>
              <w:left w:val="nil"/>
              <w:bottom w:val="nil"/>
              <w:right w:val="nil"/>
            </w:tcBorders>
            <w:shd w:val="clear" w:color="auto" w:fill="FFFFFF"/>
            <w:tcMar>
              <w:top w:w="80" w:type="dxa"/>
              <w:left w:w="100" w:type="dxa"/>
              <w:bottom w:w="80" w:type="dxa"/>
              <w:right w:w="100" w:type="dxa"/>
            </w:tcMar>
            <w:vAlign w:val="center"/>
          </w:tcPr>
          <w:p w14:paraId="217F2E74">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15–25 ms (mean 19.6 ms over 1,000 samples)</w:t>
            </w:r>
          </w:p>
        </w:tc>
      </w:tr>
      <w:tr w14:paraId="1CB21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Borders>
              <w:top w:val="nil"/>
              <w:left w:val="nil"/>
              <w:bottom w:val="nil"/>
              <w:right w:val="nil"/>
            </w:tcBorders>
            <w:shd w:val="clear" w:color="auto" w:fill="FFFFFF"/>
            <w:tcMar>
              <w:top w:w="80" w:type="dxa"/>
              <w:left w:w="100" w:type="dxa"/>
              <w:bottom w:w="80" w:type="dxa"/>
              <w:right w:w="100" w:type="dxa"/>
            </w:tcMar>
            <w:vAlign w:val="center"/>
          </w:tcPr>
          <w:p w14:paraId="03F3F27B">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End-to-end throughput</w:t>
            </w:r>
          </w:p>
        </w:tc>
        <w:tc>
          <w:tcPr>
            <w:tcW w:w="3312" w:type="dxa"/>
            <w:tcBorders>
              <w:top w:val="nil"/>
              <w:left w:val="nil"/>
              <w:bottom w:val="nil"/>
              <w:right w:val="nil"/>
            </w:tcBorders>
            <w:shd w:val="clear" w:color="auto" w:fill="FFFFFF"/>
            <w:tcMar>
              <w:top w:w="80" w:type="dxa"/>
              <w:left w:w="100" w:type="dxa"/>
              <w:bottom w:w="80" w:type="dxa"/>
              <w:right w:w="100" w:type="dxa"/>
            </w:tcMar>
            <w:vAlign w:val="center"/>
          </w:tcPr>
          <w:p w14:paraId="2E5D37C4">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Same measurement scope</w:t>
            </w:r>
          </w:p>
        </w:tc>
        <w:tc>
          <w:tcPr>
            <w:tcW w:w="3600" w:type="dxa"/>
            <w:tcBorders>
              <w:top w:val="nil"/>
              <w:left w:val="nil"/>
              <w:bottom w:val="nil"/>
              <w:right w:val="nil"/>
            </w:tcBorders>
            <w:shd w:val="clear" w:color="auto" w:fill="FFFFFF"/>
            <w:tcMar>
              <w:top w:w="80" w:type="dxa"/>
              <w:left w:w="100" w:type="dxa"/>
              <w:bottom w:w="80" w:type="dxa"/>
              <w:right w:w="100" w:type="dxa"/>
            </w:tcMar>
            <w:vAlign w:val="center"/>
          </w:tcPr>
          <w:p w14:paraId="69B63F25">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40–65 samples s⁻¹ (mean 51.0 samples s⁻¹)</w:t>
            </w:r>
          </w:p>
        </w:tc>
      </w:tr>
      <w:tr w14:paraId="55C34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7AB2F9A1">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Recorded inference memory</w:t>
            </w:r>
          </w:p>
        </w:tc>
        <w:tc>
          <w:tcPr>
            <w:tcW w:w="3312"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5762BCD8">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Implementation-level GPU allocation</w:t>
            </w:r>
          </w:p>
        </w:tc>
        <w:tc>
          <w:tcPr>
            <w:tcW w:w="3600"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24EDB6CA">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Approximately 4.5–5.8 GB</w:t>
            </w:r>
          </w:p>
        </w:tc>
      </w:tr>
    </w:tbl>
    <w:p w14:paraId="002BF847">
      <w:pPr>
        <w:pageBreakBefore w:val="0"/>
        <w:widowControl/>
        <w:kinsoku/>
        <w:wordWrap/>
        <w:overflowPunct/>
        <w:topLinePunct w:val="0"/>
        <w:autoSpaceDE/>
        <w:autoSpaceDN/>
        <w:bidi w:val="0"/>
        <w:adjustRightInd/>
        <w:snapToGrid/>
        <w:spacing w:after="40" w:line="360" w:lineRule="auto"/>
        <w:textAlignment w:val="auto"/>
        <w:rPr>
          <w:sz w:val="24"/>
          <w:szCs w:val="24"/>
        </w:rPr>
      </w:pPr>
    </w:p>
    <w:p w14:paraId="5F94056E">
      <w:pPr>
        <w:pStyle w:val="4"/>
        <w:keepNext/>
        <w:pageBreakBefore w:val="0"/>
        <w:widowControl/>
        <w:kinsoku/>
        <w:wordWrap/>
        <w:overflowPunct/>
        <w:topLinePunct w:val="0"/>
        <w:autoSpaceDE/>
        <w:autoSpaceDN/>
        <w:bidi w:val="0"/>
        <w:adjustRightInd/>
        <w:snapToGrid/>
        <w:spacing w:before="140" w:after="60" w:line="360" w:lineRule="auto"/>
        <w:textAlignment w:val="auto"/>
        <w:rPr>
          <w:sz w:val="24"/>
          <w:szCs w:val="24"/>
        </w:rPr>
      </w:pPr>
      <w:r>
        <w:rPr>
          <w:rFonts w:ascii="Times New Roman" w:hAnsi="Times New Roman"/>
          <w:b/>
          <w:sz w:val="24"/>
          <w:szCs w:val="24"/>
        </w:rPr>
        <w:t>A.3 Scope of computational comparison</w:t>
      </w:r>
    </w:p>
    <w:p w14:paraId="7CABFCD0">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Indicative latency ranges for several related architectures were collected during the supplementary implementation analysis: Transformer, 25–40ms per sample; Informer, 15–22ms; Autoformer, 12–25ms; and an unreconstructed CEEMDAN-Transformer pipeline, 30–60ms. These values are retained as contextual implementation ranges only. They were not produced by a fully standardized cross-architecture benchmark with identical code paths and therefore are not used to establish a formal efficiency ranking or a precise percentage improvement. The main computational observation supported by the present implementation is that entropy-guided reconstruction reduces the number of components processed by the forecasting network while preserving the complete decomposition-reconstruction workflow.</w:t>
      </w:r>
      <w:bookmarkStart w:id="0" w:name="_GoBack"/>
      <w:bookmarkEnd w:id="0"/>
    </w:p>
    <w:p w14:paraId="4606E1A7">
      <w:pPr>
        <w:keepNext/>
        <w:pageBreakBefore w:val="0"/>
        <w:widowControl/>
        <w:kinsoku/>
        <w:wordWrap/>
        <w:overflowPunct/>
        <w:topLinePunct w:val="0"/>
        <w:autoSpaceDE/>
        <w:autoSpaceDN/>
        <w:bidi w:val="0"/>
        <w:adjustRightInd/>
        <w:snapToGrid/>
        <w:spacing w:before="80" w:after="80" w:line="360" w:lineRule="auto"/>
        <w:jc w:val="center"/>
        <w:textAlignment w:val="auto"/>
        <w:rPr>
          <w:rFonts w:ascii="Times New Roman" w:hAnsi="Times New Roman"/>
          <w:b/>
          <w:sz w:val="24"/>
          <w:szCs w:val="24"/>
        </w:rPr>
      </w:pPr>
      <w:r>
        <w:rPr>
          <w:rFonts w:ascii="Times New Roman" w:hAnsi="Times New Roman"/>
          <w:b/>
          <w:sz w:val="24"/>
          <w:szCs w:val="24"/>
        </w:rPr>
        <w:t>Table A.2. Inference Latency Comparison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54"/>
        <w:gridCol w:w="3154"/>
        <w:gridCol w:w="3154"/>
      </w:tblGrid>
      <w:tr w14:paraId="64D93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76" w:type="dxa"/>
            <w:tcBorders>
              <w:top w:val="single" w:color="000000" w:sz="12" w:space="0"/>
              <w:left w:val="nil"/>
              <w:bottom w:val="single" w:color="000000" w:sz="4" w:space="0"/>
              <w:right w:val="nil"/>
              <w:tl2br w:val="nil"/>
            </w:tcBorders>
            <w:shd w:val="clear" w:color="auto" w:fill="FFFFFF"/>
            <w:tcMar>
              <w:top w:w="80" w:type="dxa"/>
              <w:left w:w="100" w:type="dxa"/>
              <w:bottom w:w="80" w:type="dxa"/>
              <w:right w:w="100" w:type="dxa"/>
            </w:tcMar>
            <w:vAlign w:val="center"/>
          </w:tcPr>
          <w:p w14:paraId="4001767A">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Architecture</w:t>
            </w:r>
          </w:p>
        </w:tc>
        <w:tc>
          <w:tcPr>
            <w:tcW w:w="2088" w:type="dxa"/>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54252721">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Latency range</w:t>
            </w:r>
          </w:p>
        </w:tc>
        <w:tc>
          <w:tcPr>
            <w:tcW w:w="4536" w:type="dxa"/>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398D7CDB">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Configuration note</w:t>
            </w:r>
          </w:p>
        </w:tc>
      </w:tr>
      <w:tr w14:paraId="2E812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6F8DABC5">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Transformer</w:t>
            </w:r>
          </w:p>
        </w:tc>
        <w:tc>
          <w:tcPr>
            <w:tcW w:w="2088"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50521C02">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25–40 ms sample⁻¹</w:t>
            </w:r>
          </w:p>
        </w:tc>
        <w:tc>
          <w:tcPr>
            <w:tcW w:w="4536"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3B6653E4">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Short-sequence Transformer configuration</w:t>
            </w:r>
          </w:p>
        </w:tc>
      </w:tr>
      <w:tr w14:paraId="7880F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Borders>
              <w:top w:val="nil"/>
              <w:left w:val="nil"/>
              <w:bottom w:val="nil"/>
              <w:right w:val="nil"/>
            </w:tcBorders>
            <w:shd w:val="clear" w:color="auto" w:fill="FFFFFF"/>
            <w:tcMar>
              <w:top w:w="80" w:type="dxa"/>
              <w:left w:w="100" w:type="dxa"/>
              <w:bottom w:w="80" w:type="dxa"/>
              <w:right w:w="100" w:type="dxa"/>
            </w:tcMar>
            <w:vAlign w:val="center"/>
          </w:tcPr>
          <w:p w14:paraId="2D6014E1">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Informer</w:t>
            </w:r>
          </w:p>
        </w:tc>
        <w:tc>
          <w:tcPr>
            <w:tcW w:w="2088" w:type="dxa"/>
            <w:tcBorders>
              <w:top w:val="nil"/>
              <w:left w:val="nil"/>
              <w:bottom w:val="nil"/>
              <w:right w:val="nil"/>
            </w:tcBorders>
            <w:shd w:val="clear" w:color="auto" w:fill="FFFFFF"/>
            <w:tcMar>
              <w:top w:w="80" w:type="dxa"/>
              <w:left w:w="100" w:type="dxa"/>
              <w:bottom w:w="80" w:type="dxa"/>
              <w:right w:w="100" w:type="dxa"/>
            </w:tcMar>
            <w:vAlign w:val="center"/>
          </w:tcPr>
          <w:p w14:paraId="45DA7E7D">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15–22 ms sample⁻¹</w:t>
            </w:r>
          </w:p>
        </w:tc>
        <w:tc>
          <w:tcPr>
            <w:tcW w:w="4536" w:type="dxa"/>
            <w:tcBorders>
              <w:top w:val="nil"/>
              <w:left w:val="nil"/>
              <w:bottom w:val="nil"/>
              <w:right w:val="nil"/>
            </w:tcBorders>
            <w:shd w:val="clear" w:color="auto" w:fill="FFFFFF"/>
            <w:tcMar>
              <w:top w:w="80" w:type="dxa"/>
              <w:left w:w="100" w:type="dxa"/>
              <w:bottom w:w="80" w:type="dxa"/>
              <w:right w:w="100" w:type="dxa"/>
            </w:tcMar>
            <w:vAlign w:val="center"/>
          </w:tcPr>
          <w:p w14:paraId="7663CD6B">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Sparse-attention implementation</w:t>
            </w:r>
          </w:p>
        </w:tc>
      </w:tr>
      <w:tr w14:paraId="2A7AB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Borders>
              <w:top w:val="nil"/>
              <w:left w:val="nil"/>
              <w:bottom w:val="nil"/>
              <w:right w:val="nil"/>
            </w:tcBorders>
            <w:shd w:val="clear" w:color="auto" w:fill="FFFFFF"/>
            <w:tcMar>
              <w:top w:w="80" w:type="dxa"/>
              <w:left w:w="100" w:type="dxa"/>
              <w:bottom w:w="80" w:type="dxa"/>
              <w:right w:w="100" w:type="dxa"/>
            </w:tcMar>
            <w:vAlign w:val="center"/>
          </w:tcPr>
          <w:p w14:paraId="20E0F538">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Autoformer</w:t>
            </w:r>
          </w:p>
        </w:tc>
        <w:tc>
          <w:tcPr>
            <w:tcW w:w="2088" w:type="dxa"/>
            <w:tcBorders>
              <w:top w:val="nil"/>
              <w:left w:val="nil"/>
              <w:bottom w:val="nil"/>
              <w:right w:val="nil"/>
            </w:tcBorders>
            <w:shd w:val="clear" w:color="auto" w:fill="FFFFFF"/>
            <w:tcMar>
              <w:top w:w="80" w:type="dxa"/>
              <w:left w:w="100" w:type="dxa"/>
              <w:bottom w:w="80" w:type="dxa"/>
              <w:right w:w="100" w:type="dxa"/>
            </w:tcMar>
            <w:vAlign w:val="center"/>
          </w:tcPr>
          <w:p w14:paraId="6C8A6869">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12–25 ms sample⁻¹</w:t>
            </w:r>
          </w:p>
        </w:tc>
        <w:tc>
          <w:tcPr>
            <w:tcW w:w="4536" w:type="dxa"/>
            <w:tcBorders>
              <w:top w:val="nil"/>
              <w:left w:val="nil"/>
              <w:bottom w:val="nil"/>
              <w:right w:val="nil"/>
            </w:tcBorders>
            <w:shd w:val="clear" w:color="auto" w:fill="FFFFFF"/>
            <w:tcMar>
              <w:top w:w="80" w:type="dxa"/>
              <w:left w:w="100" w:type="dxa"/>
              <w:bottom w:w="80" w:type="dxa"/>
              <w:right w:w="100" w:type="dxa"/>
            </w:tcMar>
            <w:vAlign w:val="center"/>
          </w:tcPr>
          <w:p w14:paraId="4B96107B">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Decomposition-based architecture</w:t>
            </w:r>
          </w:p>
        </w:tc>
      </w:tr>
      <w:tr w14:paraId="0907A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Borders>
              <w:top w:val="nil"/>
              <w:left w:val="nil"/>
              <w:bottom w:val="nil"/>
              <w:right w:val="nil"/>
            </w:tcBorders>
            <w:shd w:val="clear" w:color="auto" w:fill="FFFFFF"/>
            <w:tcMar>
              <w:top w:w="80" w:type="dxa"/>
              <w:left w:w="100" w:type="dxa"/>
              <w:bottom w:w="80" w:type="dxa"/>
              <w:right w:w="100" w:type="dxa"/>
            </w:tcMar>
            <w:vAlign w:val="center"/>
          </w:tcPr>
          <w:p w14:paraId="63654A0F">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CEEMDAN-Transformer</w:t>
            </w:r>
          </w:p>
        </w:tc>
        <w:tc>
          <w:tcPr>
            <w:tcW w:w="2088" w:type="dxa"/>
            <w:tcBorders>
              <w:top w:val="nil"/>
              <w:left w:val="nil"/>
              <w:bottom w:val="nil"/>
              <w:right w:val="nil"/>
            </w:tcBorders>
            <w:shd w:val="clear" w:color="auto" w:fill="FFFFFF"/>
            <w:tcMar>
              <w:top w:w="80" w:type="dxa"/>
              <w:left w:w="100" w:type="dxa"/>
              <w:bottom w:w="80" w:type="dxa"/>
              <w:right w:w="100" w:type="dxa"/>
            </w:tcMar>
            <w:vAlign w:val="center"/>
          </w:tcPr>
          <w:p w14:paraId="08C72D58">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30–60 ms sample⁻¹</w:t>
            </w:r>
          </w:p>
        </w:tc>
        <w:tc>
          <w:tcPr>
            <w:tcW w:w="4536" w:type="dxa"/>
            <w:tcBorders>
              <w:top w:val="nil"/>
              <w:left w:val="nil"/>
              <w:bottom w:val="nil"/>
              <w:right w:val="nil"/>
            </w:tcBorders>
            <w:shd w:val="clear" w:color="auto" w:fill="FFFFFF"/>
            <w:tcMar>
              <w:top w:w="80" w:type="dxa"/>
              <w:left w:w="100" w:type="dxa"/>
              <w:bottom w:w="80" w:type="dxa"/>
              <w:right w:w="100" w:type="dxa"/>
            </w:tcMar>
            <w:vAlign w:val="center"/>
          </w:tcPr>
          <w:p w14:paraId="59350E1F">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Without entropy-guided mode reconstruction</w:t>
            </w:r>
          </w:p>
        </w:tc>
      </w:tr>
      <w:tr w14:paraId="3C249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17E09955">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Proposed model</w:t>
            </w:r>
          </w:p>
        </w:tc>
        <w:tc>
          <w:tcPr>
            <w:tcW w:w="2088"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6668EBD0">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15–25 ms sample⁻¹</w:t>
            </w:r>
          </w:p>
        </w:tc>
        <w:tc>
          <w:tcPr>
            <w:tcW w:w="4536"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6FD180AB">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CEEMDAN-SE reconstruction and time-aware attention</w:t>
            </w:r>
          </w:p>
        </w:tc>
      </w:tr>
    </w:tbl>
    <w:p w14:paraId="149FD001">
      <w:pPr>
        <w:pageBreakBefore w:val="0"/>
        <w:widowControl/>
        <w:kinsoku/>
        <w:wordWrap/>
        <w:overflowPunct/>
        <w:topLinePunct w:val="0"/>
        <w:autoSpaceDE/>
        <w:autoSpaceDN/>
        <w:bidi w:val="0"/>
        <w:adjustRightInd/>
        <w:snapToGrid/>
        <w:spacing w:after="40" w:line="360" w:lineRule="auto"/>
        <w:textAlignment w:val="auto"/>
        <w:rPr>
          <w:sz w:val="24"/>
          <w:szCs w:val="24"/>
        </w:rPr>
      </w:pPr>
    </w:p>
    <w:p w14:paraId="5AC2004A">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 xml:space="preserve">The recorded range for the proposed model overlaps with those of Informer and Autoformer and is lower than the range observed for the unreconstructed CEEMDAN-Transformer pipeline. The difference is consistent with the smaller number of reconstructed components entering the forecasting network. However, preprocessing, software implementation, and architecture-specific optimization affect runtime; consequently, </w:t>
      </w:r>
      <w:r>
        <w:rPr>
          <w:rFonts w:ascii="Times New Roman" w:hAnsi="Times New Roman"/>
          <w:b/>
          <w:bCs/>
          <w:sz w:val="24"/>
          <w:szCs w:val="24"/>
        </w:rPr>
        <w:t>Table A.2</w:t>
      </w:r>
      <w:r>
        <w:rPr>
          <w:rFonts w:ascii="Times New Roman" w:hAnsi="Times New Roman"/>
          <w:sz w:val="24"/>
          <w:szCs w:val="24"/>
        </w:rPr>
        <w:t xml:space="preserve"> is intended to document the observed computational context rather than to support a hardware-independent ranking.</w:t>
      </w:r>
    </w:p>
    <w:p w14:paraId="7F15E500">
      <w:pPr>
        <w:pStyle w:val="4"/>
        <w:keepNext/>
        <w:pageBreakBefore w:val="0"/>
        <w:widowControl/>
        <w:kinsoku/>
        <w:wordWrap/>
        <w:overflowPunct/>
        <w:topLinePunct w:val="0"/>
        <w:autoSpaceDE/>
        <w:autoSpaceDN/>
        <w:bidi w:val="0"/>
        <w:adjustRightInd/>
        <w:snapToGrid/>
        <w:spacing w:before="140" w:after="60" w:line="360" w:lineRule="auto"/>
        <w:textAlignment w:val="auto"/>
        <w:rPr>
          <w:sz w:val="24"/>
          <w:szCs w:val="24"/>
        </w:rPr>
      </w:pPr>
      <w:r>
        <w:rPr>
          <w:rFonts w:ascii="Times New Roman" w:hAnsi="Times New Roman"/>
          <w:b/>
          <w:sz w:val="24"/>
          <w:szCs w:val="24"/>
        </w:rPr>
        <w:t>A.4 Deployment considerations</w:t>
      </w:r>
    </w:p>
    <w:p w14:paraId="23686822">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The measured end-to-end latency is compatible with daily and other non-ultra-low-latency forecasting applications. Deployment requirements depend on whether decomposition is updated for every new observation or scheduled periodically. Potential engineering extensions include quantization, pruning, knowledge distillation, batching, and alternative decomposition implementations. Such modifications were not evaluated in the present study and are therefore identified as possible deployment options rather than demonstrated performance improvements.</w:t>
      </w:r>
    </w:p>
    <w:p w14:paraId="65ED4B83">
      <w:pPr>
        <w:pStyle w:val="3"/>
        <w:keepNext/>
        <w:pageBreakBefore w:val="0"/>
        <w:widowControl/>
        <w:kinsoku/>
        <w:wordWrap/>
        <w:overflowPunct/>
        <w:topLinePunct w:val="0"/>
        <w:autoSpaceDE/>
        <w:autoSpaceDN/>
        <w:bidi w:val="0"/>
        <w:adjustRightInd/>
        <w:snapToGrid/>
        <w:spacing w:before="200" w:after="60" w:line="360" w:lineRule="auto"/>
        <w:textAlignment w:val="auto"/>
        <w:rPr>
          <w:sz w:val="24"/>
          <w:szCs w:val="24"/>
        </w:rPr>
      </w:pPr>
      <w:r>
        <w:rPr>
          <w:rFonts w:ascii="Times New Roman" w:hAnsi="Times New Roman"/>
          <w:b/>
          <w:sz w:val="24"/>
          <w:szCs w:val="24"/>
        </w:rPr>
        <w:t>Appendix B. Statistical Evaluation of Forecasting Performance</w:t>
      </w:r>
    </w:p>
    <w:p w14:paraId="01EF2C04">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This appendix documents the out-of-time evaluation protocol and reports supplementary statistical analyses of the CEEMDAN-SE-Time-Aware Transformer on the Henry Hub dataset. The analyses include point-estimate metrics, residual diagnostics, pairwise forecast comparisons, bootstrap sensitivity analysis, fold-based stability analysis, and train-test performance comparison. Unless otherwise stated, the reported comparisons use the same test observations for the proposed model and each benchmark.</w:t>
      </w:r>
    </w:p>
    <w:p w14:paraId="26856D54">
      <w:pPr>
        <w:pStyle w:val="4"/>
        <w:keepNext/>
        <w:pageBreakBefore w:val="0"/>
        <w:widowControl/>
        <w:kinsoku/>
        <w:wordWrap/>
        <w:overflowPunct/>
        <w:topLinePunct w:val="0"/>
        <w:autoSpaceDE/>
        <w:autoSpaceDN/>
        <w:bidi w:val="0"/>
        <w:adjustRightInd/>
        <w:snapToGrid/>
        <w:spacing w:before="140" w:after="60" w:line="360" w:lineRule="auto"/>
        <w:textAlignment w:val="auto"/>
        <w:rPr>
          <w:sz w:val="24"/>
          <w:szCs w:val="24"/>
        </w:rPr>
      </w:pPr>
      <w:r>
        <w:rPr>
          <w:rFonts w:ascii="Times New Roman" w:hAnsi="Times New Roman"/>
          <w:b/>
          <w:sz w:val="24"/>
          <w:szCs w:val="24"/>
        </w:rPr>
        <w:t>B.1 Operational control of temporal boundaries and data leakage</w:t>
      </w:r>
    </w:p>
    <w:p w14:paraId="2B58C01C">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The chronological training, validation, and test boundaries were defined before decomposition, reconstruction, feature selection, normalization, or model estimation. No observation from the validation or test target periods was used to determine preprocessing parameters for the training sample. This ordering is important because applying a non-causal decomposition to the complete series before temporal splitting could allow future observations to influence the intrinsic mode functions available to the forecasting model.</w:t>
      </w:r>
    </w:p>
    <w:p w14:paraId="2C411CC7">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For an out-of-time forecast generated at origin t, the decomposition input was restricted to observations available up to and including t. CEEMDAN and the subsequent sample-entropy calculation were therefore applied to the historical segment {1, …, t}, without access to the target y(t+h) or to observations after t. The reconstructed components used to form the model input were obtained exclusively from this origin-specific historical segment. When the forecast origin advanced, the available historical segment was updated and the decomposition-reconstruction procedure was repeated using the newly available information. This expanding-origin implementation prevents the two-sided nature of empirical mode decomposition from extending across the forecast boundary.</w:t>
      </w:r>
    </w:p>
    <w:p w14:paraId="7B32E908">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The Lasso feature-selection coefficients, scaling parameters, and model hyperparameters were estimated using the training data only. Once selected, the feature set and preprocessing rules were held fixed during validation and test evaluation. For the direct multi-step experiments, a separate model was trained for each horizon h. Each model mapped the historical information available at origin t directly to y(t+h); predictions at shorter horizons were not recursively inserted as inputs for longer-horizon forecasts. Thus, the T+1, T+5, T+10, T+15, T+20, T+25, and T+30 results were generated by horizon-specific models rather than by repeated application of a single one-step model.</w:t>
      </w:r>
    </w:p>
    <w:p w14:paraId="1E4D3ACB">
      <w:pPr>
        <w:keepNext/>
        <w:keepLines w:val="0"/>
        <w:pageBreakBefore w:val="0"/>
        <w:widowControl/>
        <w:kinsoku/>
        <w:wordWrap/>
        <w:overflowPunct/>
        <w:topLinePunct w:val="0"/>
        <w:autoSpaceDE/>
        <w:autoSpaceDN/>
        <w:bidi w:val="0"/>
        <w:adjustRightInd/>
        <w:snapToGrid/>
        <w:spacing w:before="80" w:after="0" w:line="360" w:lineRule="auto"/>
        <w:jc w:val="center"/>
        <w:textAlignment w:val="auto"/>
        <w:rPr>
          <w:rFonts w:ascii="Times New Roman" w:hAnsi="Times New Roman"/>
          <w:b/>
          <w:sz w:val="24"/>
          <w:szCs w:val="24"/>
        </w:rPr>
      </w:pPr>
      <w:r>
        <w:rPr>
          <w:rFonts w:ascii="Times New Roman" w:hAnsi="Times New Roman"/>
          <w:b/>
          <w:sz w:val="24"/>
          <w:szCs w:val="24"/>
        </w:rPr>
        <w:t>Table B.1. Temporal-boundary controls used in the out-of-time evaluation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54"/>
        <w:gridCol w:w="3154"/>
        <w:gridCol w:w="3154"/>
      </w:tblGrid>
      <w:tr w14:paraId="02106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76" w:type="dxa"/>
            <w:tcBorders>
              <w:top w:val="single" w:color="000000" w:sz="12" w:space="0"/>
              <w:left w:val="nil"/>
              <w:bottom w:val="single" w:color="000000" w:sz="4" w:space="0"/>
              <w:right w:val="nil"/>
              <w:tl2br w:val="nil"/>
            </w:tcBorders>
            <w:shd w:val="clear" w:color="auto" w:fill="FFFFFF"/>
            <w:tcMar>
              <w:top w:w="80" w:type="dxa"/>
              <w:left w:w="100" w:type="dxa"/>
              <w:bottom w:w="80" w:type="dxa"/>
              <w:right w:w="100" w:type="dxa"/>
            </w:tcMar>
            <w:vAlign w:val="center"/>
          </w:tcPr>
          <w:p w14:paraId="61A6CB33">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Operation</w:t>
            </w:r>
          </w:p>
        </w:tc>
        <w:tc>
          <w:tcPr>
            <w:tcW w:w="3168" w:type="dxa"/>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691DE1BD">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Information set</w:t>
            </w:r>
          </w:p>
        </w:tc>
        <w:tc>
          <w:tcPr>
            <w:tcW w:w="3456" w:type="dxa"/>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0CAE3147">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Leakage-control function</w:t>
            </w:r>
          </w:p>
        </w:tc>
      </w:tr>
      <w:tr w14:paraId="55FF9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338579E3">
            <w:pPr>
              <w:pageBreakBefore w:val="0"/>
              <w:widowControl/>
              <w:kinsoku/>
              <w:wordWrap/>
              <w:overflowPunct/>
              <w:topLinePunct w:val="0"/>
              <w:autoSpaceDE/>
              <w:autoSpaceDN/>
              <w:bidi w:val="0"/>
              <w:adjustRightInd/>
              <w:snapToGrid/>
              <w:spacing w:line="360" w:lineRule="auto"/>
              <w:jc w:val="left"/>
              <w:textAlignment w:val="auto"/>
              <w:rPr>
                <w:b w:val="0"/>
                <w:color w:val="000000"/>
                <w:sz w:val="24"/>
                <w:szCs w:val="24"/>
              </w:rPr>
            </w:pPr>
            <w:r>
              <w:rPr>
                <w:rFonts w:ascii="Times New Roman" w:hAnsi="Times New Roman"/>
                <w:b w:val="0"/>
                <w:color w:val="000000"/>
                <w:sz w:val="24"/>
                <w:szCs w:val="24"/>
              </w:rPr>
              <w:t>Temporal split</w:t>
            </w:r>
          </w:p>
        </w:tc>
        <w:tc>
          <w:tcPr>
            <w:tcW w:w="3168"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2CE60769">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Before all preprocessing and model fitting</w:t>
            </w:r>
          </w:p>
        </w:tc>
        <w:tc>
          <w:tcPr>
            <w:tcW w:w="3456"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1DB0CB76">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Prevents full-series transformations</w:t>
            </w:r>
          </w:p>
        </w:tc>
      </w:tr>
      <w:tr w14:paraId="118D2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Borders>
              <w:top w:val="nil"/>
              <w:left w:val="nil"/>
              <w:bottom w:val="nil"/>
              <w:right w:val="nil"/>
            </w:tcBorders>
            <w:shd w:val="clear" w:color="auto" w:fill="FFFFFF"/>
            <w:tcMar>
              <w:top w:w="80" w:type="dxa"/>
              <w:left w:w="100" w:type="dxa"/>
              <w:bottom w:w="80" w:type="dxa"/>
              <w:right w:w="100" w:type="dxa"/>
            </w:tcMar>
            <w:vAlign w:val="center"/>
          </w:tcPr>
          <w:p w14:paraId="1D59CFB5">
            <w:pPr>
              <w:pageBreakBefore w:val="0"/>
              <w:widowControl/>
              <w:kinsoku/>
              <w:wordWrap/>
              <w:overflowPunct/>
              <w:topLinePunct w:val="0"/>
              <w:autoSpaceDE/>
              <w:autoSpaceDN/>
              <w:bidi w:val="0"/>
              <w:adjustRightInd/>
              <w:snapToGrid/>
              <w:spacing w:line="360" w:lineRule="auto"/>
              <w:jc w:val="left"/>
              <w:textAlignment w:val="auto"/>
              <w:rPr>
                <w:b w:val="0"/>
                <w:color w:val="000000"/>
                <w:sz w:val="24"/>
                <w:szCs w:val="24"/>
              </w:rPr>
            </w:pPr>
            <w:r>
              <w:rPr>
                <w:rFonts w:ascii="Times New Roman" w:hAnsi="Times New Roman"/>
                <w:b w:val="0"/>
                <w:color w:val="000000"/>
                <w:sz w:val="24"/>
                <w:szCs w:val="24"/>
              </w:rPr>
              <w:t>CEEMDAN input at origin t</w:t>
            </w:r>
          </w:p>
        </w:tc>
        <w:tc>
          <w:tcPr>
            <w:tcW w:w="3168" w:type="dxa"/>
            <w:tcBorders>
              <w:top w:val="nil"/>
              <w:left w:val="nil"/>
              <w:bottom w:val="nil"/>
              <w:right w:val="nil"/>
            </w:tcBorders>
            <w:shd w:val="clear" w:color="auto" w:fill="FFFFFF"/>
            <w:tcMar>
              <w:top w:w="80" w:type="dxa"/>
              <w:left w:w="100" w:type="dxa"/>
              <w:bottom w:w="80" w:type="dxa"/>
              <w:right w:w="100" w:type="dxa"/>
            </w:tcMar>
            <w:vAlign w:val="center"/>
          </w:tcPr>
          <w:p w14:paraId="631484EC">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Observations 1, …, t only</w:t>
            </w:r>
          </w:p>
        </w:tc>
        <w:tc>
          <w:tcPr>
            <w:tcW w:w="3456" w:type="dxa"/>
            <w:tcBorders>
              <w:top w:val="nil"/>
              <w:left w:val="nil"/>
              <w:bottom w:val="nil"/>
              <w:right w:val="nil"/>
            </w:tcBorders>
            <w:shd w:val="clear" w:color="auto" w:fill="FFFFFF"/>
            <w:tcMar>
              <w:top w:w="80" w:type="dxa"/>
              <w:left w:w="100" w:type="dxa"/>
              <w:bottom w:w="80" w:type="dxa"/>
              <w:right w:w="100" w:type="dxa"/>
            </w:tcMar>
            <w:vAlign w:val="center"/>
          </w:tcPr>
          <w:p w14:paraId="36E1C879">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Excludes y(t+h) and later observations</w:t>
            </w:r>
          </w:p>
        </w:tc>
      </w:tr>
      <w:tr w14:paraId="2E68F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Borders>
              <w:top w:val="nil"/>
              <w:left w:val="nil"/>
              <w:bottom w:val="nil"/>
              <w:right w:val="nil"/>
            </w:tcBorders>
            <w:shd w:val="clear" w:color="auto" w:fill="FFFFFF"/>
            <w:tcMar>
              <w:top w:w="80" w:type="dxa"/>
              <w:left w:w="100" w:type="dxa"/>
              <w:bottom w:w="80" w:type="dxa"/>
              <w:right w:w="100" w:type="dxa"/>
            </w:tcMar>
            <w:vAlign w:val="center"/>
          </w:tcPr>
          <w:p w14:paraId="6163D986">
            <w:pPr>
              <w:pageBreakBefore w:val="0"/>
              <w:widowControl/>
              <w:kinsoku/>
              <w:wordWrap/>
              <w:overflowPunct/>
              <w:topLinePunct w:val="0"/>
              <w:autoSpaceDE/>
              <w:autoSpaceDN/>
              <w:bidi w:val="0"/>
              <w:adjustRightInd/>
              <w:snapToGrid/>
              <w:spacing w:line="360" w:lineRule="auto"/>
              <w:jc w:val="left"/>
              <w:textAlignment w:val="auto"/>
              <w:rPr>
                <w:b w:val="0"/>
                <w:color w:val="000000"/>
                <w:sz w:val="24"/>
                <w:szCs w:val="24"/>
              </w:rPr>
            </w:pPr>
            <w:r>
              <w:rPr>
                <w:rFonts w:ascii="Times New Roman" w:hAnsi="Times New Roman"/>
                <w:b w:val="0"/>
                <w:color w:val="000000"/>
                <w:sz w:val="24"/>
                <w:szCs w:val="24"/>
              </w:rPr>
              <w:t>SE reconstruction</w:t>
            </w:r>
          </w:p>
        </w:tc>
        <w:tc>
          <w:tcPr>
            <w:tcW w:w="3168" w:type="dxa"/>
            <w:tcBorders>
              <w:top w:val="nil"/>
              <w:left w:val="nil"/>
              <w:bottom w:val="nil"/>
              <w:right w:val="nil"/>
            </w:tcBorders>
            <w:shd w:val="clear" w:color="auto" w:fill="FFFFFF"/>
            <w:tcMar>
              <w:top w:w="80" w:type="dxa"/>
              <w:left w:w="100" w:type="dxa"/>
              <w:bottom w:w="80" w:type="dxa"/>
              <w:right w:w="100" w:type="dxa"/>
            </w:tcMar>
            <w:vAlign w:val="center"/>
          </w:tcPr>
          <w:p w14:paraId="2634809A">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Computed from origin-specific IMFs</w:t>
            </w:r>
          </w:p>
        </w:tc>
        <w:tc>
          <w:tcPr>
            <w:tcW w:w="3456" w:type="dxa"/>
            <w:tcBorders>
              <w:top w:val="nil"/>
              <w:left w:val="nil"/>
              <w:bottom w:val="nil"/>
              <w:right w:val="nil"/>
            </w:tcBorders>
            <w:shd w:val="clear" w:color="auto" w:fill="FFFFFF"/>
            <w:tcMar>
              <w:top w:w="80" w:type="dxa"/>
              <w:left w:w="100" w:type="dxa"/>
              <w:bottom w:w="80" w:type="dxa"/>
              <w:right w:w="100" w:type="dxa"/>
            </w:tcMar>
            <w:vAlign w:val="center"/>
          </w:tcPr>
          <w:p w14:paraId="7492934F">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No reconstruction across the forecast boundary</w:t>
            </w:r>
          </w:p>
        </w:tc>
      </w:tr>
      <w:tr w14:paraId="4253F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Borders>
              <w:top w:val="nil"/>
              <w:left w:val="nil"/>
              <w:bottom w:val="nil"/>
              <w:right w:val="nil"/>
            </w:tcBorders>
            <w:shd w:val="clear" w:color="auto" w:fill="FFFFFF"/>
            <w:tcMar>
              <w:top w:w="80" w:type="dxa"/>
              <w:left w:w="100" w:type="dxa"/>
              <w:bottom w:w="80" w:type="dxa"/>
              <w:right w:w="100" w:type="dxa"/>
            </w:tcMar>
            <w:vAlign w:val="center"/>
          </w:tcPr>
          <w:p w14:paraId="2CFF608E">
            <w:pPr>
              <w:pageBreakBefore w:val="0"/>
              <w:widowControl/>
              <w:kinsoku/>
              <w:wordWrap/>
              <w:overflowPunct/>
              <w:topLinePunct w:val="0"/>
              <w:autoSpaceDE/>
              <w:autoSpaceDN/>
              <w:bidi w:val="0"/>
              <w:adjustRightInd/>
              <w:snapToGrid/>
              <w:spacing w:line="360" w:lineRule="auto"/>
              <w:jc w:val="left"/>
              <w:textAlignment w:val="auto"/>
              <w:rPr>
                <w:b w:val="0"/>
                <w:color w:val="000000"/>
                <w:sz w:val="24"/>
                <w:szCs w:val="24"/>
              </w:rPr>
            </w:pPr>
            <w:r>
              <w:rPr>
                <w:rFonts w:ascii="Times New Roman" w:hAnsi="Times New Roman"/>
                <w:b w:val="0"/>
                <w:color w:val="000000"/>
                <w:sz w:val="24"/>
                <w:szCs w:val="24"/>
              </w:rPr>
              <w:t>Lasso and scaling</w:t>
            </w:r>
          </w:p>
        </w:tc>
        <w:tc>
          <w:tcPr>
            <w:tcW w:w="3168" w:type="dxa"/>
            <w:tcBorders>
              <w:top w:val="nil"/>
              <w:left w:val="nil"/>
              <w:bottom w:val="nil"/>
              <w:right w:val="nil"/>
            </w:tcBorders>
            <w:shd w:val="clear" w:color="auto" w:fill="FFFFFF"/>
            <w:tcMar>
              <w:top w:w="80" w:type="dxa"/>
              <w:left w:w="100" w:type="dxa"/>
              <w:bottom w:w="80" w:type="dxa"/>
              <w:right w:w="100" w:type="dxa"/>
            </w:tcMar>
            <w:vAlign w:val="center"/>
          </w:tcPr>
          <w:p w14:paraId="2FECEC52">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Estimated on the training sample</w:t>
            </w:r>
          </w:p>
        </w:tc>
        <w:tc>
          <w:tcPr>
            <w:tcW w:w="3456" w:type="dxa"/>
            <w:tcBorders>
              <w:top w:val="nil"/>
              <w:left w:val="nil"/>
              <w:bottom w:val="nil"/>
              <w:right w:val="nil"/>
            </w:tcBorders>
            <w:shd w:val="clear" w:color="auto" w:fill="FFFFFF"/>
            <w:tcMar>
              <w:top w:w="80" w:type="dxa"/>
              <w:left w:w="100" w:type="dxa"/>
              <w:bottom w:w="80" w:type="dxa"/>
              <w:right w:w="100" w:type="dxa"/>
            </w:tcMar>
            <w:vAlign w:val="center"/>
          </w:tcPr>
          <w:p w14:paraId="1CB7AF5D">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Rules fixed for validation and test data</w:t>
            </w:r>
          </w:p>
        </w:tc>
      </w:tr>
      <w:tr w14:paraId="5FCF1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Borders>
              <w:top w:val="nil"/>
              <w:left w:val="nil"/>
              <w:bottom w:val="nil"/>
              <w:right w:val="nil"/>
            </w:tcBorders>
            <w:shd w:val="clear" w:color="auto" w:fill="FFFFFF"/>
            <w:tcMar>
              <w:top w:w="80" w:type="dxa"/>
              <w:left w:w="100" w:type="dxa"/>
              <w:bottom w:w="80" w:type="dxa"/>
              <w:right w:w="100" w:type="dxa"/>
            </w:tcMar>
            <w:vAlign w:val="center"/>
          </w:tcPr>
          <w:p w14:paraId="5917A41D">
            <w:pPr>
              <w:pageBreakBefore w:val="0"/>
              <w:widowControl/>
              <w:kinsoku/>
              <w:wordWrap/>
              <w:overflowPunct/>
              <w:topLinePunct w:val="0"/>
              <w:autoSpaceDE/>
              <w:autoSpaceDN/>
              <w:bidi w:val="0"/>
              <w:adjustRightInd/>
              <w:snapToGrid/>
              <w:spacing w:line="360" w:lineRule="auto"/>
              <w:jc w:val="left"/>
              <w:textAlignment w:val="auto"/>
              <w:rPr>
                <w:b w:val="0"/>
                <w:color w:val="000000"/>
                <w:sz w:val="24"/>
                <w:szCs w:val="24"/>
              </w:rPr>
            </w:pPr>
            <w:r>
              <w:rPr>
                <w:rFonts w:ascii="Times New Roman" w:hAnsi="Times New Roman"/>
                <w:b w:val="0"/>
                <w:color w:val="000000"/>
                <w:sz w:val="24"/>
                <w:szCs w:val="24"/>
              </w:rPr>
              <w:t>Multi-step forecasts</w:t>
            </w:r>
          </w:p>
        </w:tc>
        <w:tc>
          <w:tcPr>
            <w:tcW w:w="3168" w:type="dxa"/>
            <w:tcBorders>
              <w:top w:val="nil"/>
              <w:left w:val="nil"/>
              <w:bottom w:val="nil"/>
              <w:right w:val="nil"/>
            </w:tcBorders>
            <w:shd w:val="clear" w:color="auto" w:fill="FFFFFF"/>
            <w:tcMar>
              <w:top w:w="80" w:type="dxa"/>
              <w:left w:w="100" w:type="dxa"/>
              <w:bottom w:w="80" w:type="dxa"/>
              <w:right w:w="100" w:type="dxa"/>
            </w:tcMar>
            <w:vAlign w:val="center"/>
          </w:tcPr>
          <w:p w14:paraId="01C2CCB6">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Independent model for each horizon h</w:t>
            </w:r>
          </w:p>
        </w:tc>
        <w:tc>
          <w:tcPr>
            <w:tcW w:w="3456" w:type="dxa"/>
            <w:tcBorders>
              <w:top w:val="nil"/>
              <w:left w:val="nil"/>
              <w:bottom w:val="nil"/>
              <w:right w:val="nil"/>
            </w:tcBorders>
            <w:shd w:val="clear" w:color="auto" w:fill="FFFFFF"/>
            <w:tcMar>
              <w:top w:w="80" w:type="dxa"/>
              <w:left w:w="100" w:type="dxa"/>
              <w:bottom w:w="80" w:type="dxa"/>
              <w:right w:w="100" w:type="dxa"/>
            </w:tcMar>
            <w:vAlign w:val="center"/>
          </w:tcPr>
          <w:p w14:paraId="63357B03">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No recursive forecast substitution</w:t>
            </w:r>
          </w:p>
        </w:tc>
      </w:tr>
      <w:tr w14:paraId="0DBEE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6BB76FEC">
            <w:pPr>
              <w:pageBreakBefore w:val="0"/>
              <w:widowControl/>
              <w:kinsoku/>
              <w:wordWrap/>
              <w:overflowPunct/>
              <w:topLinePunct w:val="0"/>
              <w:autoSpaceDE/>
              <w:autoSpaceDN/>
              <w:bidi w:val="0"/>
              <w:adjustRightInd/>
              <w:snapToGrid/>
              <w:spacing w:line="360" w:lineRule="auto"/>
              <w:jc w:val="left"/>
              <w:textAlignment w:val="auto"/>
              <w:rPr>
                <w:b w:val="0"/>
                <w:color w:val="000000"/>
                <w:sz w:val="24"/>
                <w:szCs w:val="24"/>
              </w:rPr>
            </w:pPr>
            <w:r>
              <w:rPr>
                <w:rFonts w:ascii="Times New Roman" w:hAnsi="Times New Roman"/>
                <w:b w:val="0"/>
                <w:color w:val="000000"/>
                <w:sz w:val="24"/>
                <w:szCs w:val="24"/>
              </w:rPr>
              <w:t>Performance comparison</w:t>
            </w:r>
          </w:p>
        </w:tc>
        <w:tc>
          <w:tcPr>
            <w:tcW w:w="3168"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2AAC792C">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Common out-of-time test observations</w:t>
            </w:r>
          </w:p>
        </w:tc>
        <w:tc>
          <w:tcPr>
            <w:tcW w:w="3456"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04AF65B5">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Paired errors used for statistical tests</w:t>
            </w:r>
          </w:p>
        </w:tc>
      </w:tr>
    </w:tbl>
    <w:p w14:paraId="2F3111CD">
      <w:pPr>
        <w:pageBreakBefore w:val="0"/>
        <w:widowControl/>
        <w:kinsoku/>
        <w:wordWrap/>
        <w:overflowPunct/>
        <w:topLinePunct w:val="0"/>
        <w:autoSpaceDE/>
        <w:autoSpaceDN/>
        <w:bidi w:val="0"/>
        <w:adjustRightInd/>
        <w:snapToGrid/>
        <w:spacing w:after="40" w:line="360" w:lineRule="auto"/>
        <w:textAlignment w:val="auto"/>
        <w:rPr>
          <w:sz w:val="24"/>
          <w:szCs w:val="24"/>
        </w:rPr>
      </w:pPr>
    </w:p>
    <w:p w14:paraId="0F7F4AAB">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These controls distinguish the operational procedure from a full-sample decomposition followed by retrospective splitting. In particular, neither the final test targets nor their surrounding future observations entered the decomposition or reconstruction used to generate a forecast at origin t.</w:t>
      </w:r>
    </w:p>
    <w:p w14:paraId="3D755909">
      <w:pPr>
        <w:pStyle w:val="4"/>
        <w:keepNext/>
        <w:pageBreakBefore w:val="0"/>
        <w:widowControl/>
        <w:kinsoku/>
        <w:wordWrap/>
        <w:overflowPunct/>
        <w:topLinePunct w:val="0"/>
        <w:autoSpaceDE/>
        <w:autoSpaceDN/>
        <w:bidi w:val="0"/>
        <w:adjustRightInd/>
        <w:snapToGrid/>
        <w:spacing w:before="140" w:after="60" w:line="360" w:lineRule="auto"/>
        <w:textAlignment w:val="auto"/>
        <w:rPr>
          <w:sz w:val="24"/>
          <w:szCs w:val="24"/>
        </w:rPr>
      </w:pPr>
      <w:r>
        <w:rPr>
          <w:rFonts w:ascii="Times New Roman" w:hAnsi="Times New Roman"/>
          <w:b/>
          <w:sz w:val="24"/>
          <w:szCs w:val="24"/>
        </w:rPr>
        <w:t>B.2 Point-estimate performance</w:t>
      </w:r>
    </w:p>
    <w:p w14:paraId="4B4408AB">
      <w:pPr>
        <w:keepNext/>
        <w:keepLines w:val="0"/>
        <w:pageBreakBefore w:val="0"/>
        <w:widowControl/>
        <w:kinsoku/>
        <w:wordWrap/>
        <w:overflowPunct/>
        <w:topLinePunct w:val="0"/>
        <w:autoSpaceDE/>
        <w:autoSpaceDN/>
        <w:bidi w:val="0"/>
        <w:adjustRightInd/>
        <w:snapToGrid/>
        <w:spacing w:before="80" w:after="0" w:line="360" w:lineRule="auto"/>
        <w:jc w:val="center"/>
        <w:textAlignment w:val="auto"/>
        <w:rPr>
          <w:rFonts w:ascii="Times New Roman" w:hAnsi="Times New Roman"/>
          <w:b/>
          <w:sz w:val="24"/>
          <w:szCs w:val="24"/>
        </w:rPr>
      </w:pPr>
      <w:r>
        <w:rPr>
          <w:rFonts w:ascii="Times New Roman" w:hAnsi="Times New Roman"/>
          <w:b/>
          <w:sz w:val="24"/>
          <w:szCs w:val="24"/>
        </w:rPr>
        <w:t>Table B.2. Core predictive-performance indicators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54"/>
        <w:gridCol w:w="3154"/>
        <w:gridCol w:w="3154"/>
      </w:tblGrid>
      <w:tr w14:paraId="56471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Borders>
              <w:top w:val="single" w:color="000000" w:sz="12" w:space="0"/>
              <w:left w:val="nil"/>
              <w:bottom w:val="single" w:color="000000" w:sz="4" w:space="0"/>
              <w:right w:val="nil"/>
              <w:tl2br w:val="nil"/>
            </w:tcBorders>
            <w:shd w:val="clear" w:color="auto" w:fill="FFFFFF"/>
            <w:tcMar>
              <w:top w:w="80" w:type="dxa"/>
              <w:left w:w="100" w:type="dxa"/>
              <w:bottom w:w="80" w:type="dxa"/>
              <w:right w:w="100" w:type="dxa"/>
            </w:tcMar>
            <w:vAlign w:val="center"/>
          </w:tcPr>
          <w:p w14:paraId="534C41BC">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Metric</w:t>
            </w:r>
          </w:p>
        </w:tc>
        <w:tc>
          <w:tcPr>
            <w:tcW w:w="1440" w:type="dxa"/>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02F998BB">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Value</w:t>
            </w:r>
          </w:p>
        </w:tc>
        <w:tc>
          <w:tcPr>
            <w:tcW w:w="5472" w:type="dxa"/>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643D97DB">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Interpretation</w:t>
            </w:r>
          </w:p>
        </w:tc>
      </w:tr>
      <w:tr w14:paraId="0B4AB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155F45ED">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Training R²</w:t>
            </w:r>
          </w:p>
        </w:tc>
        <w:tc>
          <w:tcPr>
            <w:tcW w:w="1440"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4036C91F">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0.9959</w:t>
            </w:r>
          </w:p>
        </w:tc>
        <w:tc>
          <w:tcPr>
            <w:tcW w:w="5472"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04C142A9">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Model fit on the training sample</w:t>
            </w:r>
          </w:p>
        </w:tc>
      </w:tr>
      <w:tr w14:paraId="789F9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Borders>
              <w:top w:val="nil"/>
              <w:left w:val="nil"/>
              <w:bottom w:val="nil"/>
              <w:right w:val="nil"/>
            </w:tcBorders>
            <w:shd w:val="clear" w:color="auto" w:fill="FFFFFF"/>
            <w:tcMar>
              <w:top w:w="80" w:type="dxa"/>
              <w:left w:w="100" w:type="dxa"/>
              <w:bottom w:w="80" w:type="dxa"/>
              <w:right w:w="100" w:type="dxa"/>
            </w:tcMar>
            <w:vAlign w:val="center"/>
          </w:tcPr>
          <w:p w14:paraId="4FA6C087">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Test R²</w:t>
            </w:r>
          </w:p>
        </w:tc>
        <w:tc>
          <w:tcPr>
            <w:tcW w:w="1440" w:type="dxa"/>
            <w:tcBorders>
              <w:top w:val="nil"/>
              <w:left w:val="nil"/>
              <w:bottom w:val="nil"/>
              <w:right w:val="nil"/>
            </w:tcBorders>
            <w:shd w:val="clear" w:color="auto" w:fill="FFFFFF"/>
            <w:tcMar>
              <w:top w:w="80" w:type="dxa"/>
              <w:left w:w="100" w:type="dxa"/>
              <w:bottom w:w="80" w:type="dxa"/>
              <w:right w:w="100" w:type="dxa"/>
            </w:tcMar>
            <w:vAlign w:val="center"/>
          </w:tcPr>
          <w:p w14:paraId="320ADE8C">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0.9935</w:t>
            </w:r>
          </w:p>
        </w:tc>
        <w:tc>
          <w:tcPr>
            <w:tcW w:w="5472" w:type="dxa"/>
            <w:tcBorders>
              <w:top w:val="nil"/>
              <w:left w:val="nil"/>
              <w:bottom w:val="nil"/>
              <w:right w:val="nil"/>
            </w:tcBorders>
            <w:shd w:val="clear" w:color="auto" w:fill="FFFFFF"/>
            <w:tcMar>
              <w:top w:w="80" w:type="dxa"/>
              <w:left w:w="100" w:type="dxa"/>
              <w:bottom w:w="80" w:type="dxa"/>
              <w:right w:w="100" w:type="dxa"/>
            </w:tcMar>
            <w:vAlign w:val="center"/>
          </w:tcPr>
          <w:p w14:paraId="4421740A">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Explained variance on the hold-out test sample</w:t>
            </w:r>
          </w:p>
        </w:tc>
      </w:tr>
      <w:tr w14:paraId="4A66C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Borders>
              <w:top w:val="nil"/>
              <w:left w:val="nil"/>
              <w:bottom w:val="nil"/>
              <w:right w:val="nil"/>
            </w:tcBorders>
            <w:shd w:val="clear" w:color="auto" w:fill="FFFFFF"/>
            <w:tcMar>
              <w:top w:w="80" w:type="dxa"/>
              <w:left w:w="100" w:type="dxa"/>
              <w:bottom w:w="80" w:type="dxa"/>
              <w:right w:w="100" w:type="dxa"/>
            </w:tcMar>
            <w:vAlign w:val="center"/>
          </w:tcPr>
          <w:p w14:paraId="3E103BBD">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Test MSE</w:t>
            </w:r>
          </w:p>
        </w:tc>
        <w:tc>
          <w:tcPr>
            <w:tcW w:w="1440" w:type="dxa"/>
            <w:tcBorders>
              <w:top w:val="nil"/>
              <w:left w:val="nil"/>
              <w:bottom w:val="nil"/>
              <w:right w:val="nil"/>
            </w:tcBorders>
            <w:shd w:val="clear" w:color="auto" w:fill="FFFFFF"/>
            <w:tcMar>
              <w:top w:w="80" w:type="dxa"/>
              <w:left w:w="100" w:type="dxa"/>
              <w:bottom w:w="80" w:type="dxa"/>
              <w:right w:w="100" w:type="dxa"/>
            </w:tcMar>
            <w:vAlign w:val="center"/>
          </w:tcPr>
          <w:p w14:paraId="26424727">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0.0070</w:t>
            </w:r>
          </w:p>
        </w:tc>
        <w:tc>
          <w:tcPr>
            <w:tcW w:w="5472" w:type="dxa"/>
            <w:tcBorders>
              <w:top w:val="nil"/>
              <w:left w:val="nil"/>
              <w:bottom w:val="nil"/>
              <w:right w:val="nil"/>
            </w:tcBorders>
            <w:shd w:val="clear" w:color="auto" w:fill="FFFFFF"/>
            <w:tcMar>
              <w:top w:w="80" w:type="dxa"/>
              <w:left w:w="100" w:type="dxa"/>
              <w:bottom w:w="80" w:type="dxa"/>
              <w:right w:w="100" w:type="dxa"/>
            </w:tcMar>
            <w:vAlign w:val="center"/>
          </w:tcPr>
          <w:p w14:paraId="1DC7012B">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Mean squared prediction error</w:t>
            </w:r>
          </w:p>
        </w:tc>
      </w:tr>
      <w:tr w14:paraId="61577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Borders>
              <w:top w:val="nil"/>
              <w:left w:val="nil"/>
              <w:bottom w:val="nil"/>
              <w:right w:val="nil"/>
            </w:tcBorders>
            <w:shd w:val="clear" w:color="auto" w:fill="FFFFFF"/>
            <w:tcMar>
              <w:top w:w="80" w:type="dxa"/>
              <w:left w:w="100" w:type="dxa"/>
              <w:bottom w:w="80" w:type="dxa"/>
              <w:right w:w="100" w:type="dxa"/>
            </w:tcMar>
            <w:vAlign w:val="center"/>
          </w:tcPr>
          <w:p w14:paraId="3B5544FF">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Test RMSE</w:t>
            </w:r>
          </w:p>
        </w:tc>
        <w:tc>
          <w:tcPr>
            <w:tcW w:w="1440" w:type="dxa"/>
            <w:tcBorders>
              <w:top w:val="nil"/>
              <w:left w:val="nil"/>
              <w:bottom w:val="nil"/>
              <w:right w:val="nil"/>
            </w:tcBorders>
            <w:shd w:val="clear" w:color="auto" w:fill="FFFFFF"/>
            <w:tcMar>
              <w:top w:w="80" w:type="dxa"/>
              <w:left w:w="100" w:type="dxa"/>
              <w:bottom w:w="80" w:type="dxa"/>
              <w:right w:w="100" w:type="dxa"/>
            </w:tcMar>
            <w:vAlign w:val="center"/>
          </w:tcPr>
          <w:p w14:paraId="42C717BE">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0.0766</w:t>
            </w:r>
          </w:p>
        </w:tc>
        <w:tc>
          <w:tcPr>
            <w:tcW w:w="5472" w:type="dxa"/>
            <w:tcBorders>
              <w:top w:val="nil"/>
              <w:left w:val="nil"/>
              <w:bottom w:val="nil"/>
              <w:right w:val="nil"/>
            </w:tcBorders>
            <w:shd w:val="clear" w:color="auto" w:fill="FFFFFF"/>
            <w:tcMar>
              <w:top w:w="80" w:type="dxa"/>
              <w:left w:w="100" w:type="dxa"/>
              <w:bottom w:w="80" w:type="dxa"/>
              <w:right w:w="100" w:type="dxa"/>
            </w:tcMar>
            <w:vAlign w:val="center"/>
          </w:tcPr>
          <w:p w14:paraId="605C192D">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Root mean squared prediction error</w:t>
            </w:r>
          </w:p>
        </w:tc>
      </w:tr>
      <w:tr w14:paraId="68A3B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69A73F7F">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Test MAE</w:t>
            </w:r>
          </w:p>
        </w:tc>
        <w:tc>
          <w:tcPr>
            <w:tcW w:w="1440"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3C9461C1">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0.0510</w:t>
            </w:r>
          </w:p>
        </w:tc>
        <w:tc>
          <w:tcPr>
            <w:tcW w:w="5472"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7D9CDAF3">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Mean absolute prediction error</w:t>
            </w:r>
          </w:p>
        </w:tc>
      </w:tr>
    </w:tbl>
    <w:p w14:paraId="09416849">
      <w:pPr>
        <w:pageBreakBefore w:val="0"/>
        <w:widowControl/>
        <w:kinsoku/>
        <w:wordWrap/>
        <w:overflowPunct/>
        <w:topLinePunct w:val="0"/>
        <w:autoSpaceDE/>
        <w:autoSpaceDN/>
        <w:bidi w:val="0"/>
        <w:adjustRightInd/>
        <w:snapToGrid/>
        <w:spacing w:after="40" w:line="360" w:lineRule="auto"/>
        <w:textAlignment w:val="auto"/>
        <w:rPr>
          <w:sz w:val="24"/>
          <w:szCs w:val="24"/>
        </w:rPr>
      </w:pPr>
    </w:p>
    <w:p w14:paraId="00CC7569">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The small difference between training and test R² indicates similar in-sample and hold-out performance under the reported split. These values summarize predictive accuracy but do not, by themselves, establish statistical superiority over competing models; pairwise comparisons are reported in Section B.4.</w:t>
      </w:r>
    </w:p>
    <w:p w14:paraId="517057DD">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The test R² of 0.9935 indicates that the fitted model accounts for a large proportion of the observed variation over the test period. RMSE and MAE quantify the typical magnitude of the forecast errors in the original price scale, while MSE places greater weight on larger deviations. Their joint interpretation is preferable to reliance on R² alone, particularly for a persistent price series in which high explanatory power can coexist with economically relevant forecast errors.</w:t>
      </w:r>
    </w:p>
    <w:p w14:paraId="52B3F7DD">
      <w:pPr>
        <w:pStyle w:val="4"/>
        <w:keepNext/>
        <w:pageBreakBefore w:val="0"/>
        <w:widowControl/>
        <w:kinsoku/>
        <w:wordWrap/>
        <w:overflowPunct/>
        <w:topLinePunct w:val="0"/>
        <w:autoSpaceDE/>
        <w:autoSpaceDN/>
        <w:bidi w:val="0"/>
        <w:adjustRightInd/>
        <w:snapToGrid/>
        <w:spacing w:before="140" w:after="60" w:line="360" w:lineRule="auto"/>
        <w:textAlignment w:val="auto"/>
        <w:rPr>
          <w:sz w:val="24"/>
          <w:szCs w:val="24"/>
        </w:rPr>
      </w:pPr>
      <w:r>
        <w:rPr>
          <w:rFonts w:ascii="Times New Roman" w:hAnsi="Times New Roman"/>
          <w:b/>
          <w:sz w:val="24"/>
          <w:szCs w:val="24"/>
        </w:rPr>
        <w:t>B.3 Residual diagnostics and mean-error assessment</w:t>
      </w:r>
    </w:p>
    <w:p w14:paraId="5E07F999">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The Shapiro–Wilk test yielded W = 0.8334 with p &lt; 0.001, indicating that the residual distribution departs significantly from normality. Accordingly, inference based solely on normal-error assumptions is not emphasized. The mean prediction error was −0.0037, with a reported 95% confidence interval of [−0.0156, 0.0083]. Because the interval includes zero, the analysis does not detect a statistically distinguishable mean error at the 5% level. This result should be interpreted as an absence of evidence of systematic mean bias under the evaluated sample, rather than proof that the forecasts are unbiased.</w:t>
      </w:r>
    </w:p>
    <w:p w14:paraId="7564CD74">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The departure from normality is compatible with the skewness, tail behavior, and volatility variation commonly observed in energy-price errors. It does not invalidate the point forecasts, but it reduces the suitability of uncertainty statements that depend exclusively on Gaussian residual assumptions. The bootstrap analysis and Wilcoxon signed-rank comparisons reported below were therefore included as distributionally less restrictive complements.</w:t>
      </w:r>
    </w:p>
    <w:p w14:paraId="781C79A3">
      <w:pPr>
        <w:pStyle w:val="4"/>
        <w:keepNext/>
        <w:pageBreakBefore w:val="0"/>
        <w:widowControl/>
        <w:kinsoku/>
        <w:wordWrap/>
        <w:overflowPunct/>
        <w:topLinePunct w:val="0"/>
        <w:autoSpaceDE/>
        <w:autoSpaceDN/>
        <w:bidi w:val="0"/>
        <w:adjustRightInd/>
        <w:snapToGrid/>
        <w:spacing w:before="140" w:after="60" w:line="360" w:lineRule="auto"/>
        <w:textAlignment w:val="auto"/>
        <w:rPr>
          <w:sz w:val="24"/>
          <w:szCs w:val="24"/>
        </w:rPr>
      </w:pPr>
      <w:r>
        <w:rPr>
          <w:rFonts w:ascii="Times New Roman" w:hAnsi="Times New Roman"/>
          <w:b/>
          <w:sz w:val="24"/>
          <w:szCs w:val="24"/>
        </w:rPr>
        <w:t>B.4 Pairwise statistical comparison with benchmark models</w:t>
      </w:r>
    </w:p>
    <w:p w14:paraId="15DB31BC">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The Diebold–Mariano (DM) test evaluates differences in predictive loss on common test observations. The loss differential was defined as benchmark loss minus proposed-model loss; therefore, a positive DM statistic favors the proposed model. The Wilcoxon signed-rank test provides a non-parametric paired comparison and is reported as a complementary analysis because the residuals are non-normal.</w:t>
      </w:r>
    </w:p>
    <w:p w14:paraId="54782175">
      <w:pPr>
        <w:keepNext/>
        <w:keepLines w:val="0"/>
        <w:pageBreakBefore w:val="0"/>
        <w:widowControl/>
        <w:kinsoku/>
        <w:wordWrap/>
        <w:overflowPunct/>
        <w:topLinePunct w:val="0"/>
        <w:autoSpaceDE/>
        <w:autoSpaceDN/>
        <w:bidi w:val="0"/>
        <w:adjustRightInd/>
        <w:snapToGrid/>
        <w:spacing w:before="80" w:after="0" w:line="360" w:lineRule="auto"/>
        <w:jc w:val="center"/>
        <w:textAlignment w:val="auto"/>
        <w:rPr>
          <w:rFonts w:ascii="Times New Roman" w:hAnsi="Times New Roman"/>
          <w:b/>
          <w:sz w:val="24"/>
          <w:szCs w:val="24"/>
        </w:rPr>
      </w:pPr>
      <w:r>
        <w:rPr>
          <w:rFonts w:ascii="Times New Roman" w:hAnsi="Times New Roman"/>
          <w:b/>
          <w:sz w:val="24"/>
          <w:szCs w:val="24"/>
        </w:rPr>
        <w:t>Table B.3. Diebold–Mariano test results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54"/>
        <w:gridCol w:w="3154"/>
        <w:gridCol w:w="3154"/>
      </w:tblGrid>
      <w:tr w14:paraId="75479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00" w:type="dxa"/>
            <w:tcBorders>
              <w:top w:val="single" w:color="000000" w:sz="12" w:space="0"/>
              <w:left w:val="nil"/>
              <w:bottom w:val="single" w:color="000000" w:sz="4" w:space="0"/>
              <w:right w:val="nil"/>
              <w:tl2br w:val="nil"/>
            </w:tcBorders>
            <w:shd w:val="clear" w:color="auto" w:fill="FFFFFF"/>
            <w:tcMar>
              <w:top w:w="80" w:type="dxa"/>
              <w:left w:w="100" w:type="dxa"/>
              <w:bottom w:w="80" w:type="dxa"/>
              <w:right w:w="100" w:type="dxa"/>
            </w:tcMar>
            <w:vAlign w:val="center"/>
          </w:tcPr>
          <w:p w14:paraId="206C4501">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Benchmark</w:t>
            </w:r>
          </w:p>
        </w:tc>
        <w:tc>
          <w:tcPr>
            <w:tcW w:w="2448" w:type="dxa"/>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4F16452A">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DM statistic</w:t>
            </w:r>
          </w:p>
        </w:tc>
        <w:tc>
          <w:tcPr>
            <w:tcW w:w="2448" w:type="dxa"/>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1739ED85">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p-value</w:t>
            </w:r>
          </w:p>
        </w:tc>
      </w:tr>
      <w:tr w14:paraId="05A51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54D15FAB">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LSTM</w:t>
            </w:r>
          </w:p>
        </w:tc>
        <w:tc>
          <w:tcPr>
            <w:tcW w:w="2448"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1DC802C1">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16.4496</w:t>
            </w:r>
          </w:p>
        </w:tc>
        <w:tc>
          <w:tcPr>
            <w:tcW w:w="2448"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5E884B25">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5.121e-14</w:t>
            </w:r>
          </w:p>
        </w:tc>
      </w:tr>
      <w:tr w14:paraId="47379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Borders>
              <w:top w:val="nil"/>
              <w:left w:val="nil"/>
              <w:bottom w:val="nil"/>
              <w:right w:val="nil"/>
            </w:tcBorders>
            <w:shd w:val="clear" w:color="auto" w:fill="FFFFFF"/>
            <w:tcMar>
              <w:top w:w="80" w:type="dxa"/>
              <w:left w:w="100" w:type="dxa"/>
              <w:bottom w:w="80" w:type="dxa"/>
              <w:right w:w="100" w:type="dxa"/>
            </w:tcMar>
            <w:vAlign w:val="center"/>
          </w:tcPr>
          <w:p w14:paraId="73750F7C">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SVM</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7ED4656F">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15.9193</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34EED7AC">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4.513e-46</w:t>
            </w:r>
          </w:p>
        </w:tc>
      </w:tr>
      <w:tr w14:paraId="2030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Borders>
              <w:top w:val="nil"/>
              <w:left w:val="nil"/>
              <w:bottom w:val="nil"/>
              <w:right w:val="nil"/>
            </w:tcBorders>
            <w:shd w:val="clear" w:color="auto" w:fill="FFFFFF"/>
            <w:tcMar>
              <w:top w:w="80" w:type="dxa"/>
              <w:left w:w="100" w:type="dxa"/>
              <w:bottom w:w="80" w:type="dxa"/>
              <w:right w:w="100" w:type="dxa"/>
            </w:tcMar>
            <w:vAlign w:val="center"/>
          </w:tcPr>
          <w:p w14:paraId="3813B9E2">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ELM</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38D62446">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8.7073</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3A19C660">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5.681e-17</w:t>
            </w:r>
          </w:p>
        </w:tc>
      </w:tr>
      <w:tr w14:paraId="73A45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Borders>
              <w:top w:val="nil"/>
              <w:left w:val="nil"/>
              <w:bottom w:val="nil"/>
              <w:right w:val="nil"/>
            </w:tcBorders>
            <w:shd w:val="clear" w:color="auto" w:fill="FFFFFF"/>
            <w:tcMar>
              <w:top w:w="80" w:type="dxa"/>
              <w:left w:w="100" w:type="dxa"/>
              <w:bottom w:w="80" w:type="dxa"/>
              <w:right w:w="100" w:type="dxa"/>
            </w:tcMar>
            <w:vAlign w:val="center"/>
          </w:tcPr>
          <w:p w14:paraId="6F0DB227">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Transformer</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2CED3CD3">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21.4545</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160D4D80">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6.451e-39</w:t>
            </w:r>
          </w:p>
        </w:tc>
      </w:tr>
      <w:tr w14:paraId="1E27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Borders>
              <w:top w:val="nil"/>
              <w:left w:val="nil"/>
              <w:bottom w:val="nil"/>
              <w:right w:val="nil"/>
            </w:tcBorders>
            <w:shd w:val="clear" w:color="auto" w:fill="FFFFFF"/>
            <w:tcMar>
              <w:top w:w="80" w:type="dxa"/>
              <w:left w:w="100" w:type="dxa"/>
              <w:bottom w:w="80" w:type="dxa"/>
              <w:right w:w="100" w:type="dxa"/>
            </w:tcMar>
            <w:vAlign w:val="center"/>
          </w:tcPr>
          <w:p w14:paraId="4B76BA63">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Autoformer</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65FD0F03">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15.2458</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373ABECB">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5.729e-31</w:t>
            </w:r>
          </w:p>
        </w:tc>
      </w:tr>
      <w:tr w14:paraId="103E1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Borders>
              <w:top w:val="nil"/>
              <w:left w:val="nil"/>
              <w:bottom w:val="nil"/>
              <w:right w:val="nil"/>
            </w:tcBorders>
            <w:shd w:val="clear" w:color="auto" w:fill="FFFFFF"/>
            <w:tcMar>
              <w:top w:w="80" w:type="dxa"/>
              <w:left w:w="100" w:type="dxa"/>
              <w:bottom w:w="80" w:type="dxa"/>
              <w:right w:w="100" w:type="dxa"/>
            </w:tcMar>
            <w:vAlign w:val="center"/>
          </w:tcPr>
          <w:p w14:paraId="137DF33B">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Informer</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1FA746F2">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18.4524</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0EC9C7A0">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9.454e-27</w:t>
            </w:r>
          </w:p>
        </w:tc>
      </w:tr>
      <w:tr w14:paraId="3121C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Borders>
              <w:top w:val="nil"/>
              <w:left w:val="nil"/>
              <w:bottom w:val="nil"/>
              <w:right w:val="nil"/>
            </w:tcBorders>
            <w:shd w:val="clear" w:color="auto" w:fill="FFFFFF"/>
            <w:tcMar>
              <w:top w:w="80" w:type="dxa"/>
              <w:left w:w="100" w:type="dxa"/>
              <w:bottom w:w="80" w:type="dxa"/>
              <w:right w:w="100" w:type="dxa"/>
            </w:tcMar>
            <w:vAlign w:val="center"/>
          </w:tcPr>
          <w:p w14:paraId="3717FAD1">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RandomForest</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2928A33D">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23.3269</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71113E75">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7.203e-81</w:t>
            </w:r>
          </w:p>
        </w:tc>
      </w:tr>
      <w:tr w14:paraId="5D00D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Borders>
              <w:top w:val="nil"/>
              <w:left w:val="nil"/>
              <w:bottom w:val="nil"/>
              <w:right w:val="nil"/>
            </w:tcBorders>
            <w:shd w:val="clear" w:color="auto" w:fill="FFFFFF"/>
            <w:tcMar>
              <w:top w:w="80" w:type="dxa"/>
              <w:left w:w="100" w:type="dxa"/>
              <w:bottom w:w="80" w:type="dxa"/>
              <w:right w:w="100" w:type="dxa"/>
            </w:tcMar>
            <w:vAlign w:val="center"/>
          </w:tcPr>
          <w:p w14:paraId="2EAE821D">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DRF</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40752555">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23.6460</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35342B5C">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2.216e-82</w:t>
            </w:r>
          </w:p>
        </w:tc>
      </w:tr>
      <w:tr w14:paraId="56D84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340651E7">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XGBoost</w:t>
            </w:r>
          </w:p>
        </w:tc>
        <w:tc>
          <w:tcPr>
            <w:tcW w:w="2448"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506374B6">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19.1034</w:t>
            </w:r>
          </w:p>
        </w:tc>
        <w:tc>
          <w:tcPr>
            <w:tcW w:w="2448"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6F5C334C">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6.457e-35</w:t>
            </w:r>
          </w:p>
        </w:tc>
      </w:tr>
    </w:tbl>
    <w:p w14:paraId="769DB671">
      <w:pPr>
        <w:pageBreakBefore w:val="0"/>
        <w:widowControl/>
        <w:kinsoku/>
        <w:wordWrap/>
        <w:overflowPunct/>
        <w:topLinePunct w:val="0"/>
        <w:autoSpaceDE/>
        <w:autoSpaceDN/>
        <w:bidi w:val="0"/>
        <w:adjustRightInd/>
        <w:snapToGrid/>
        <w:spacing w:after="40" w:line="360" w:lineRule="auto"/>
        <w:textAlignment w:val="auto"/>
        <w:rPr>
          <w:sz w:val="24"/>
          <w:szCs w:val="24"/>
        </w:rPr>
      </w:pPr>
    </w:p>
    <w:p w14:paraId="625EDFE4">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All DM statistics are positive and the associated p-values are below 0.05, indicating lower loss for the proposed model relative to each benchmark under the stated loss-differential definition. The statistic is used to assess the significance and direction of the loss difference; its absolute magnitude is not treated as a standardized effect size.</w:t>
      </w:r>
    </w:p>
    <w:p w14:paraId="603CCD81">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The positive statistics are observed for the recurrent, kernel-based, linear, attention-based, and tree-based benchmarks. The smallest statistic is obtained for ELM and remains statistically significant, whereas the larger statistics for the tree-based models indicate a more pronounced loss differential on the common test observations. These comparisons are conditional on the selected loss function and evaluated test period.</w:t>
      </w:r>
    </w:p>
    <w:p w14:paraId="7305CE74">
      <w:pPr>
        <w:keepNext/>
        <w:keepLines w:val="0"/>
        <w:pageBreakBefore w:val="0"/>
        <w:widowControl/>
        <w:kinsoku/>
        <w:wordWrap/>
        <w:overflowPunct/>
        <w:topLinePunct w:val="0"/>
        <w:autoSpaceDE/>
        <w:autoSpaceDN/>
        <w:bidi w:val="0"/>
        <w:adjustRightInd/>
        <w:snapToGrid/>
        <w:spacing w:before="80" w:after="0" w:line="360" w:lineRule="auto"/>
        <w:jc w:val="center"/>
        <w:textAlignment w:val="auto"/>
        <w:rPr>
          <w:rFonts w:ascii="Times New Roman" w:hAnsi="Times New Roman"/>
          <w:b/>
          <w:sz w:val="24"/>
          <w:szCs w:val="24"/>
        </w:rPr>
      </w:pPr>
      <w:r>
        <w:rPr>
          <w:rFonts w:ascii="Times New Roman" w:hAnsi="Times New Roman"/>
          <w:b/>
          <w:sz w:val="24"/>
          <w:szCs w:val="24"/>
        </w:rPr>
        <w:t>Table B.4. Wilcoxon signed-rank test results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54"/>
        <w:gridCol w:w="3154"/>
        <w:gridCol w:w="3154"/>
      </w:tblGrid>
      <w:tr w14:paraId="5D586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00" w:type="dxa"/>
            <w:tcBorders>
              <w:top w:val="single" w:color="000000" w:sz="12" w:space="0"/>
              <w:left w:val="nil"/>
              <w:bottom w:val="single" w:color="000000" w:sz="4" w:space="0"/>
              <w:right w:val="nil"/>
              <w:tl2br w:val="nil"/>
            </w:tcBorders>
            <w:shd w:val="clear" w:color="auto" w:fill="FFFFFF"/>
            <w:tcMar>
              <w:top w:w="80" w:type="dxa"/>
              <w:left w:w="100" w:type="dxa"/>
              <w:bottom w:w="80" w:type="dxa"/>
              <w:right w:w="100" w:type="dxa"/>
            </w:tcMar>
            <w:vAlign w:val="center"/>
          </w:tcPr>
          <w:p w14:paraId="18469949">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Benchmark</w:t>
            </w:r>
          </w:p>
        </w:tc>
        <w:tc>
          <w:tcPr>
            <w:tcW w:w="2448" w:type="dxa"/>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6BEFE856">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Wilcoxon statistic</w:t>
            </w:r>
          </w:p>
        </w:tc>
        <w:tc>
          <w:tcPr>
            <w:tcW w:w="2448" w:type="dxa"/>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40F365BB">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p-value</w:t>
            </w:r>
          </w:p>
        </w:tc>
      </w:tr>
      <w:tr w14:paraId="02768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7C5E77C6">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LSTM</w:t>
            </w:r>
          </w:p>
        </w:tc>
        <w:tc>
          <w:tcPr>
            <w:tcW w:w="2448"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371CD63A">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4401</w:t>
            </w:r>
          </w:p>
        </w:tc>
        <w:tc>
          <w:tcPr>
            <w:tcW w:w="2448"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4F350B08">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1.206e-05</w:t>
            </w:r>
          </w:p>
        </w:tc>
      </w:tr>
      <w:tr w14:paraId="02912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Borders>
              <w:top w:val="nil"/>
              <w:left w:val="nil"/>
              <w:bottom w:val="nil"/>
              <w:right w:val="nil"/>
            </w:tcBorders>
            <w:shd w:val="clear" w:color="auto" w:fill="FFFFFF"/>
            <w:tcMar>
              <w:top w:w="80" w:type="dxa"/>
              <w:left w:w="100" w:type="dxa"/>
              <w:bottom w:w="80" w:type="dxa"/>
              <w:right w:w="100" w:type="dxa"/>
            </w:tcMar>
            <w:vAlign w:val="center"/>
          </w:tcPr>
          <w:p w14:paraId="2A19A320">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SVM</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01A55BCB">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274</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1D6A868A">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2.761e-79</w:t>
            </w:r>
          </w:p>
        </w:tc>
      </w:tr>
      <w:tr w14:paraId="5FEE4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Borders>
              <w:top w:val="nil"/>
              <w:left w:val="nil"/>
              <w:bottom w:val="nil"/>
              <w:right w:val="nil"/>
            </w:tcBorders>
            <w:shd w:val="clear" w:color="auto" w:fill="FFFFFF"/>
            <w:tcMar>
              <w:top w:w="80" w:type="dxa"/>
              <w:left w:w="100" w:type="dxa"/>
              <w:bottom w:w="80" w:type="dxa"/>
              <w:right w:w="100" w:type="dxa"/>
            </w:tcMar>
            <w:vAlign w:val="center"/>
          </w:tcPr>
          <w:p w14:paraId="314D9041">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ELM</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283CF110">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1326</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3F42AB07">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5.491e-48</w:t>
            </w:r>
          </w:p>
        </w:tc>
      </w:tr>
      <w:tr w14:paraId="214F2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Borders>
              <w:top w:val="nil"/>
              <w:left w:val="nil"/>
              <w:bottom w:val="nil"/>
              <w:right w:val="nil"/>
            </w:tcBorders>
            <w:shd w:val="clear" w:color="auto" w:fill="FFFFFF"/>
            <w:tcMar>
              <w:top w:w="80" w:type="dxa"/>
              <w:left w:w="100" w:type="dxa"/>
              <w:bottom w:w="80" w:type="dxa"/>
              <w:right w:w="100" w:type="dxa"/>
            </w:tcMar>
            <w:vAlign w:val="center"/>
          </w:tcPr>
          <w:p w14:paraId="6B7E768C">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Transformer</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1153958A">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421</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640FC34C">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9.149e-31</w:t>
            </w:r>
          </w:p>
        </w:tc>
      </w:tr>
      <w:tr w14:paraId="3EAAE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Borders>
              <w:top w:val="nil"/>
              <w:left w:val="nil"/>
              <w:bottom w:val="nil"/>
              <w:right w:val="nil"/>
            </w:tcBorders>
            <w:shd w:val="clear" w:color="auto" w:fill="FFFFFF"/>
            <w:tcMar>
              <w:top w:w="80" w:type="dxa"/>
              <w:left w:w="100" w:type="dxa"/>
              <w:bottom w:w="80" w:type="dxa"/>
              <w:right w:w="100" w:type="dxa"/>
            </w:tcMar>
            <w:vAlign w:val="center"/>
          </w:tcPr>
          <w:p w14:paraId="474348F3">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Autoformer</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0E69C95D">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751</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1F346F0E">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7.741e-26</w:t>
            </w:r>
          </w:p>
        </w:tc>
      </w:tr>
      <w:tr w14:paraId="33351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Borders>
              <w:top w:val="nil"/>
              <w:left w:val="nil"/>
              <w:bottom w:val="nil"/>
              <w:right w:val="nil"/>
            </w:tcBorders>
            <w:shd w:val="clear" w:color="auto" w:fill="FFFFFF"/>
            <w:tcMar>
              <w:top w:w="80" w:type="dxa"/>
              <w:left w:w="100" w:type="dxa"/>
              <w:bottom w:w="80" w:type="dxa"/>
              <w:right w:w="100" w:type="dxa"/>
            </w:tcMar>
            <w:vAlign w:val="center"/>
          </w:tcPr>
          <w:p w14:paraId="4C4EB9A5">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Informer</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33F32B50">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545</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1F499478">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3.847e-21</w:t>
            </w:r>
          </w:p>
        </w:tc>
      </w:tr>
      <w:tr w14:paraId="579BC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Borders>
              <w:top w:val="nil"/>
              <w:left w:val="nil"/>
              <w:bottom w:val="nil"/>
              <w:right w:val="nil"/>
            </w:tcBorders>
            <w:shd w:val="clear" w:color="auto" w:fill="FFFFFF"/>
            <w:tcMar>
              <w:top w:w="80" w:type="dxa"/>
              <w:left w:w="100" w:type="dxa"/>
              <w:bottom w:w="80" w:type="dxa"/>
              <w:right w:w="100" w:type="dxa"/>
            </w:tcMar>
            <w:vAlign w:val="center"/>
          </w:tcPr>
          <w:p w14:paraId="02D4A1DA">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RandomForest</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2FB6F7AC">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359</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30A1BF23">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4.696e-79</w:t>
            </w:r>
          </w:p>
        </w:tc>
      </w:tr>
      <w:tr w14:paraId="0F6CE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Borders>
              <w:top w:val="nil"/>
              <w:left w:val="nil"/>
              <w:bottom w:val="nil"/>
              <w:right w:val="nil"/>
            </w:tcBorders>
            <w:shd w:val="clear" w:color="auto" w:fill="FFFFFF"/>
            <w:tcMar>
              <w:top w:w="80" w:type="dxa"/>
              <w:left w:w="100" w:type="dxa"/>
              <w:bottom w:w="80" w:type="dxa"/>
              <w:right w:w="100" w:type="dxa"/>
            </w:tcMar>
            <w:vAlign w:val="center"/>
          </w:tcPr>
          <w:p w14:paraId="0FE9171C">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DRF</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25265148">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215</w:t>
            </w:r>
          </w:p>
        </w:tc>
        <w:tc>
          <w:tcPr>
            <w:tcW w:w="2448" w:type="dxa"/>
            <w:tcBorders>
              <w:top w:val="nil"/>
              <w:left w:val="nil"/>
              <w:bottom w:val="nil"/>
              <w:right w:val="nil"/>
            </w:tcBorders>
            <w:shd w:val="clear" w:color="auto" w:fill="FFFFFF"/>
            <w:tcMar>
              <w:top w:w="80" w:type="dxa"/>
              <w:left w:w="100" w:type="dxa"/>
              <w:bottom w:w="80" w:type="dxa"/>
              <w:right w:w="100" w:type="dxa"/>
            </w:tcMar>
            <w:vAlign w:val="center"/>
          </w:tcPr>
          <w:p w14:paraId="4C4D7C0C">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1.908e-79</w:t>
            </w:r>
          </w:p>
        </w:tc>
      </w:tr>
      <w:tr w14:paraId="79AFC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1A53FDB2">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XGBoost</w:t>
            </w:r>
          </w:p>
        </w:tc>
        <w:tc>
          <w:tcPr>
            <w:tcW w:w="2448"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368C47D4">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295</w:t>
            </w:r>
          </w:p>
        </w:tc>
        <w:tc>
          <w:tcPr>
            <w:tcW w:w="2448"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04874C17">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5.416e-33</w:t>
            </w:r>
          </w:p>
        </w:tc>
      </w:tr>
    </w:tbl>
    <w:p w14:paraId="4D355302">
      <w:pPr>
        <w:pageBreakBefore w:val="0"/>
        <w:widowControl/>
        <w:kinsoku/>
        <w:wordWrap/>
        <w:overflowPunct/>
        <w:topLinePunct w:val="0"/>
        <w:autoSpaceDE/>
        <w:autoSpaceDN/>
        <w:bidi w:val="0"/>
        <w:adjustRightInd/>
        <w:snapToGrid/>
        <w:spacing w:after="40" w:line="360" w:lineRule="auto"/>
        <w:textAlignment w:val="auto"/>
        <w:rPr>
          <w:sz w:val="24"/>
          <w:szCs w:val="24"/>
        </w:rPr>
      </w:pPr>
    </w:p>
    <w:p w14:paraId="39EE4258">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The Wilcoxon comparisons also yield p-values below 0.05. These results indicate statistically detectable differences between the paired forecast-error distributions. The direction of performance is determined jointly from the lower error metrics of the proposed model and the DM-test definition, rather than from the magnitude of the Wilcoxon statistic.</w:t>
      </w:r>
    </w:p>
    <w:p w14:paraId="4ADC276D">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Taken together, the DM and Wilcoxon results provide complementary evidence. The DM test evaluates the difference in forecast loss while accounting for the time ordering of the loss differential, whereas the Wilcoxon test evaluates paired error differences without requiring normality. Agreement between the two procedures reduces dependence on a single distributional assumption, although neither test eliminates uncertainty arising from the selected sample period or model-training procedure.</w:t>
      </w:r>
    </w:p>
    <w:p w14:paraId="608761CA">
      <w:pPr>
        <w:pStyle w:val="4"/>
        <w:keepNext/>
        <w:pageBreakBefore w:val="0"/>
        <w:widowControl/>
        <w:kinsoku/>
        <w:wordWrap/>
        <w:overflowPunct/>
        <w:topLinePunct w:val="0"/>
        <w:autoSpaceDE/>
        <w:autoSpaceDN/>
        <w:bidi w:val="0"/>
        <w:adjustRightInd/>
        <w:snapToGrid/>
        <w:spacing w:before="140" w:after="60" w:line="360" w:lineRule="auto"/>
        <w:textAlignment w:val="auto"/>
        <w:rPr>
          <w:sz w:val="24"/>
          <w:szCs w:val="24"/>
        </w:rPr>
      </w:pPr>
      <w:r>
        <w:rPr>
          <w:rFonts w:ascii="Times New Roman" w:hAnsi="Times New Roman"/>
          <w:b/>
          <w:sz w:val="24"/>
          <w:szCs w:val="24"/>
        </w:rPr>
        <w:t>B.5 Bootstrap sensitivity analysis</w:t>
      </w:r>
    </w:p>
    <w:p w14:paraId="402585FE">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A non-parametric bootstrap analysis with 1,000 resamples was used to examine the sampling variability of the reported metrics. The resulting 95% intervals were [0.9925, 0.9948] for R² and [0.0056, 0.0067] for MSE. The narrow ranges indicate limited variation under the implemented resampling procedure. These intervals quantify sensitivity to the specified bootstrap scheme and should not be interpreted as capturing every source of uncertainty in a serially dependent market series.</w:t>
      </w:r>
    </w:p>
    <w:p w14:paraId="1DF4469F">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The bootstrap distribution is used here as a metric-sensitivity analysis rather than as a substitute for chronological out-of-sample evaluation. Its principal contribution is to show that the reported point estimates are not driven by a small number of individual test observations under the implemented resampling design. Dependence-aware resampling would be required if the intervals were used for formal time-series inference.</w:t>
      </w:r>
    </w:p>
    <w:p w14:paraId="6D235D89">
      <w:pPr>
        <w:pStyle w:val="4"/>
        <w:keepNext/>
        <w:pageBreakBefore w:val="0"/>
        <w:widowControl/>
        <w:kinsoku/>
        <w:wordWrap/>
        <w:overflowPunct/>
        <w:topLinePunct w:val="0"/>
        <w:autoSpaceDE/>
        <w:autoSpaceDN/>
        <w:bidi w:val="0"/>
        <w:adjustRightInd/>
        <w:snapToGrid/>
        <w:spacing w:before="140" w:after="60" w:line="360" w:lineRule="auto"/>
        <w:textAlignment w:val="auto"/>
        <w:rPr>
          <w:sz w:val="24"/>
          <w:szCs w:val="24"/>
        </w:rPr>
      </w:pPr>
      <w:r>
        <w:rPr>
          <w:rFonts w:ascii="Times New Roman" w:hAnsi="Times New Roman"/>
          <w:b/>
          <w:sz w:val="24"/>
          <w:szCs w:val="24"/>
        </w:rPr>
        <w:t>B.6 Fold-based stability analysis</w:t>
      </w:r>
    </w:p>
    <w:p w14:paraId="7AEC1682">
      <w:pPr>
        <w:keepNext/>
        <w:keepLines w:val="0"/>
        <w:pageBreakBefore w:val="0"/>
        <w:widowControl/>
        <w:kinsoku/>
        <w:wordWrap/>
        <w:overflowPunct/>
        <w:topLinePunct w:val="0"/>
        <w:autoSpaceDE/>
        <w:autoSpaceDN/>
        <w:bidi w:val="0"/>
        <w:adjustRightInd/>
        <w:snapToGrid/>
        <w:spacing w:before="80" w:after="0" w:line="360" w:lineRule="auto"/>
        <w:jc w:val="center"/>
        <w:textAlignment w:val="auto"/>
        <w:rPr>
          <w:rFonts w:ascii="Times New Roman" w:hAnsi="Times New Roman"/>
          <w:b/>
          <w:sz w:val="24"/>
          <w:szCs w:val="24"/>
        </w:rPr>
      </w:pPr>
      <w:r>
        <w:rPr>
          <w:rFonts w:ascii="Times New Roman" w:hAnsi="Times New Roman"/>
          <w:b/>
          <w:sz w:val="24"/>
          <w:szCs w:val="24"/>
        </w:rPr>
        <w:t>Table B.5. Five-fold sensitivity results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54"/>
        <w:gridCol w:w="3154"/>
        <w:gridCol w:w="3154"/>
      </w:tblGrid>
      <w:tr w14:paraId="4D764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2" w:type="dxa"/>
            <w:tcBorders>
              <w:top w:val="single" w:color="000000" w:sz="12" w:space="0"/>
              <w:left w:val="nil"/>
              <w:bottom w:val="single" w:color="000000" w:sz="4" w:space="0"/>
              <w:right w:val="nil"/>
              <w:tl2br w:val="nil"/>
            </w:tcBorders>
            <w:shd w:val="clear" w:color="auto" w:fill="FFFFFF"/>
            <w:tcMar>
              <w:top w:w="80" w:type="dxa"/>
              <w:left w:w="100" w:type="dxa"/>
              <w:bottom w:w="80" w:type="dxa"/>
              <w:right w:w="100" w:type="dxa"/>
            </w:tcMar>
            <w:vAlign w:val="center"/>
          </w:tcPr>
          <w:p w14:paraId="4C3EECDD">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Metric</w:t>
            </w:r>
          </w:p>
        </w:tc>
        <w:tc>
          <w:tcPr>
            <w:tcW w:w="3312" w:type="dxa"/>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1D58931D">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Mean ± standard deviation</w:t>
            </w:r>
          </w:p>
        </w:tc>
        <w:tc>
          <w:tcPr>
            <w:tcW w:w="3312" w:type="dxa"/>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7EBF7612">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Observed range/description</w:t>
            </w:r>
          </w:p>
        </w:tc>
      </w:tr>
      <w:tr w14:paraId="7F74A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7E651195">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R²</w:t>
            </w:r>
          </w:p>
        </w:tc>
        <w:tc>
          <w:tcPr>
            <w:tcW w:w="3312"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1E3BA9E0">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0.9926 ± 0.0014</w:t>
            </w:r>
          </w:p>
        </w:tc>
        <w:tc>
          <w:tcPr>
            <w:tcW w:w="3312"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209F3D38">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Reported across five folds</w:t>
            </w:r>
          </w:p>
        </w:tc>
      </w:tr>
      <w:tr w14:paraId="2B14D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nil"/>
              <w:left w:val="nil"/>
              <w:bottom w:val="nil"/>
              <w:right w:val="nil"/>
            </w:tcBorders>
            <w:shd w:val="clear" w:color="auto" w:fill="FFFFFF"/>
            <w:tcMar>
              <w:top w:w="80" w:type="dxa"/>
              <w:left w:w="100" w:type="dxa"/>
              <w:bottom w:w="80" w:type="dxa"/>
              <w:right w:w="100" w:type="dxa"/>
            </w:tcMar>
            <w:vAlign w:val="center"/>
          </w:tcPr>
          <w:p w14:paraId="07DD2EDA">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RMSE</w:t>
            </w:r>
          </w:p>
        </w:tc>
        <w:tc>
          <w:tcPr>
            <w:tcW w:w="3312" w:type="dxa"/>
            <w:tcBorders>
              <w:top w:val="nil"/>
              <w:left w:val="nil"/>
              <w:bottom w:val="nil"/>
              <w:right w:val="nil"/>
            </w:tcBorders>
            <w:shd w:val="clear" w:color="auto" w:fill="FFFFFF"/>
            <w:tcMar>
              <w:top w:w="80" w:type="dxa"/>
              <w:left w:w="100" w:type="dxa"/>
              <w:bottom w:w="80" w:type="dxa"/>
              <w:right w:w="100" w:type="dxa"/>
            </w:tcMar>
            <w:vAlign w:val="center"/>
          </w:tcPr>
          <w:p w14:paraId="59787FDD">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0.0804 ± 0.0083</w:t>
            </w:r>
          </w:p>
        </w:tc>
        <w:tc>
          <w:tcPr>
            <w:tcW w:w="3312" w:type="dxa"/>
            <w:tcBorders>
              <w:top w:val="nil"/>
              <w:left w:val="nil"/>
              <w:bottom w:val="nil"/>
              <w:right w:val="nil"/>
            </w:tcBorders>
            <w:shd w:val="clear" w:color="auto" w:fill="FFFFFF"/>
            <w:tcMar>
              <w:top w:w="80" w:type="dxa"/>
              <w:left w:w="100" w:type="dxa"/>
              <w:bottom w:w="80" w:type="dxa"/>
              <w:right w:w="100" w:type="dxa"/>
            </w:tcMar>
            <w:vAlign w:val="center"/>
          </w:tcPr>
          <w:p w14:paraId="06FEF776">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Reported across five folds</w:t>
            </w:r>
          </w:p>
        </w:tc>
      </w:tr>
      <w:tr w14:paraId="01A7B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nil"/>
              <w:left w:val="nil"/>
              <w:bottom w:val="nil"/>
              <w:right w:val="nil"/>
            </w:tcBorders>
            <w:shd w:val="clear" w:color="auto" w:fill="FFFFFF"/>
            <w:tcMar>
              <w:top w:w="80" w:type="dxa"/>
              <w:left w:w="100" w:type="dxa"/>
              <w:bottom w:w="80" w:type="dxa"/>
              <w:right w:w="100" w:type="dxa"/>
            </w:tcMar>
            <w:vAlign w:val="center"/>
          </w:tcPr>
          <w:p w14:paraId="2CDE8C3E">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MAE</w:t>
            </w:r>
          </w:p>
        </w:tc>
        <w:tc>
          <w:tcPr>
            <w:tcW w:w="3312" w:type="dxa"/>
            <w:tcBorders>
              <w:top w:val="nil"/>
              <w:left w:val="nil"/>
              <w:bottom w:val="nil"/>
              <w:right w:val="nil"/>
            </w:tcBorders>
            <w:shd w:val="clear" w:color="auto" w:fill="FFFFFF"/>
            <w:tcMar>
              <w:top w:w="80" w:type="dxa"/>
              <w:left w:w="100" w:type="dxa"/>
              <w:bottom w:w="80" w:type="dxa"/>
              <w:right w:w="100" w:type="dxa"/>
            </w:tcMar>
            <w:vAlign w:val="center"/>
          </w:tcPr>
          <w:p w14:paraId="7E20AF42">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0.0553 ± 0.0075</w:t>
            </w:r>
          </w:p>
        </w:tc>
        <w:tc>
          <w:tcPr>
            <w:tcW w:w="3312" w:type="dxa"/>
            <w:tcBorders>
              <w:top w:val="nil"/>
              <w:left w:val="nil"/>
              <w:bottom w:val="nil"/>
              <w:right w:val="nil"/>
            </w:tcBorders>
            <w:shd w:val="clear" w:color="auto" w:fill="FFFFFF"/>
            <w:tcMar>
              <w:top w:w="80" w:type="dxa"/>
              <w:left w:w="100" w:type="dxa"/>
              <w:bottom w:w="80" w:type="dxa"/>
              <w:right w:w="100" w:type="dxa"/>
            </w:tcMar>
            <w:vAlign w:val="center"/>
          </w:tcPr>
          <w:p w14:paraId="7A1534C0">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Reported across five folds</w:t>
            </w:r>
          </w:p>
        </w:tc>
      </w:tr>
      <w:tr w14:paraId="1D7BD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7FA3D176">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MSE</w:t>
            </w:r>
          </w:p>
        </w:tc>
        <w:tc>
          <w:tcPr>
            <w:tcW w:w="3312"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48DAB511">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0.0065 ± 0.0014</w:t>
            </w:r>
          </w:p>
        </w:tc>
        <w:tc>
          <w:tcPr>
            <w:tcW w:w="3312"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24878BB5">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Reported across five folds</w:t>
            </w:r>
          </w:p>
        </w:tc>
      </w:tr>
    </w:tbl>
    <w:p w14:paraId="0B3B81FF">
      <w:pPr>
        <w:pageBreakBefore w:val="0"/>
        <w:widowControl/>
        <w:kinsoku/>
        <w:wordWrap/>
        <w:overflowPunct/>
        <w:topLinePunct w:val="0"/>
        <w:autoSpaceDE/>
        <w:autoSpaceDN/>
        <w:bidi w:val="0"/>
        <w:adjustRightInd/>
        <w:snapToGrid/>
        <w:spacing w:after="40" w:line="360" w:lineRule="auto"/>
        <w:textAlignment w:val="auto"/>
        <w:rPr>
          <w:sz w:val="24"/>
          <w:szCs w:val="24"/>
        </w:rPr>
      </w:pPr>
    </w:p>
    <w:p w14:paraId="75880D52">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The fold-level estimates remain close to the hold-out results, providing a supplementary indication that the reported performance is not driven by a single partition. Because fold-based resampling and chronological out-of-sample forecasting address different aspects of model behavior, this analysis is treated as a stability check rather than a replacement for the primary hold-out evaluation.</w:t>
      </w:r>
    </w:p>
    <w:p w14:paraId="3695B1D0">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The range of R² values across the five folds is limited, and the dispersion of RMSE and MAE remains small relative to their means. The fold analysis is therefore reported as evidence of numerical stability under alternative data partitions. The primary claims concerning forecasting performance remain based on the chronological evaluation described in Section B.1.</w:t>
      </w:r>
    </w:p>
    <w:p w14:paraId="5F2DD6B6">
      <w:pPr>
        <w:pStyle w:val="4"/>
        <w:keepNext/>
        <w:pageBreakBefore w:val="0"/>
        <w:widowControl/>
        <w:kinsoku/>
        <w:wordWrap/>
        <w:overflowPunct/>
        <w:topLinePunct w:val="0"/>
        <w:autoSpaceDE/>
        <w:autoSpaceDN/>
        <w:bidi w:val="0"/>
        <w:adjustRightInd/>
        <w:snapToGrid/>
        <w:spacing w:before="140" w:after="60" w:line="360" w:lineRule="auto"/>
        <w:textAlignment w:val="auto"/>
        <w:rPr>
          <w:sz w:val="24"/>
          <w:szCs w:val="24"/>
        </w:rPr>
      </w:pPr>
      <w:r>
        <w:rPr>
          <w:rFonts w:ascii="Times New Roman" w:hAnsi="Times New Roman"/>
          <w:b/>
          <w:sz w:val="24"/>
          <w:szCs w:val="24"/>
        </w:rPr>
        <w:t>B.7 Train-test performance comparison</w:t>
      </w:r>
    </w:p>
    <w:p w14:paraId="05DE2E5D">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The training and test R² values are 0.9959 and 0.9935, respectively, corresponding to an absolute difference of 0.0024. The limited gap is consistent with similar fit across the two samples. This diagnostic does not exclude all forms of overfitting, but it provides no indication of a large deterioration from training to test performance under the reported experimental design.</w:t>
      </w:r>
    </w:p>
    <w:p w14:paraId="19390E0E">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This comparison is interpreted jointly with the out-of-time protocol, fold-level sensitivity, and benchmark tests. A small train-test gap alone is not sufficient to establish generalization, particularly for highly persistent series; however, the absence of a marked performance decline is consistent with the stability observed in the additional analyses.</w:t>
      </w:r>
    </w:p>
    <w:p w14:paraId="61221E44">
      <w:pPr>
        <w:pStyle w:val="4"/>
        <w:keepNext/>
        <w:pageBreakBefore w:val="0"/>
        <w:widowControl/>
        <w:kinsoku/>
        <w:wordWrap/>
        <w:overflowPunct/>
        <w:topLinePunct w:val="0"/>
        <w:autoSpaceDE/>
        <w:autoSpaceDN/>
        <w:bidi w:val="0"/>
        <w:adjustRightInd/>
        <w:snapToGrid/>
        <w:spacing w:before="140" w:after="60" w:line="360" w:lineRule="auto"/>
        <w:textAlignment w:val="auto"/>
        <w:rPr>
          <w:sz w:val="24"/>
          <w:szCs w:val="24"/>
        </w:rPr>
      </w:pPr>
      <w:r>
        <w:rPr>
          <w:rFonts w:ascii="Times New Roman" w:hAnsi="Times New Roman"/>
          <w:b/>
          <w:sz w:val="24"/>
          <w:szCs w:val="24"/>
        </w:rPr>
        <w:t>B.8 Summary of supplementary statistical evidence</w:t>
      </w:r>
    </w:p>
    <w:p w14:paraId="5D56AE95">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The point estimates, pairwise tests, bootstrap intervals, fold-based sensitivity results, and train-test comparison provide complementary evidence of predictive accuracy and stability. The non-normal residual distribution motivates the inclusion of non-parametric analyses and cautions against relying exclusively on normal-theory inference. Within these limits, the supplementary results support the comparative performance reported in the main analysis without implying that the model is free from sampling, regime, or implementation uncertainty.</w:t>
      </w:r>
    </w:p>
    <w:p w14:paraId="36EBB582">
      <w:pPr>
        <w:pStyle w:val="3"/>
        <w:keepNext/>
        <w:pageBreakBefore w:val="0"/>
        <w:widowControl/>
        <w:kinsoku/>
        <w:wordWrap/>
        <w:overflowPunct/>
        <w:topLinePunct w:val="0"/>
        <w:autoSpaceDE/>
        <w:autoSpaceDN/>
        <w:bidi w:val="0"/>
        <w:adjustRightInd/>
        <w:snapToGrid/>
        <w:spacing w:before="200" w:after="60" w:line="360" w:lineRule="auto"/>
        <w:textAlignment w:val="auto"/>
        <w:rPr>
          <w:sz w:val="24"/>
          <w:szCs w:val="24"/>
        </w:rPr>
      </w:pPr>
      <w:r>
        <w:rPr>
          <w:rFonts w:ascii="Times New Roman" w:hAnsi="Times New Roman"/>
          <w:b/>
          <w:sz w:val="24"/>
          <w:szCs w:val="24"/>
        </w:rPr>
        <w:t>Appendix C. Market-Condition Windows and Data Description</w:t>
      </w:r>
    </w:p>
    <w:p w14:paraId="3BC27116">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Three evaluation windows were selected to examine model behavior under contrasting natural-gas market conditions. The windows are defined by their dominant price and volatility characteristics rather than as mutually exclusive statistical regimes. Market B and Market C overlap between January and July 2022 because this interval simultaneously forms part of a broader upward-price episode and a high-volatility episode. Results from these windows should therefore be interpreted as condition-specific robustness checks rather than independent subsample estimates.</w:t>
      </w:r>
    </w:p>
    <w:p w14:paraId="22FF401A">
      <w:pPr>
        <w:keepNext/>
        <w:keepLines w:val="0"/>
        <w:pageBreakBefore w:val="0"/>
        <w:widowControl/>
        <w:kinsoku/>
        <w:wordWrap/>
        <w:overflowPunct/>
        <w:topLinePunct w:val="0"/>
        <w:autoSpaceDE/>
        <w:autoSpaceDN/>
        <w:bidi w:val="0"/>
        <w:adjustRightInd/>
        <w:snapToGrid/>
        <w:spacing w:before="80" w:after="0" w:line="360" w:lineRule="auto"/>
        <w:jc w:val="center"/>
        <w:textAlignment w:val="auto"/>
        <w:rPr>
          <w:sz w:val="24"/>
          <w:szCs w:val="24"/>
        </w:rPr>
      </w:pPr>
      <w:r>
        <w:rPr>
          <w:rFonts w:ascii="Times New Roman" w:hAnsi="Times New Roman"/>
          <w:b/>
          <w:sz w:val="24"/>
          <w:szCs w:val="24"/>
        </w:rPr>
        <w:t>Table C.1. Definition of market-condition evaluation windows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65"/>
        <w:gridCol w:w="2365"/>
        <w:gridCol w:w="2365"/>
        <w:gridCol w:w="2365"/>
      </w:tblGrid>
      <w:tr w14:paraId="64DD5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40" w:type="dxa"/>
            <w:tcBorders>
              <w:top w:val="single" w:color="000000" w:sz="12" w:space="0"/>
              <w:left w:val="nil"/>
              <w:bottom w:val="single" w:color="000000" w:sz="4" w:space="0"/>
              <w:right w:val="nil"/>
              <w:tl2br w:val="nil"/>
            </w:tcBorders>
            <w:shd w:val="clear" w:color="auto" w:fill="FFFFFF"/>
            <w:tcMar>
              <w:top w:w="80" w:type="dxa"/>
              <w:left w:w="100" w:type="dxa"/>
              <w:bottom w:w="80" w:type="dxa"/>
              <w:right w:w="100" w:type="dxa"/>
            </w:tcMar>
            <w:vAlign w:val="center"/>
          </w:tcPr>
          <w:p w14:paraId="49353E08">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Window</w:t>
            </w:r>
          </w:p>
        </w:tc>
        <w:tc>
          <w:tcPr>
            <w:tcW w:w="2016" w:type="dxa"/>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1D48DA4E">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Period</w:t>
            </w:r>
          </w:p>
        </w:tc>
        <w:tc>
          <w:tcPr>
            <w:tcW w:w="2880" w:type="dxa"/>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7672F90E">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Dominant price behavior</w:t>
            </w:r>
          </w:p>
        </w:tc>
        <w:tc>
          <w:tcPr>
            <w:tcW w:w="2880" w:type="dxa"/>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142B3559">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Volatility characteristic</w:t>
            </w:r>
          </w:p>
        </w:tc>
      </w:tr>
      <w:tr w14:paraId="53756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5089B947">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Market A</w:t>
            </w:r>
          </w:p>
        </w:tc>
        <w:tc>
          <w:tcPr>
            <w:tcW w:w="2016"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369B7967">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Nov. 2014–Mar. 2016</w:t>
            </w:r>
          </w:p>
        </w:tc>
        <w:tc>
          <w:tcPr>
            <w:tcW w:w="2880"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64C3CE8F">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Persistent downward movement</w:t>
            </w:r>
          </w:p>
        </w:tc>
        <w:tc>
          <w:tcPr>
            <w:tcW w:w="2880" w:type="dxa"/>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2F057A9D">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Relatively low and stable volatility</w:t>
            </w:r>
          </w:p>
        </w:tc>
      </w:tr>
      <w:tr w14:paraId="2DEBC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nil"/>
              <w:left w:val="nil"/>
              <w:bottom w:val="nil"/>
              <w:right w:val="nil"/>
            </w:tcBorders>
            <w:shd w:val="clear" w:color="auto" w:fill="FFFFFF"/>
            <w:tcMar>
              <w:top w:w="80" w:type="dxa"/>
              <w:left w:w="100" w:type="dxa"/>
              <w:bottom w:w="80" w:type="dxa"/>
              <w:right w:w="100" w:type="dxa"/>
            </w:tcMar>
            <w:vAlign w:val="center"/>
          </w:tcPr>
          <w:p w14:paraId="47BE7ABD">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Market B</w:t>
            </w:r>
          </w:p>
        </w:tc>
        <w:tc>
          <w:tcPr>
            <w:tcW w:w="2016" w:type="dxa"/>
            <w:tcBorders>
              <w:top w:val="nil"/>
              <w:left w:val="nil"/>
              <w:bottom w:val="nil"/>
              <w:right w:val="nil"/>
            </w:tcBorders>
            <w:shd w:val="clear" w:color="auto" w:fill="FFFFFF"/>
            <w:tcMar>
              <w:top w:w="80" w:type="dxa"/>
              <w:left w:w="100" w:type="dxa"/>
              <w:bottom w:w="80" w:type="dxa"/>
              <w:right w:w="100" w:type="dxa"/>
            </w:tcMar>
            <w:vAlign w:val="center"/>
          </w:tcPr>
          <w:p w14:paraId="1DA6BACB">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Jul. 2020–Jul. 2022</w:t>
            </w:r>
          </w:p>
        </w:tc>
        <w:tc>
          <w:tcPr>
            <w:tcW w:w="2880" w:type="dxa"/>
            <w:tcBorders>
              <w:top w:val="nil"/>
              <w:left w:val="nil"/>
              <w:bottom w:val="nil"/>
              <w:right w:val="nil"/>
            </w:tcBorders>
            <w:shd w:val="clear" w:color="auto" w:fill="FFFFFF"/>
            <w:tcMar>
              <w:top w:w="80" w:type="dxa"/>
              <w:left w:w="100" w:type="dxa"/>
              <w:bottom w:w="80" w:type="dxa"/>
              <w:right w:w="100" w:type="dxa"/>
            </w:tcMar>
            <w:vAlign w:val="center"/>
          </w:tcPr>
          <w:p w14:paraId="6333198D">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Sustained upward movement</w:t>
            </w:r>
          </w:p>
        </w:tc>
        <w:tc>
          <w:tcPr>
            <w:tcW w:w="2880" w:type="dxa"/>
            <w:tcBorders>
              <w:top w:val="nil"/>
              <w:left w:val="nil"/>
              <w:bottom w:val="nil"/>
              <w:right w:val="nil"/>
            </w:tcBorders>
            <w:shd w:val="clear" w:color="auto" w:fill="FFFFFF"/>
            <w:tcMar>
              <w:top w:w="80" w:type="dxa"/>
              <w:left w:w="100" w:type="dxa"/>
              <w:bottom w:w="80" w:type="dxa"/>
              <w:right w:w="100" w:type="dxa"/>
            </w:tcMar>
            <w:vAlign w:val="center"/>
          </w:tcPr>
          <w:p w14:paraId="2B081B87">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Increasing volatility</w:t>
            </w:r>
          </w:p>
        </w:tc>
      </w:tr>
      <w:tr w14:paraId="7FC85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3B99BC59">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Market C</w:t>
            </w:r>
          </w:p>
        </w:tc>
        <w:tc>
          <w:tcPr>
            <w:tcW w:w="2016"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20ED1896">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Jan. 2022–Jul. 2023</w:t>
            </w:r>
          </w:p>
        </w:tc>
        <w:tc>
          <w:tcPr>
            <w:tcW w:w="2880"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4F849B2D">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Frequent reversals</w:t>
            </w:r>
          </w:p>
        </w:tc>
        <w:tc>
          <w:tcPr>
            <w:tcW w:w="2880" w:type="dxa"/>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064F0735">
            <w:pPr>
              <w:pageBreakBefore w:val="0"/>
              <w:widowControl/>
              <w:kinsoku/>
              <w:wordWrap/>
              <w:overflowPunct/>
              <w:topLinePunct w:val="0"/>
              <w:autoSpaceDE/>
              <w:autoSpaceDN/>
              <w:bidi w:val="0"/>
              <w:adjustRightInd/>
              <w:snapToGrid/>
              <w:spacing w:line="360" w:lineRule="auto"/>
              <w:jc w:val="center"/>
              <w:textAlignment w:val="auto"/>
              <w:rPr>
                <w:b w:val="0"/>
                <w:color w:val="000000"/>
                <w:sz w:val="24"/>
                <w:szCs w:val="24"/>
              </w:rPr>
            </w:pPr>
            <w:r>
              <w:rPr>
                <w:rFonts w:ascii="Times New Roman" w:hAnsi="Times New Roman"/>
                <w:b w:val="0"/>
                <w:color w:val="000000"/>
                <w:sz w:val="24"/>
                <w:szCs w:val="24"/>
              </w:rPr>
              <w:t>Persistently elevated volatility</w:t>
            </w:r>
          </w:p>
        </w:tc>
      </w:tr>
    </w:tbl>
    <w:p w14:paraId="5830BFC0">
      <w:pPr>
        <w:pageBreakBefore w:val="0"/>
        <w:widowControl/>
        <w:kinsoku/>
        <w:wordWrap/>
        <w:overflowPunct/>
        <w:topLinePunct w:val="0"/>
        <w:autoSpaceDE/>
        <w:autoSpaceDN/>
        <w:bidi w:val="0"/>
        <w:adjustRightInd/>
        <w:snapToGrid/>
        <w:spacing w:after="40" w:line="360" w:lineRule="auto"/>
        <w:textAlignment w:val="auto"/>
        <w:rPr>
          <w:sz w:val="24"/>
          <w:szCs w:val="24"/>
        </w:rPr>
      </w:pPr>
    </w:p>
    <w:p w14:paraId="518B361C">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Market A captures a prolonged price decline with limited rebound. Market B represents the strong upward phase beginning in 2020, accompanied by increasing variability. Market C focuses on the high-volatility environment surrounding the 2022 energy-market disruption and the subsequent period of sharp reversals. Figure C.1 presents the corresponding price and rolling-volatility profiles used to characterize these windows.</w:t>
      </w:r>
    </w:p>
    <w:p w14:paraId="0B7799EC">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Market A extends from November 2014 to March 2016. Prices decline persistently over this interval and exhibit only limited temporary recovery, while the rolling-volatility measures remain comparatively low and stable. This window therefore represents a relatively orderly downward market in which the forecasting task is dominated by a sustained directional movement rather than repeated abrupt reversals.</w:t>
      </w:r>
    </w:p>
    <w:p w14:paraId="609E27E5">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Market B covers July 2020 to July 2022 and captures the broad upward adjustment in natural-gas prices. The cumulative price increase is accompanied by a gradual rise in volatility, producing a setting in which the model must represent both trend continuation and an expanding range of short-term fluctuations.</w:t>
      </w:r>
    </w:p>
    <w:p w14:paraId="281E4898">
      <w:pPr>
        <w:pageBreakBefore w:val="0"/>
        <w:widowControl/>
        <w:kinsoku/>
        <w:wordWrap/>
        <w:overflowPunct/>
        <w:topLinePunct w:val="0"/>
        <w:autoSpaceDE/>
        <w:autoSpaceDN/>
        <w:bidi w:val="0"/>
        <w:adjustRightInd/>
        <w:snapToGrid/>
        <w:spacing w:line="360" w:lineRule="auto"/>
        <w:ind w:firstLine="360"/>
        <w:jc w:val="both"/>
        <w:textAlignment w:val="auto"/>
        <w:rPr>
          <w:sz w:val="24"/>
          <w:szCs w:val="24"/>
        </w:rPr>
      </w:pPr>
      <w:r>
        <w:rPr>
          <w:rFonts w:ascii="Times New Roman" w:hAnsi="Times New Roman"/>
          <w:sz w:val="24"/>
          <w:szCs w:val="24"/>
        </w:rPr>
        <w:t>Market C covers January 2022 to July 2023 and isolates a period of persistently elevated volatility. Prices undergo sharp increases, corrections, and trend reversals, and the rolling-volatility measures remain high across multiple window lengths. The overlap with Market B is intentional: the two windows characterize different aspects of the same transition, with Market B emphasizing the broader upward phase and Market C emphasizing the high-volatility regime and subsequent reversals.</w:t>
      </w:r>
    </w:p>
    <w:p w14:paraId="79A2C50F">
      <w:pPr>
        <w:pageBreakBefore w:val="0"/>
        <w:widowControl/>
        <w:kinsoku/>
        <w:wordWrap/>
        <w:overflowPunct/>
        <w:topLinePunct w:val="0"/>
        <w:autoSpaceDE/>
        <w:autoSpaceDN/>
        <w:bidi w:val="0"/>
        <w:adjustRightInd/>
        <w:snapToGrid/>
        <w:spacing w:line="360" w:lineRule="auto"/>
        <w:jc w:val="center"/>
        <w:textAlignment w:val="auto"/>
        <w:rPr>
          <w:sz w:val="24"/>
          <w:szCs w:val="24"/>
        </w:rPr>
      </w:pPr>
      <w:r>
        <w:rPr>
          <w:sz w:val="24"/>
          <w:szCs w:val="24"/>
        </w:rPr>
        <w:drawing>
          <wp:inline distT="0" distB="0" distL="114300" distR="114300">
            <wp:extent cx="5806440" cy="2909570"/>
            <wp:effectExtent l="0" t="0" r="1016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806440" cy="2910083"/>
                    </a:xfrm>
                    <a:prstGeom prst="rect">
                      <a:avLst/>
                    </a:prstGeom>
                  </pic:spPr>
                </pic:pic>
              </a:graphicData>
            </a:graphic>
          </wp:inline>
        </w:drawing>
      </w:r>
    </w:p>
    <w:p w14:paraId="287108D6">
      <w:pPr>
        <w:keepNext/>
        <w:keepLines w:val="0"/>
        <w:pageBreakBefore w:val="0"/>
        <w:widowControl/>
        <w:kinsoku/>
        <w:wordWrap/>
        <w:overflowPunct/>
        <w:topLinePunct w:val="0"/>
        <w:autoSpaceDE/>
        <w:autoSpaceDN/>
        <w:bidi w:val="0"/>
        <w:adjustRightInd/>
        <w:snapToGrid/>
        <w:spacing w:before="80" w:after="0" w:line="360" w:lineRule="auto"/>
        <w:jc w:val="center"/>
        <w:textAlignment w:val="auto"/>
        <w:rPr>
          <w:rFonts w:ascii="Times New Roman" w:hAnsi="Times New Roman"/>
          <w:b/>
          <w:sz w:val="24"/>
          <w:szCs w:val="24"/>
        </w:rPr>
      </w:pPr>
      <w:r>
        <w:rPr>
          <w:rFonts w:ascii="Times New Roman" w:hAnsi="Times New Roman"/>
          <w:b/>
          <w:sz w:val="24"/>
          <w:szCs w:val="24"/>
        </w:rPr>
        <w:t>Figure C.1. Price and rolling-volatility patterns across the selected market-condition windows</w:t>
      </w:r>
    </w:p>
    <w:p w14:paraId="4F305FAE">
      <w:pPr>
        <w:keepNext/>
        <w:keepLines w:val="0"/>
        <w:pageBreakBefore w:val="0"/>
        <w:widowControl/>
        <w:kinsoku/>
        <w:wordWrap/>
        <w:overflowPunct/>
        <w:topLinePunct w:val="0"/>
        <w:autoSpaceDE/>
        <w:autoSpaceDN/>
        <w:bidi w:val="0"/>
        <w:adjustRightInd/>
        <w:snapToGrid/>
        <w:spacing w:before="80" w:after="0" w:line="360" w:lineRule="auto"/>
        <w:jc w:val="center"/>
        <w:textAlignment w:val="auto"/>
        <w:rPr>
          <w:sz w:val="24"/>
          <w:szCs w:val="24"/>
        </w:rPr>
      </w:pPr>
    </w:p>
    <w:sectPr>
      <w:footerReference r:id="rId5" w:type="default"/>
      <w:pgSz w:w="11909" w:h="16834"/>
      <w:pgMar w:top="1123" w:right="1224" w:bottom="1037"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7E4F9F">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724ED8"/>
    <w:rsid w:val="51901CD4"/>
    <w:rsid w:val="52502F08"/>
    <w:rsid w:val="778D41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60" w:line="259" w:lineRule="auto"/>
    </w:pPr>
    <w:rPr>
      <w:rFonts w:ascii="Times New Roman" w:hAnsi="Times New Roman" w:eastAsiaTheme="minorEastAsia"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2745</Words>
  <Characters>17697</Characters>
  <Lines>0</Lines>
  <Paragraphs>0</Paragraphs>
  <TotalTime>59</TotalTime>
  <ScaleCrop>false</ScaleCrop>
  <LinksUpToDate>false</LinksUpToDate>
  <CharactersWithSpaces>20213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7ick</cp:lastModifiedBy>
  <dcterms:modified xsi:type="dcterms:W3CDTF">2026-06-18T10:15:25Z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eyJoZGlkIjoiNjRlZTE2Mzc1YmU4NDA1OGFjMDhmZmFmNWQ3MTVkYTUiLCJ1c2VySWQiOiI0MDYwNzYxMTYifQ==</vt:lpwstr>
  </property>
  <property fmtid="{D5CDD505-2E9C-101B-9397-08002B2CF9AE}" pid="3" name="KSOProductBuildVer">
    <vt:lpwstr>2052-12.1.0.26895</vt:lpwstr>
  </property>
  <property fmtid="{D5CDD505-2E9C-101B-9397-08002B2CF9AE}" pid="4" name="ICV">
    <vt:lpwstr>31C13C8FDDC54C2BA8FA3BD5D32ADFDD_13</vt:lpwstr>
  </property>
</Properties>
</file>