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无涯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简介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在知识的长河里，学术从来没有边界，唯有审慎与求真，能让思想行稳致远。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无涯，诞生于对学术本真的敬畏。我们相信，每一篇论文背后，都是研究者对未知的探索、对真理的求索。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bbfbc"/>
        </w:rPr>
        <w:t>真正的严谨，不在于苛责，而在于守护；真正的审阅，不在于评判，而在于成全。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无涯以纯粹的初心，尊重每一份思考，珍视每一次表达。让学术回归理性，让观点获得公正，让探索拥有重量。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于无涯学海，守方寸真知。我们陪伴每一位学者，奔赴更辽阔的思想旷野。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理论综述</w:t>
      </w:r>
      <w:bookmarkEnd w:id="1"/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From_Operational_Metrics_to_Foundational_Principles.pdf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关键论文</w:t>
      </w:r>
      <w:bookmarkEnd w:id="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学术论文评价维度的哲学溯源与原典链条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习以为常的论文评价"术"，其背后的"道"究竟是什么？主流学术共同体的评价标准并非凭空产生，而是20世纪科学哲学、统计学、科学社会学三大领域思想碰撞的结晶。下面我将为你拆解每个评价维度的底层原理，并提供完整的原典溯源链条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一、证据置信度：从可证伪性到贝叶斯似然更新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底层原理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证据置信度的核心是</w:t>
      </w:r>
      <w:r>
        <w:rPr>
          <w:rFonts w:eastAsia="等线" w:ascii="Arial" w:cs="Arial" w:hAnsi="Arial"/>
          <w:b w:val="true"/>
          <w:sz w:val="22"/>
        </w:rPr>
        <w:t>科学知识的可错性与渐进逼近真理</w:t>
      </w:r>
      <w:r>
        <w:rPr>
          <w:rFonts w:eastAsia="等线" w:ascii="Arial" w:cs="Arial" w:hAnsi="Arial"/>
          <w:sz w:val="22"/>
        </w:rPr>
        <w:t>。它回答了一个根本问题：我们凭什么相信一篇论文的结论是"科学的"而非"伪科学的"？其逻辑基础是：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科学理论永远无法被"证实"，只能被"证伪"（波普尔）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理论检验是整体性的，我们检验的是整个理论网络而非单个命题（迪昂-奎因论题）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证据对理论的支持程度可以用概率量化，通过贝叶斯定理动态更新信念（贝叶斯主义）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完整溯源链条</w:t>
      </w:r>
      <w:bookmarkEnd w:id="6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原初奠基：卡尔·波普尔《科学发现的逻辑》(1934)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首次提出</w:t>
      </w:r>
      <w:r>
        <w:rPr>
          <w:rFonts w:eastAsia="等线" w:ascii="Arial" w:cs="Arial" w:hAnsi="Arial"/>
          <w:b w:val="true"/>
          <w:sz w:val="22"/>
        </w:rPr>
        <w:t>可证伪性</w:t>
      </w:r>
      <w:r>
        <w:rPr>
          <w:rFonts w:eastAsia="等线" w:ascii="Arial" w:cs="Arial" w:hAnsi="Arial"/>
          <w:sz w:val="22"/>
        </w:rPr>
        <w:t>作为科学与非科学的划界标准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核心论断："一个理论的科学地位的标准是它的可证伪性或可反驳性或可检验性"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直接影响：所有学术论文必须提出可被经验检验的预测，不能是不可证伪的套套逻辑</w:t>
      </w:r>
    </w:p>
    <w:p>
      <w:pPr>
        <w:spacing w:before="120" w:after="120" w:line="288" w:lineRule="auto"/>
        <w:ind w:left="453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Popper, K. R. (1959). The logic of scientific discovery. Routledge..pdf</w:t>
        </w:r>
      </w:hyperlink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修正与发展：伊姆雷·拉卡托斯《证伪与科学研究纲领方法论》(1970)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提出</w:t>
      </w:r>
      <w:r>
        <w:rPr>
          <w:rFonts w:eastAsia="等线" w:ascii="Arial" w:cs="Arial" w:hAnsi="Arial"/>
          <w:b w:val="true"/>
          <w:sz w:val="22"/>
        </w:rPr>
        <w:t>精致证伪主义</w:t>
      </w:r>
      <w:r>
        <w:rPr>
          <w:rFonts w:eastAsia="等线" w:ascii="Arial" w:cs="Arial" w:hAnsi="Arial"/>
          <w:sz w:val="22"/>
        </w:rPr>
        <w:t>，修正了波普尔的朴素证伪主义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核心论断：科学评价的单位不是单个理论，而是</w:t>
      </w:r>
      <w:r>
        <w:rPr>
          <w:rFonts w:eastAsia="等线" w:ascii="Arial" w:cs="Arial" w:hAnsi="Arial"/>
          <w:b w:val="true"/>
          <w:sz w:val="22"/>
        </w:rPr>
        <w:t>研究纲领</w:t>
      </w:r>
      <w:r>
        <w:rPr>
          <w:rFonts w:eastAsia="等线" w:ascii="Arial" w:cs="Arial" w:hAnsi="Arial"/>
          <w:sz w:val="22"/>
        </w:rPr>
        <w:t>；一个研究纲领是"进步的"当且仅当它能预测新的事实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直接影响：审稿人不再因单个反例拒稿，而是评估研究纲领的整体生命力</w:t>
      </w:r>
    </w:p>
    <w:p>
      <w:pPr>
        <w:spacing w:before="120" w:after="120" w:line="288" w:lineRule="auto"/>
        <w:ind w:left="453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Lakatos, I. (1970). Falsification and the methodology of scientific research programmes. In I. Lakatos &amp; A. Musgrave (Eds.), Criticism and the growth of knowledge (pp. 91-196). Cambridge University Press..pdf</w:t>
        </w:r>
      </w:hyperlink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数理基础：托马斯·贝叶斯《An Essay Towards Solving a Problem in the Doctrine of Chances》(1763)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提出贝叶斯定理，为归纳推理提供了数学框架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现代发展：20世纪50年代后贝叶斯统计复兴，成为证据置信度量化的标准工具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直接影响：p值、置信区间、贝叶斯因子等统计指标成为论文评价的硬性标准</w:t>
      </w:r>
    </w:p>
    <w:p>
      <w:pPr>
        <w:spacing w:before="120" w:after="120" w:line="288" w:lineRule="auto"/>
        <w:ind w:left="453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Bayes, T., &amp; Price, R. (1763). An essay towards solving a problem in the doctrine of chances. Philosophical Transactions of the Royal Society of London, 53, 370-418..pdf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二、选题创新性：从范式转换到研究纲领进步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底层原理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创新性的本质是</w:t>
      </w:r>
      <w:r>
        <w:rPr>
          <w:rFonts w:eastAsia="等线" w:ascii="Arial" w:cs="Arial" w:hAnsi="Arial"/>
          <w:b w:val="true"/>
          <w:sz w:val="22"/>
        </w:rPr>
        <w:t>科学知识的增长机制</w:t>
      </w:r>
      <w:r>
        <w:rPr>
          <w:rFonts w:eastAsia="等线" w:ascii="Arial" w:cs="Arial" w:hAnsi="Arial"/>
          <w:sz w:val="22"/>
        </w:rPr>
        <w:t>。它回答了：什么样的研究值得学术共同体投入资源？其逻辑基础是：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科学发展不是线性积累，而是通过"常规科学-危机-科学革命"的范式转换实现（库恩）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创新是生产要素的"新组合"，包括新产品、新方法、新市场、新原料、新组织（熊彼特）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进步的研究纲领能够不断产生新的问题和新的预测（拉卡托斯）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完整溯源链条</w:t>
      </w:r>
      <w:bookmarkEnd w:id="9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经济学源头：约瑟夫·熊彼特《经济发展理论》(1912)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首次系统提出</w:t>
      </w:r>
      <w:r>
        <w:rPr>
          <w:rFonts w:eastAsia="等线" w:ascii="Arial" w:cs="Arial" w:hAnsi="Arial"/>
          <w:b w:val="true"/>
          <w:sz w:val="22"/>
        </w:rPr>
        <w:t>创新理论</w:t>
      </w:r>
      <w:r>
        <w:rPr>
          <w:rFonts w:eastAsia="等线" w:ascii="Arial" w:cs="Arial" w:hAnsi="Arial"/>
          <w:sz w:val="22"/>
        </w:rPr>
        <w:t>，定义创新为"生产要素的新组合"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核心论断：经济发展的根本动力不是资本积累，而是企业家的创新活动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间接影响：将"创新"从经济领域扩展到科学领域，成为学术评价的核心维度</w:t>
      </w:r>
    </w:p>
    <w:p>
      <w:pPr>
        <w:spacing w:before="120" w:after="120" w:line="288" w:lineRule="auto"/>
        <w:ind w:left="453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Schumpeter, J. A. (1934). The theory of economic development-An inquiry into profits, capital, credit,interest, and the business cycle. Harvard University Press.pdf</w:t>
        </w:r>
      </w:hyperlink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科学哲学革命：托马斯·库恩《科学革命的结构》(1962)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提出</w:t>
      </w:r>
      <w:r>
        <w:rPr>
          <w:rFonts w:eastAsia="等线" w:ascii="Arial" w:cs="Arial" w:hAnsi="Arial"/>
          <w:b w:val="true"/>
          <w:sz w:val="22"/>
        </w:rPr>
        <w:t>范式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科学革命</w:t>
      </w:r>
      <w:r>
        <w:rPr>
          <w:rFonts w:eastAsia="等线" w:ascii="Arial" w:cs="Arial" w:hAnsi="Arial"/>
          <w:sz w:val="22"/>
        </w:rPr>
        <w:t>概念，彻底改变了人们对科学发展的理解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核心论断：科学进步是新范式取代旧范式的过程，新范式能解决旧范式无法解决的难题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直接影响："范式转换"成为最高等级的创新，"填补空白"成为最低等级的创新</w:t>
      </w:r>
    </w:p>
    <w:p>
      <w:pPr>
        <w:spacing w:before="120" w:after="120" w:line="288" w:lineRule="auto"/>
        <w:ind w:left="453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Kuhn, T. S. (1970). The structure of scientific revolutions (2nd ed.). University of Chicago Press..pdf</w:t>
        </w:r>
      </w:hyperlink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方法论整合：伊姆雷·拉卡托斯《证伪与科学研究纲领方法论》(1970)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提出</w:t>
      </w:r>
      <w:r>
        <w:rPr>
          <w:rFonts w:eastAsia="等线" w:ascii="Arial" w:cs="Arial" w:hAnsi="Arial"/>
          <w:b w:val="true"/>
          <w:sz w:val="22"/>
        </w:rPr>
        <w:t>进步的研究纲领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退化的研究纲领</w:t>
      </w:r>
      <w:r>
        <w:rPr>
          <w:rFonts w:eastAsia="等线" w:ascii="Arial" w:cs="Arial" w:hAnsi="Arial"/>
          <w:sz w:val="22"/>
        </w:rPr>
        <w:t>的区分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核心论断：一个研究纲领是进步的，如果它"导致发现迄今未知的新事实"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直接影响：审稿人评价创新性时，不仅看"新"，更看"能否带来新的发现"</w:t>
      </w:r>
    </w:p>
    <w:p>
      <w:pPr>
        <w:spacing w:before="120" w:after="120" w:line="288" w:lineRule="auto"/>
        <w:ind w:left="453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Lakatos, I. (1970). Falsification and the methodology of scientific research programmes. In I. Lakatos &amp; A. Musgrave (Eds.), Criticism and the growth of knowledge (pp. 91-196). Cambridge University Press..pdf</w:t>
        </w:r>
      </w:hyperlink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理论知识与工程知识再融合：莫基尔《雅典娜的礼物：知识经济的历史起源》(2002)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提出命题知识（Q - 知识，“知道是什么”）与指令知识（A - 知识，“知道怎么做”）双循环理论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核心为 “持续创新依赖两类知识的双向互动与自由流通”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补充创新评价的 “可持续性” 与 “知识可及性” 维度</w:t>
      </w:r>
    </w:p>
    <w:p>
      <w:pPr>
        <w:spacing w:before="120" w:after="120" w:line="288" w:lineRule="auto"/>
        <w:ind w:left="453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Mokyr, J. (2002). The Gifts of Athena_Historical Origins of the Knowledge Economy. Princeton University Press..pdf</w:t>
        </w:r>
      </w:hyperlink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破坏性创新：菲利普·阿吉翁《破坏性创新的经济增长模型》（1992）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提出创造性破坏模型，核心为 “持续创新通过淘汰旧技术、催生新技术驱动增长”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进一步明确创新的动态性与长期价值，完善学术创新评价的底层逻辑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揭示了互联网和AI革命背后人类发现知识的方法论迭代和本质逻辑</w:t>
      </w:r>
    </w:p>
    <w:p>
      <w:pPr>
        <w:spacing w:before="120" w:after="120" w:line="288" w:lineRule="auto"/>
        <w:ind w:left="453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Aghion, P., &amp; Howitt, P. (1992). A model of growth through creative destruction.Econometrica, 60(2), 323-351..pdf</w:t>
        </w:r>
      </w:hyperlink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三、方法有效性：从实验设计到因果推断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底层原理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方法有效性的核心是</w:t>
      </w:r>
      <w:r>
        <w:rPr>
          <w:rFonts w:eastAsia="等线" w:ascii="Arial" w:cs="Arial" w:hAnsi="Arial"/>
          <w:b w:val="true"/>
          <w:sz w:val="22"/>
        </w:rPr>
        <w:t>因果关系的可识别性</w:t>
      </w:r>
      <w:r>
        <w:rPr>
          <w:rFonts w:eastAsia="等线" w:ascii="Arial" w:cs="Arial" w:hAnsi="Arial"/>
          <w:sz w:val="22"/>
        </w:rPr>
        <w:t>。它回答了：我们如何确保研究方法能够可靠地回答研究问题？其逻辑基础是：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科学研究的目标是发现因果关系，而非仅仅相关关系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因果推断需要控制混淆变量，确保"其他条件相同"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研究结论的有效性分为内部有效性（因果关系真实）和外部有效性（可推广性）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完整溯源链条</w:t>
      </w:r>
      <w:bookmarkEnd w:id="12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统计推断奠基：罗纳德·费舍尔《Statistical Methods for Research Workers》(1925)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提出</w:t>
      </w:r>
      <w:r>
        <w:rPr>
          <w:rFonts w:eastAsia="等线" w:ascii="Arial" w:cs="Arial" w:hAnsi="Arial"/>
          <w:b w:val="true"/>
          <w:sz w:val="22"/>
        </w:rPr>
        <w:t>随机对照实验</w:t>
      </w:r>
      <w:r>
        <w:rPr>
          <w:rFonts w:eastAsia="等线" w:ascii="Arial" w:cs="Arial" w:hAnsi="Arial"/>
          <w:sz w:val="22"/>
        </w:rPr>
        <w:t>(RCT)作为因果推断的黄金标准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发明p值、方差分析等统计方法，建立了现代统计学的基本框架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直接影响：随机化、对照组、重复测量成为实验研究的基本要求</w:t>
      </w:r>
    </w:p>
    <w:p>
      <w:pPr>
        <w:spacing w:before="120" w:after="120" w:line="288" w:lineRule="auto"/>
        <w:ind w:left="453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Fisher, R. A. (1925). Statistical methods for research workers. Oliver and Boyd.pdf</w:t>
        </w:r>
      </w:hyperlink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有效性理论创立：唐纳德·坎贝尔&amp;朱利安·斯坦利《Experimental and Quasi-Experimental Designs for Research》(1963)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首次系统区分</w:t>
      </w:r>
      <w:r>
        <w:rPr>
          <w:rFonts w:eastAsia="等线" w:ascii="Arial" w:cs="Arial" w:hAnsi="Arial"/>
          <w:b w:val="true"/>
          <w:sz w:val="22"/>
        </w:rPr>
        <w:t>内部有效性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外部有效性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列出了8种威胁内部有效性的因素（历史、成熟、测试、仪器、统计回归、选择、实验死亡率、选择-成熟交互作用）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直接影响：所有社会科学和医学论文必须讨论研究设计的有效性威胁</w:t>
      </w:r>
    </w:p>
    <w:p>
      <w:pPr>
        <w:spacing w:before="120" w:after="120" w:line="288" w:lineRule="auto"/>
        <w:ind w:left="453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Campbell, D. T., &amp; Stanley, J. C. (1963). Experimental and quasi-experimental designs for research.Rand McNally.pdf</w:t>
        </w:r>
      </w:hyperlink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现代因果推断：朱迪亚·珀尔《Causality: Models, Reasoning, and Inference》(2000)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提出</w:t>
      </w:r>
      <w:r>
        <w:rPr>
          <w:rFonts w:eastAsia="等线" w:ascii="Arial" w:cs="Arial" w:hAnsi="Arial"/>
          <w:b w:val="true"/>
          <w:sz w:val="22"/>
        </w:rPr>
        <w:t>因果图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do演算</w:t>
      </w:r>
      <w:r>
        <w:rPr>
          <w:rFonts w:eastAsia="等线" w:ascii="Arial" w:cs="Arial" w:hAnsi="Arial"/>
          <w:sz w:val="22"/>
        </w:rPr>
        <w:t>，为因果推断提供了统一的数学框架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核心论断："没有因果模型，就没有因果推断"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直接影响：因果推断方法成为近年来各学科论文方法创新的热点</w:t>
      </w:r>
    </w:p>
    <w:p>
      <w:pPr>
        <w:spacing w:before="120" w:after="120" w:line="288" w:lineRule="auto"/>
        <w:ind w:left="453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Pearl, J. (2009). Causality_Models, reasoning, and inference (2nd ed.). Cambridge University Press..pdf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四、产业应用前景：从线性模型到技术成熟度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底层原理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产业应用前景的核心是</w:t>
      </w:r>
      <w:r>
        <w:rPr>
          <w:rFonts w:eastAsia="等线" w:ascii="Arial" w:cs="Arial" w:hAnsi="Arial"/>
          <w:b w:val="true"/>
          <w:sz w:val="22"/>
        </w:rPr>
        <w:t>科学知识的社会价值</w:t>
      </w:r>
      <w:r>
        <w:rPr>
          <w:rFonts w:eastAsia="等线" w:ascii="Arial" w:cs="Arial" w:hAnsi="Arial"/>
          <w:sz w:val="22"/>
        </w:rPr>
        <w:t>。它回答了：基础研究如何转化为现实生产力？其逻辑基础是：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基础研究是技术创新的源头，技术创新是经济增长的引擎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科学知识的转化遵循"基础研究→应用研究→开发→商业化"的线性过程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技术成熟度可以分阶段评估，不同阶段有不同的评价标准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完整溯源链条</w:t>
      </w:r>
      <w:bookmarkEnd w:id="15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科学政策奠基：万尼瓦尔·布什《科学：无尽的前沿》(1945)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提出</w:t>
      </w:r>
      <w:r>
        <w:rPr>
          <w:rFonts w:eastAsia="等线" w:ascii="Arial" w:cs="Arial" w:hAnsi="Arial"/>
          <w:b w:val="true"/>
          <w:sz w:val="22"/>
        </w:rPr>
        <w:t>基础研究→应用研究→产业转化</w:t>
      </w:r>
      <w:r>
        <w:rPr>
          <w:rFonts w:eastAsia="等线" w:ascii="Arial" w:cs="Arial" w:hAnsi="Arial"/>
          <w:sz w:val="22"/>
        </w:rPr>
        <w:t>的线性模型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核心论断："基础研究是技术进步的起搏器"，"新产品和新工艺不是凭空产生的，它们建立在新原理和新概念的基础上"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直接影响：各国政府建立科学基金制度，将"应用前景"作为科研项目和论文评价的重要维度</w:t>
      </w:r>
    </w:p>
    <w:p>
      <w:pPr>
        <w:spacing w:before="120" w:after="120" w:line="288" w:lineRule="auto"/>
        <w:ind w:left="453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Bush, V. (1945). Science- The endless frontier. U.S. Government Printing Office..pdf</w:t>
        </w:r>
      </w:hyperlink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技术成熟度评估：NASA技术就绪水平(TRL) (1970s)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将技术成熟度分为9个等级，从TRL 1（基本原理观察）到TRL 9（实际系统运行）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核心论断：不同技术成熟度阶段需要不同的评价标准和资源投入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直接影响：工程技术类论文必须明确说明研究处于哪个技术成熟度阶段</w:t>
      </w:r>
    </w:p>
    <w:p>
      <w:pPr>
        <w:spacing w:before="120" w:after="120" w:line="288" w:lineRule="auto"/>
        <w:ind w:left="453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NASA. (1995). Technology readiness level (TRL) scale. NASA:SP-2005-6105..pdf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五、学术共同体规范：默顿的CUDOS原则</w:t>
      </w:r>
      <w:bookmarkEnd w:id="16"/>
    </w:p>
    <w:p>
      <w:p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Merton, R. K. (1973). The normative structure of science. In R. K. Merton (Ed.), The sociology of science- Theoretical and empirical investigations (pp. 267-278). University of Chicago Press..pdf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底层原理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所有评价维度的实施都依赖于</w:t>
      </w:r>
      <w:r>
        <w:rPr>
          <w:rFonts w:eastAsia="等线" w:ascii="Arial" w:cs="Arial" w:hAnsi="Arial"/>
          <w:b w:val="true"/>
          <w:sz w:val="22"/>
        </w:rPr>
        <w:t>科学的社会建制</w:t>
      </w:r>
      <w:r>
        <w:rPr>
          <w:rFonts w:eastAsia="等线" w:ascii="Arial" w:cs="Arial" w:hAnsi="Arial"/>
          <w:sz w:val="22"/>
        </w:rPr>
        <w:t>。罗伯特·默顿在《Science and Technology in a Democratic Order》(1942)中提出了科学的四大规范（CUDOS）：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普遍主义</w:t>
      </w:r>
      <w:r>
        <w:rPr>
          <w:rFonts w:eastAsia="等线" w:ascii="Arial" w:cs="Arial" w:hAnsi="Arial"/>
          <w:sz w:val="22"/>
        </w:rPr>
        <w:t>(Universalism)：科学真理的评价标准是客观的，与研究者的个人属性无关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公有性</w:t>
      </w:r>
      <w:r>
        <w:rPr>
          <w:rFonts w:eastAsia="等线" w:ascii="Arial" w:cs="Arial" w:hAnsi="Arial"/>
          <w:sz w:val="22"/>
        </w:rPr>
        <w:t>(Communism)：科学成果是全人类的共同财富，应该公开分享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无私利性</w:t>
      </w:r>
      <w:r>
        <w:rPr>
          <w:rFonts w:eastAsia="等线" w:ascii="Arial" w:cs="Arial" w:hAnsi="Arial"/>
          <w:sz w:val="22"/>
        </w:rPr>
        <w:t>(Disinterestedness)：科学研究的目的是追求真理，而非个人利益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有组织的怀疑主义</w:t>
      </w:r>
      <w:r>
        <w:rPr>
          <w:rFonts w:eastAsia="等线" w:ascii="Arial" w:cs="Arial" w:hAnsi="Arial"/>
          <w:sz w:val="22"/>
        </w:rPr>
        <w:t>(Organized Skepticism)：科学主张必须接受同行的批判性审查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这些规范是同行评议制度的伦理基础，确保了论文评价的公正性和客观性。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总结：从"术"到"道"的完整图景</w:t>
      </w:r>
      <w:bookmarkEnd w:id="1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评价维度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底层哲学原理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最原初原典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核心贡献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证据置信度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可证伪性+贝叶斯似然更新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波普尔《科学发现的逻辑》(1934)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确立科学与非科学的划界标准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选题创新性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范式转换+研究纲领进步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库恩《科学革命的结构》(1962)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定义科学进步的本质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方法有效性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因果推断+有效性理论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坎贝尔&amp;斯坦利《实验与准实验研究设计》(1963)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建立研究方法的评价体系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产业应用前景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线性转化模型+技术成熟度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万尼瓦尔·布什《科学：无尽的前沿》(1945)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确立科学的社会价值标准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评价制度基础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科学的社会规范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默顿《民主秩序中的科学与技术》(1942)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建立同行评议的伦理基础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值得注意的是，这些理论并非一成不变。近年来，随着可重复性危机、开放科学运动和人工智能的兴起，传统的论文评价体系正在面临新的挑战和变革。但上述原典所奠定的基本原理，仍然是学术共同体评价科学成果的底层逻辑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Agent架构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我们采用1个路由模型和4个专家模型的MoE架构设计我们的Agent，分别对应上面提到的5个核心评价维度。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其中mian agent（作为router）负责学术公共体规范。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另外四个subagent分别负责选题创新性评价、方法有效性评价、证据置信度评价和产业应用前景评价。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20240">
    <w:lvl>
      <w:numFmt w:val="bullet"/>
      <w:suff w:val="tab"/>
      <w:lvlText w:val="•"/>
      <w:rPr>
        <w:color w:val="3370ff"/>
      </w:rPr>
    </w:lvl>
  </w:abstractNum>
  <w:abstractNum w:abstractNumId="620241">
    <w:lvl>
      <w:numFmt w:val="bullet"/>
      <w:suff w:val="tab"/>
      <w:lvlText w:val="•"/>
      <w:rPr>
        <w:color w:val="3370ff"/>
      </w:rPr>
    </w:lvl>
  </w:abstractNum>
  <w:abstractNum w:abstractNumId="620242">
    <w:lvl>
      <w:numFmt w:val="bullet"/>
      <w:suff w:val="tab"/>
      <w:lvlText w:val="•"/>
      <w:rPr>
        <w:color w:val="3370ff"/>
      </w:rPr>
    </w:lvl>
  </w:abstractNum>
  <w:abstractNum w:abstractNumId="620243">
    <w:lvl>
      <w:start w:val="1"/>
      <w:numFmt w:val="decimal"/>
      <w:suff w:val="tab"/>
      <w:lvlText w:val="%1."/>
      <w:rPr>
        <w:color w:val="3370ff"/>
      </w:rPr>
    </w:lvl>
  </w:abstractNum>
  <w:abstractNum w:abstractNumId="620244">
    <w:lvl>
      <w:numFmt w:val="bullet"/>
      <w:suff w:val="tab"/>
      <w:lvlText w:val="￮"/>
      <w:rPr>
        <w:color w:val="3370ff"/>
      </w:rPr>
    </w:lvl>
  </w:abstractNum>
  <w:abstractNum w:abstractNumId="620245">
    <w:lvl>
      <w:numFmt w:val="bullet"/>
      <w:suff w:val="tab"/>
      <w:lvlText w:val="￮"/>
      <w:rPr>
        <w:color w:val="3370ff"/>
      </w:rPr>
    </w:lvl>
  </w:abstractNum>
  <w:abstractNum w:abstractNumId="620246">
    <w:lvl>
      <w:numFmt w:val="bullet"/>
      <w:suff w:val="tab"/>
      <w:lvlText w:val="￮"/>
      <w:rPr>
        <w:color w:val="3370ff"/>
      </w:rPr>
    </w:lvl>
  </w:abstractNum>
  <w:abstractNum w:abstractNumId="620247">
    <w:lvl>
      <w:start w:val="2"/>
      <w:numFmt w:val="decimal"/>
      <w:suff w:val="tab"/>
      <w:lvlText w:val="%1."/>
      <w:rPr>
        <w:color w:val="3370ff"/>
      </w:rPr>
    </w:lvl>
  </w:abstractNum>
  <w:abstractNum w:abstractNumId="620248">
    <w:lvl>
      <w:numFmt w:val="bullet"/>
      <w:suff w:val="tab"/>
      <w:lvlText w:val="￮"/>
      <w:rPr>
        <w:color w:val="3370ff"/>
      </w:rPr>
    </w:lvl>
  </w:abstractNum>
  <w:abstractNum w:abstractNumId="620249">
    <w:lvl>
      <w:numFmt w:val="bullet"/>
      <w:suff w:val="tab"/>
      <w:lvlText w:val="￮"/>
      <w:rPr>
        <w:color w:val="3370ff"/>
      </w:rPr>
    </w:lvl>
  </w:abstractNum>
  <w:abstractNum w:abstractNumId="620250">
    <w:lvl>
      <w:numFmt w:val="bullet"/>
      <w:suff w:val="tab"/>
      <w:lvlText w:val="￮"/>
      <w:rPr>
        <w:color w:val="3370ff"/>
      </w:rPr>
    </w:lvl>
  </w:abstractNum>
  <w:abstractNum w:abstractNumId="620251">
    <w:lvl>
      <w:start w:val="3"/>
      <w:numFmt w:val="decimal"/>
      <w:suff w:val="tab"/>
      <w:lvlText w:val="%1."/>
      <w:rPr>
        <w:color w:val="3370ff"/>
      </w:rPr>
    </w:lvl>
  </w:abstractNum>
  <w:abstractNum w:abstractNumId="620252">
    <w:lvl>
      <w:numFmt w:val="bullet"/>
      <w:suff w:val="tab"/>
      <w:lvlText w:val="￮"/>
      <w:rPr>
        <w:color w:val="3370ff"/>
      </w:rPr>
    </w:lvl>
  </w:abstractNum>
  <w:abstractNum w:abstractNumId="620253">
    <w:lvl>
      <w:numFmt w:val="bullet"/>
      <w:suff w:val="tab"/>
      <w:lvlText w:val="￮"/>
      <w:rPr>
        <w:color w:val="3370ff"/>
      </w:rPr>
    </w:lvl>
  </w:abstractNum>
  <w:abstractNum w:abstractNumId="620254">
    <w:lvl>
      <w:numFmt w:val="bullet"/>
      <w:suff w:val="tab"/>
      <w:lvlText w:val="￮"/>
      <w:rPr>
        <w:color w:val="3370ff"/>
      </w:rPr>
    </w:lvl>
  </w:abstractNum>
  <w:abstractNum w:abstractNumId="620255">
    <w:lvl>
      <w:numFmt w:val="bullet"/>
      <w:suff w:val="tab"/>
      <w:lvlText w:val="•"/>
      <w:rPr>
        <w:color w:val="3370ff"/>
      </w:rPr>
    </w:lvl>
  </w:abstractNum>
  <w:abstractNum w:abstractNumId="620256">
    <w:lvl>
      <w:numFmt w:val="bullet"/>
      <w:suff w:val="tab"/>
      <w:lvlText w:val="•"/>
      <w:rPr>
        <w:color w:val="3370ff"/>
      </w:rPr>
    </w:lvl>
  </w:abstractNum>
  <w:abstractNum w:abstractNumId="620257">
    <w:lvl>
      <w:numFmt w:val="bullet"/>
      <w:suff w:val="tab"/>
      <w:lvlText w:val="•"/>
      <w:rPr>
        <w:color w:val="3370ff"/>
      </w:rPr>
    </w:lvl>
  </w:abstractNum>
  <w:abstractNum w:abstractNumId="620258">
    <w:lvl>
      <w:start w:val="1"/>
      <w:numFmt w:val="decimal"/>
      <w:suff w:val="tab"/>
      <w:lvlText w:val="%1."/>
      <w:rPr>
        <w:color w:val="3370ff"/>
      </w:rPr>
    </w:lvl>
  </w:abstractNum>
  <w:abstractNum w:abstractNumId="620259">
    <w:lvl>
      <w:numFmt w:val="bullet"/>
      <w:suff w:val="tab"/>
      <w:lvlText w:val="￮"/>
      <w:rPr>
        <w:color w:val="3370ff"/>
      </w:rPr>
    </w:lvl>
  </w:abstractNum>
  <w:abstractNum w:abstractNumId="620260">
    <w:lvl>
      <w:numFmt w:val="bullet"/>
      <w:suff w:val="tab"/>
      <w:lvlText w:val="￮"/>
      <w:rPr>
        <w:color w:val="3370ff"/>
      </w:rPr>
    </w:lvl>
  </w:abstractNum>
  <w:abstractNum w:abstractNumId="620261">
    <w:lvl>
      <w:numFmt w:val="bullet"/>
      <w:suff w:val="tab"/>
      <w:lvlText w:val="￮"/>
      <w:rPr>
        <w:color w:val="3370ff"/>
      </w:rPr>
    </w:lvl>
  </w:abstractNum>
  <w:abstractNum w:abstractNumId="620262">
    <w:lvl>
      <w:start w:val="2"/>
      <w:numFmt w:val="decimal"/>
      <w:suff w:val="tab"/>
      <w:lvlText w:val="%1."/>
      <w:rPr>
        <w:color w:val="3370ff"/>
      </w:rPr>
    </w:lvl>
  </w:abstractNum>
  <w:abstractNum w:abstractNumId="620263">
    <w:lvl>
      <w:numFmt w:val="bullet"/>
      <w:suff w:val="tab"/>
      <w:lvlText w:val="￮"/>
      <w:rPr>
        <w:color w:val="3370ff"/>
      </w:rPr>
    </w:lvl>
  </w:abstractNum>
  <w:abstractNum w:abstractNumId="620264">
    <w:lvl>
      <w:numFmt w:val="bullet"/>
      <w:suff w:val="tab"/>
      <w:lvlText w:val="￮"/>
      <w:rPr>
        <w:color w:val="3370ff"/>
      </w:rPr>
    </w:lvl>
  </w:abstractNum>
  <w:abstractNum w:abstractNumId="620265">
    <w:lvl>
      <w:numFmt w:val="bullet"/>
      <w:suff w:val="tab"/>
      <w:lvlText w:val="￮"/>
      <w:rPr>
        <w:color w:val="3370ff"/>
      </w:rPr>
    </w:lvl>
  </w:abstractNum>
  <w:abstractNum w:abstractNumId="620266">
    <w:lvl>
      <w:start w:val="3"/>
      <w:numFmt w:val="decimal"/>
      <w:suff w:val="tab"/>
      <w:lvlText w:val="%1."/>
      <w:rPr>
        <w:color w:val="3370ff"/>
      </w:rPr>
    </w:lvl>
  </w:abstractNum>
  <w:abstractNum w:abstractNumId="620267">
    <w:lvl>
      <w:numFmt w:val="bullet"/>
      <w:suff w:val="tab"/>
      <w:lvlText w:val="￮"/>
      <w:rPr>
        <w:color w:val="3370ff"/>
      </w:rPr>
    </w:lvl>
  </w:abstractNum>
  <w:abstractNum w:abstractNumId="620268">
    <w:lvl>
      <w:numFmt w:val="bullet"/>
      <w:suff w:val="tab"/>
      <w:lvlText w:val="￮"/>
      <w:rPr>
        <w:color w:val="3370ff"/>
      </w:rPr>
    </w:lvl>
  </w:abstractNum>
  <w:abstractNum w:abstractNumId="620269">
    <w:lvl>
      <w:numFmt w:val="bullet"/>
      <w:suff w:val="tab"/>
      <w:lvlText w:val="￮"/>
      <w:rPr>
        <w:color w:val="3370ff"/>
      </w:rPr>
    </w:lvl>
  </w:abstractNum>
  <w:abstractNum w:abstractNumId="620270">
    <w:lvl>
      <w:start w:val="4"/>
      <w:numFmt w:val="decimal"/>
      <w:suff w:val="tab"/>
      <w:lvlText w:val="%1."/>
      <w:rPr>
        <w:color w:val="3370ff"/>
      </w:rPr>
    </w:lvl>
  </w:abstractNum>
  <w:abstractNum w:abstractNumId="620271">
    <w:lvl>
      <w:numFmt w:val="bullet"/>
      <w:suff w:val="tab"/>
      <w:lvlText w:val="￮"/>
      <w:rPr>
        <w:color w:val="3370ff"/>
      </w:rPr>
    </w:lvl>
  </w:abstractNum>
  <w:abstractNum w:abstractNumId="620272">
    <w:lvl>
      <w:numFmt w:val="bullet"/>
      <w:suff w:val="tab"/>
      <w:lvlText w:val="￮"/>
      <w:rPr>
        <w:color w:val="3370ff"/>
      </w:rPr>
    </w:lvl>
  </w:abstractNum>
  <w:abstractNum w:abstractNumId="620273">
    <w:lvl>
      <w:numFmt w:val="bullet"/>
      <w:suff w:val="tab"/>
      <w:lvlText w:val="￮"/>
      <w:rPr>
        <w:color w:val="3370ff"/>
      </w:rPr>
    </w:lvl>
  </w:abstractNum>
  <w:abstractNum w:abstractNumId="620274">
    <w:lvl>
      <w:start w:val="5"/>
      <w:numFmt w:val="decimal"/>
      <w:suff w:val="tab"/>
      <w:lvlText w:val="%1."/>
      <w:rPr>
        <w:color w:val="3370ff"/>
      </w:rPr>
    </w:lvl>
  </w:abstractNum>
  <w:abstractNum w:abstractNumId="620275">
    <w:lvl>
      <w:numFmt w:val="bullet"/>
      <w:suff w:val="tab"/>
      <w:lvlText w:val="￮"/>
      <w:rPr>
        <w:color w:val="3370ff"/>
      </w:rPr>
    </w:lvl>
  </w:abstractNum>
  <w:abstractNum w:abstractNumId="620276">
    <w:lvl>
      <w:numFmt w:val="bullet"/>
      <w:suff w:val="tab"/>
      <w:lvlText w:val="￮"/>
      <w:rPr>
        <w:color w:val="3370ff"/>
      </w:rPr>
    </w:lvl>
  </w:abstractNum>
  <w:abstractNum w:abstractNumId="620277">
    <w:lvl>
      <w:numFmt w:val="bullet"/>
      <w:suff w:val="tab"/>
      <w:lvlText w:val="￮"/>
      <w:rPr>
        <w:color w:val="3370ff"/>
      </w:rPr>
    </w:lvl>
  </w:abstractNum>
  <w:abstractNum w:abstractNumId="620278">
    <w:lvl>
      <w:numFmt w:val="bullet"/>
      <w:suff w:val="tab"/>
      <w:lvlText w:val="•"/>
      <w:rPr>
        <w:color w:val="3370ff"/>
      </w:rPr>
    </w:lvl>
  </w:abstractNum>
  <w:abstractNum w:abstractNumId="620279">
    <w:lvl>
      <w:numFmt w:val="bullet"/>
      <w:suff w:val="tab"/>
      <w:lvlText w:val="•"/>
      <w:rPr>
        <w:color w:val="3370ff"/>
      </w:rPr>
    </w:lvl>
  </w:abstractNum>
  <w:abstractNum w:abstractNumId="620280">
    <w:lvl>
      <w:numFmt w:val="bullet"/>
      <w:suff w:val="tab"/>
      <w:lvlText w:val="•"/>
      <w:rPr>
        <w:color w:val="3370ff"/>
      </w:rPr>
    </w:lvl>
  </w:abstractNum>
  <w:abstractNum w:abstractNumId="620281">
    <w:lvl>
      <w:start w:val="1"/>
      <w:numFmt w:val="decimal"/>
      <w:suff w:val="tab"/>
      <w:lvlText w:val="%1."/>
      <w:rPr>
        <w:color w:val="3370ff"/>
      </w:rPr>
    </w:lvl>
  </w:abstractNum>
  <w:abstractNum w:abstractNumId="620282">
    <w:lvl>
      <w:numFmt w:val="bullet"/>
      <w:suff w:val="tab"/>
      <w:lvlText w:val="￮"/>
      <w:rPr>
        <w:color w:val="3370ff"/>
      </w:rPr>
    </w:lvl>
  </w:abstractNum>
  <w:abstractNum w:abstractNumId="620283">
    <w:lvl>
      <w:numFmt w:val="bullet"/>
      <w:suff w:val="tab"/>
      <w:lvlText w:val="￮"/>
      <w:rPr>
        <w:color w:val="3370ff"/>
      </w:rPr>
    </w:lvl>
  </w:abstractNum>
  <w:abstractNum w:abstractNumId="620284">
    <w:lvl>
      <w:numFmt w:val="bullet"/>
      <w:suff w:val="tab"/>
      <w:lvlText w:val="￮"/>
      <w:rPr>
        <w:color w:val="3370ff"/>
      </w:rPr>
    </w:lvl>
  </w:abstractNum>
  <w:abstractNum w:abstractNumId="620285">
    <w:lvl>
      <w:start w:val="2"/>
      <w:numFmt w:val="decimal"/>
      <w:suff w:val="tab"/>
      <w:lvlText w:val="%1."/>
      <w:rPr>
        <w:color w:val="3370ff"/>
      </w:rPr>
    </w:lvl>
  </w:abstractNum>
  <w:abstractNum w:abstractNumId="620286">
    <w:lvl>
      <w:numFmt w:val="bullet"/>
      <w:suff w:val="tab"/>
      <w:lvlText w:val="￮"/>
      <w:rPr>
        <w:color w:val="3370ff"/>
      </w:rPr>
    </w:lvl>
  </w:abstractNum>
  <w:abstractNum w:abstractNumId="620287">
    <w:lvl>
      <w:numFmt w:val="bullet"/>
      <w:suff w:val="tab"/>
      <w:lvlText w:val="￮"/>
      <w:rPr>
        <w:color w:val="3370ff"/>
      </w:rPr>
    </w:lvl>
  </w:abstractNum>
  <w:abstractNum w:abstractNumId="620288">
    <w:lvl>
      <w:numFmt w:val="bullet"/>
      <w:suff w:val="tab"/>
      <w:lvlText w:val="￮"/>
      <w:rPr>
        <w:color w:val="3370ff"/>
      </w:rPr>
    </w:lvl>
  </w:abstractNum>
  <w:abstractNum w:abstractNumId="620289">
    <w:lvl>
      <w:start w:val="3"/>
      <w:numFmt w:val="decimal"/>
      <w:suff w:val="tab"/>
      <w:lvlText w:val="%1."/>
      <w:rPr>
        <w:color w:val="3370ff"/>
      </w:rPr>
    </w:lvl>
  </w:abstractNum>
  <w:abstractNum w:abstractNumId="620290">
    <w:lvl>
      <w:numFmt w:val="bullet"/>
      <w:suff w:val="tab"/>
      <w:lvlText w:val="￮"/>
      <w:rPr>
        <w:color w:val="3370ff"/>
      </w:rPr>
    </w:lvl>
  </w:abstractNum>
  <w:abstractNum w:abstractNumId="620291">
    <w:lvl>
      <w:numFmt w:val="bullet"/>
      <w:suff w:val="tab"/>
      <w:lvlText w:val="￮"/>
      <w:rPr>
        <w:color w:val="3370ff"/>
      </w:rPr>
    </w:lvl>
  </w:abstractNum>
  <w:abstractNum w:abstractNumId="620292">
    <w:lvl>
      <w:numFmt w:val="bullet"/>
      <w:suff w:val="tab"/>
      <w:lvlText w:val="￮"/>
      <w:rPr>
        <w:color w:val="3370ff"/>
      </w:rPr>
    </w:lvl>
  </w:abstractNum>
  <w:abstractNum w:abstractNumId="620293">
    <w:lvl>
      <w:numFmt w:val="bullet"/>
      <w:suff w:val="tab"/>
      <w:lvlText w:val="•"/>
      <w:rPr>
        <w:color w:val="3370ff"/>
      </w:rPr>
    </w:lvl>
  </w:abstractNum>
  <w:abstractNum w:abstractNumId="620294">
    <w:lvl>
      <w:numFmt w:val="bullet"/>
      <w:suff w:val="tab"/>
      <w:lvlText w:val="•"/>
      <w:rPr>
        <w:color w:val="3370ff"/>
      </w:rPr>
    </w:lvl>
  </w:abstractNum>
  <w:abstractNum w:abstractNumId="620295">
    <w:lvl>
      <w:numFmt w:val="bullet"/>
      <w:suff w:val="tab"/>
      <w:lvlText w:val="•"/>
      <w:rPr>
        <w:color w:val="3370ff"/>
      </w:rPr>
    </w:lvl>
  </w:abstractNum>
  <w:abstractNum w:abstractNumId="620296">
    <w:lvl>
      <w:start w:val="1"/>
      <w:numFmt w:val="decimal"/>
      <w:suff w:val="tab"/>
      <w:lvlText w:val="%1."/>
      <w:rPr>
        <w:color w:val="3370ff"/>
      </w:rPr>
    </w:lvl>
  </w:abstractNum>
  <w:abstractNum w:abstractNumId="620297">
    <w:lvl>
      <w:numFmt w:val="bullet"/>
      <w:suff w:val="tab"/>
      <w:lvlText w:val="￮"/>
      <w:rPr>
        <w:color w:val="3370ff"/>
      </w:rPr>
    </w:lvl>
  </w:abstractNum>
  <w:abstractNum w:abstractNumId="620298">
    <w:lvl>
      <w:numFmt w:val="bullet"/>
      <w:suff w:val="tab"/>
      <w:lvlText w:val="￮"/>
      <w:rPr>
        <w:color w:val="3370ff"/>
      </w:rPr>
    </w:lvl>
  </w:abstractNum>
  <w:abstractNum w:abstractNumId="620299">
    <w:lvl>
      <w:numFmt w:val="bullet"/>
      <w:suff w:val="tab"/>
      <w:lvlText w:val="￮"/>
      <w:rPr>
        <w:color w:val="3370ff"/>
      </w:rPr>
    </w:lvl>
  </w:abstractNum>
  <w:abstractNum w:abstractNumId="620300">
    <w:lvl>
      <w:start w:val="2"/>
      <w:numFmt w:val="decimal"/>
      <w:suff w:val="tab"/>
      <w:lvlText w:val="%1."/>
      <w:rPr>
        <w:color w:val="3370ff"/>
      </w:rPr>
    </w:lvl>
  </w:abstractNum>
  <w:abstractNum w:abstractNumId="620301">
    <w:lvl>
      <w:numFmt w:val="bullet"/>
      <w:suff w:val="tab"/>
      <w:lvlText w:val="￮"/>
      <w:rPr>
        <w:color w:val="3370ff"/>
      </w:rPr>
    </w:lvl>
  </w:abstractNum>
  <w:abstractNum w:abstractNumId="620302">
    <w:lvl>
      <w:numFmt w:val="bullet"/>
      <w:suff w:val="tab"/>
      <w:lvlText w:val="￮"/>
      <w:rPr>
        <w:color w:val="3370ff"/>
      </w:rPr>
    </w:lvl>
  </w:abstractNum>
  <w:abstractNum w:abstractNumId="620303">
    <w:lvl>
      <w:numFmt w:val="bullet"/>
      <w:suff w:val="tab"/>
      <w:lvlText w:val="￮"/>
      <w:rPr>
        <w:color w:val="3370ff"/>
      </w:rPr>
    </w:lvl>
  </w:abstractNum>
  <w:abstractNum w:abstractNumId="620304">
    <w:lvl>
      <w:numFmt w:val="bullet"/>
      <w:suff w:val="tab"/>
      <w:lvlText w:val="•"/>
      <w:rPr>
        <w:color w:val="3370ff"/>
      </w:rPr>
    </w:lvl>
  </w:abstractNum>
  <w:abstractNum w:abstractNumId="620305">
    <w:lvl>
      <w:numFmt w:val="bullet"/>
      <w:suff w:val="tab"/>
      <w:lvlText w:val="•"/>
      <w:rPr>
        <w:color w:val="3370ff"/>
      </w:rPr>
    </w:lvl>
  </w:abstractNum>
  <w:abstractNum w:abstractNumId="620306">
    <w:lvl>
      <w:numFmt w:val="bullet"/>
      <w:suff w:val="tab"/>
      <w:lvlText w:val="•"/>
      <w:rPr>
        <w:color w:val="3370ff"/>
      </w:rPr>
    </w:lvl>
  </w:abstractNum>
  <w:abstractNum w:abstractNumId="620307">
    <w:lvl>
      <w:numFmt w:val="bullet"/>
      <w:suff w:val="tab"/>
      <w:lvlText w:val="•"/>
      <w:rPr>
        <w:color w:val="3370ff"/>
      </w:rPr>
    </w:lvl>
  </w:abstractNum>
  <w:num w:numId="1">
    <w:abstractNumId w:val="620240"/>
  </w:num>
  <w:num w:numId="2">
    <w:abstractNumId w:val="620241"/>
  </w:num>
  <w:num w:numId="3">
    <w:abstractNumId w:val="620242"/>
  </w:num>
  <w:num w:numId="4">
    <w:abstractNumId w:val="620243"/>
  </w:num>
  <w:num w:numId="5">
    <w:abstractNumId w:val="620244"/>
  </w:num>
  <w:num w:numId="6">
    <w:abstractNumId w:val="620245"/>
  </w:num>
  <w:num w:numId="7">
    <w:abstractNumId w:val="620246"/>
  </w:num>
  <w:num w:numId="8">
    <w:abstractNumId w:val="620247"/>
  </w:num>
  <w:num w:numId="9">
    <w:abstractNumId w:val="620248"/>
  </w:num>
  <w:num w:numId="10">
    <w:abstractNumId w:val="620249"/>
  </w:num>
  <w:num w:numId="11">
    <w:abstractNumId w:val="620250"/>
  </w:num>
  <w:num w:numId="12">
    <w:abstractNumId w:val="620251"/>
  </w:num>
  <w:num w:numId="13">
    <w:abstractNumId w:val="620252"/>
  </w:num>
  <w:num w:numId="14">
    <w:abstractNumId w:val="620253"/>
  </w:num>
  <w:num w:numId="15">
    <w:abstractNumId w:val="620254"/>
  </w:num>
  <w:num w:numId="16">
    <w:abstractNumId w:val="620255"/>
  </w:num>
  <w:num w:numId="17">
    <w:abstractNumId w:val="620256"/>
  </w:num>
  <w:num w:numId="18">
    <w:abstractNumId w:val="620257"/>
  </w:num>
  <w:num w:numId="19">
    <w:abstractNumId w:val="620258"/>
  </w:num>
  <w:num w:numId="20">
    <w:abstractNumId w:val="620259"/>
  </w:num>
  <w:num w:numId="21">
    <w:abstractNumId w:val="620260"/>
  </w:num>
  <w:num w:numId="22">
    <w:abstractNumId w:val="620261"/>
  </w:num>
  <w:num w:numId="23">
    <w:abstractNumId w:val="620262"/>
  </w:num>
  <w:num w:numId="24">
    <w:abstractNumId w:val="620263"/>
  </w:num>
  <w:num w:numId="25">
    <w:abstractNumId w:val="620264"/>
  </w:num>
  <w:num w:numId="26">
    <w:abstractNumId w:val="620265"/>
  </w:num>
  <w:num w:numId="27">
    <w:abstractNumId w:val="620266"/>
  </w:num>
  <w:num w:numId="28">
    <w:abstractNumId w:val="620267"/>
  </w:num>
  <w:num w:numId="29">
    <w:abstractNumId w:val="620268"/>
  </w:num>
  <w:num w:numId="30">
    <w:abstractNumId w:val="620269"/>
  </w:num>
  <w:num w:numId="31">
    <w:abstractNumId w:val="620270"/>
  </w:num>
  <w:num w:numId="32">
    <w:abstractNumId w:val="620271"/>
  </w:num>
  <w:num w:numId="33">
    <w:abstractNumId w:val="620272"/>
  </w:num>
  <w:num w:numId="34">
    <w:abstractNumId w:val="620273"/>
  </w:num>
  <w:num w:numId="35">
    <w:abstractNumId w:val="620274"/>
  </w:num>
  <w:num w:numId="36">
    <w:abstractNumId w:val="620275"/>
  </w:num>
  <w:num w:numId="37">
    <w:abstractNumId w:val="620276"/>
  </w:num>
  <w:num w:numId="38">
    <w:abstractNumId w:val="620277"/>
  </w:num>
  <w:num w:numId="39">
    <w:abstractNumId w:val="620278"/>
  </w:num>
  <w:num w:numId="40">
    <w:abstractNumId w:val="620279"/>
  </w:num>
  <w:num w:numId="41">
    <w:abstractNumId w:val="620280"/>
  </w:num>
  <w:num w:numId="42">
    <w:abstractNumId w:val="620281"/>
  </w:num>
  <w:num w:numId="43">
    <w:abstractNumId w:val="620282"/>
  </w:num>
  <w:num w:numId="44">
    <w:abstractNumId w:val="620283"/>
  </w:num>
  <w:num w:numId="45">
    <w:abstractNumId w:val="620284"/>
  </w:num>
  <w:num w:numId="46">
    <w:abstractNumId w:val="620285"/>
  </w:num>
  <w:num w:numId="47">
    <w:abstractNumId w:val="620286"/>
  </w:num>
  <w:num w:numId="48">
    <w:abstractNumId w:val="620287"/>
  </w:num>
  <w:num w:numId="49">
    <w:abstractNumId w:val="620288"/>
  </w:num>
  <w:num w:numId="50">
    <w:abstractNumId w:val="620289"/>
  </w:num>
  <w:num w:numId="51">
    <w:abstractNumId w:val="620290"/>
  </w:num>
  <w:num w:numId="52">
    <w:abstractNumId w:val="620291"/>
  </w:num>
  <w:num w:numId="53">
    <w:abstractNumId w:val="620292"/>
  </w:num>
  <w:num w:numId="54">
    <w:abstractNumId w:val="620293"/>
  </w:num>
  <w:num w:numId="55">
    <w:abstractNumId w:val="620294"/>
  </w:num>
  <w:num w:numId="56">
    <w:abstractNumId w:val="620295"/>
  </w:num>
  <w:num w:numId="57">
    <w:abstractNumId w:val="620296"/>
  </w:num>
  <w:num w:numId="58">
    <w:abstractNumId w:val="620297"/>
  </w:num>
  <w:num w:numId="59">
    <w:abstractNumId w:val="620298"/>
  </w:num>
  <w:num w:numId="60">
    <w:abstractNumId w:val="620299"/>
  </w:num>
  <w:num w:numId="61">
    <w:abstractNumId w:val="620300"/>
  </w:num>
  <w:num w:numId="62">
    <w:abstractNumId w:val="620301"/>
  </w:num>
  <w:num w:numId="63">
    <w:abstractNumId w:val="620302"/>
  </w:num>
  <w:num w:numId="64">
    <w:abstractNumId w:val="620303"/>
  </w:num>
  <w:num w:numId="65">
    <w:abstractNumId w:val="620304"/>
  </w:num>
  <w:num w:numId="66">
    <w:abstractNumId w:val="620305"/>
  </w:num>
  <w:num w:numId="67">
    <w:abstractNumId w:val="620306"/>
  </w:num>
  <w:num w:numId="68">
    <w:abstractNumId w:val="62030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jwslrnjqbdz.feishu.cn/wiki/EJ1ywFFNNimmJbkDqqvcKk4bnvd" TargetMode="External" Type="http://schemas.openxmlformats.org/officeDocument/2006/relationships/hyperlink"/><Relationship Id="rId11" Target="https://jwslrnjqbdz.feishu.cn/wiki/HsLMw6SNIiwVh2kycwlcn5GdnQT" TargetMode="External" Type="http://schemas.openxmlformats.org/officeDocument/2006/relationships/hyperlink"/><Relationship Id="rId12" Target="https://jwslrnjqbdz.feishu.cn/wiki/JFLewkJaCiBkGzkqYB2ctUdZnUc" TargetMode="External" Type="http://schemas.openxmlformats.org/officeDocument/2006/relationships/hyperlink"/><Relationship Id="rId13" Target="https://jwslrnjqbdz.feishu.cn/wiki/J08xwbliZi1Vw5kDVuYcxaXQnxe" TargetMode="External" Type="http://schemas.openxmlformats.org/officeDocument/2006/relationships/hyperlink"/><Relationship Id="rId14" Target="https://jwslrnjqbdz.feishu.cn/wiki/OjDywRPLLidBlSkPhZNcjQrVnkb" TargetMode="External" Type="http://schemas.openxmlformats.org/officeDocument/2006/relationships/hyperlink"/><Relationship Id="rId15" Target="https://jwslrnjqbdz.feishu.cn/wiki/QrhjwvFbGi8zdQk45ihcMeRDnDh" TargetMode="External" Type="http://schemas.openxmlformats.org/officeDocument/2006/relationships/hyperlink"/><Relationship Id="rId16" Target="https://jwslrnjqbdz.feishu.cn/wiki/KepGwntfniNYiekvmI0cd6W0n5e" TargetMode="External" Type="http://schemas.openxmlformats.org/officeDocument/2006/relationships/hyperlink"/><Relationship Id="rId17" Target="https://jwslrnjqbdz.feishu.cn/wiki/NyZKwqZqcikkxakbhLUcozvhnif" TargetMode="External" Type="http://schemas.openxmlformats.org/officeDocument/2006/relationships/hyperlink"/><Relationship Id="rId18" Target="https://jwslrnjqbdz.feishu.cn/wiki/RTPpwOAGNiWbhIkNHwsca801n6b" TargetMode="External" Type="http://schemas.openxmlformats.org/officeDocument/2006/relationships/hyperlink"/><Relationship Id="rId19" Target="https://jwslrnjqbdz.feishu.cn/wiki/SqywwivCtiXoHrkAyITcnkcunnh" TargetMode="External" Type="http://schemas.openxmlformats.org/officeDocument/2006/relationships/hyperlink"/><Relationship Id="rId2" Target="styles.xml" Type="http://schemas.openxmlformats.org/officeDocument/2006/relationships/styles"/><Relationship Id="rId20" Target="header1.xml" Type="http://schemas.openxmlformats.org/officeDocument/2006/relationships/header"/><Relationship Id="rId3" Target="footer1.xml" Type="http://schemas.openxmlformats.org/officeDocument/2006/relationships/footer"/><Relationship Id="rId4" Target="https://jwslrnjqbdz.feishu.cn/wiki/LKCYwLRloiKwdTkGgeAcwwVWnph" TargetMode="External" Type="http://schemas.openxmlformats.org/officeDocument/2006/relationships/hyperlink"/><Relationship Id="rId5" Target="numbering.xml" Type="http://schemas.openxmlformats.org/officeDocument/2006/relationships/numbering"/><Relationship Id="rId6" Target="https://jwslrnjqbdz.feishu.cn/wiki/HT9WwqwjRiMCvsksYEXcncJUnZg" TargetMode="External" Type="http://schemas.openxmlformats.org/officeDocument/2006/relationships/hyperlink"/><Relationship Id="rId7" Target="https://jwslrnjqbdz.feishu.cn/wiki/HsLMw6SNIiwVh2kycwlcn5GdnQT" TargetMode="External" Type="http://schemas.openxmlformats.org/officeDocument/2006/relationships/hyperlink"/><Relationship Id="rId8" Target="https://jwslrnjqbdz.feishu.cn/wiki/LGBTwWczhip7Nzk7cwAchQvnnff" TargetMode="External" Type="http://schemas.openxmlformats.org/officeDocument/2006/relationships/hyperlink"/><Relationship Id="rId9" Target="https://jwslrnjqbdz.feishu.cn/wiki/Gu60wqY4ZiJf7Nk390pcOaClnUh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2026-05-20T10:11:51Z</dcterms:created>
  <dc:creator>Apache POI</dc:creator>
</cp:coreProperties>
</file>