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Exile and Migration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Waters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an era of unprecedented levels of human displacement, migration is often reduced to abstract statistics and painted as an immediate, unprecedented issue born of moral binaries and extrahuman forces. The reality, however, is far more complex and difficult to navigate, and involves utilizing mixtures of different approaches to come to a holistic understanding of the situation at hand. Samuel Beckett’s </w:t>
      </w:r>
      <w:r w:rsidDel="00000000" w:rsidR="00000000" w:rsidRPr="00000000">
        <w:rPr>
          <w:rFonts w:ascii="Times New Roman" w:cs="Times New Roman" w:eastAsia="Times New Roman" w:hAnsi="Times New Roman"/>
          <w:i w:val="1"/>
          <w:iCs w:val="1"/>
          <w:sz w:val="24"/>
          <w:szCs w:val="24"/>
          <w:rtl w:val="0"/>
        </w:rPr>
        <w:t xml:space="preserve">Waiting for Godot</w:t>
      </w:r>
      <w:r w:rsidDel="00000000" w:rsidR="00000000" w:rsidRPr="00000000">
        <w:rPr>
          <w:rFonts w:ascii="Times New Roman" w:cs="Times New Roman" w:eastAsia="Times New Roman" w:hAnsi="Times New Roman"/>
          <w:sz w:val="24"/>
          <w:szCs w:val="24"/>
          <w:rtl w:val="0"/>
        </w:rPr>
        <w:t xml:space="preserve"> and Ai Wei Wei’s </w:t>
      </w:r>
      <w:r w:rsidDel="00000000" w:rsidR="00000000" w:rsidRPr="00000000">
        <w:rPr>
          <w:rFonts w:ascii="Times New Roman" w:cs="Times New Roman" w:eastAsia="Times New Roman" w:hAnsi="Times New Roman"/>
          <w:i w:val="1"/>
          <w:iCs w:val="1"/>
          <w:sz w:val="24"/>
          <w:szCs w:val="24"/>
          <w:rtl w:val="0"/>
        </w:rPr>
        <w:t xml:space="preserve">Human Flow </w:t>
      </w:r>
      <w:r w:rsidDel="00000000" w:rsidR="00000000" w:rsidRPr="00000000">
        <w:rPr>
          <w:rFonts w:ascii="Times New Roman" w:cs="Times New Roman" w:eastAsia="Times New Roman" w:hAnsi="Times New Roman"/>
          <w:sz w:val="24"/>
          <w:szCs w:val="24"/>
          <w:rtl w:val="0"/>
        </w:rPr>
        <w:t xml:space="preserve">are two complementary avenues that do so, giving us examples of uncertainty, exclusion, and revealing how not only how our modern system of borders and citizenship often produce individuals forever suspended in limbo, but also the societal psychology that led to their development. By exploring the subject through these two varying perspectives: contrasting Beckett’s abstractions and symbolism with Ai’s realism and groundedness, we’re able to not only understand the psychological causes behind displacement, but also understand the structural conditions that shape migration in the modern world.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Samuel Beckett’s 1953 play, </w:t>
      </w:r>
      <w:r w:rsidDel="00000000" w:rsidR="00000000" w:rsidRPr="00000000">
        <w:rPr>
          <w:rFonts w:ascii="Times New Roman" w:cs="Times New Roman" w:eastAsia="Times New Roman" w:hAnsi="Times New Roman"/>
          <w:i w:val="1"/>
          <w:iCs w:val="1"/>
          <w:sz w:val="24"/>
          <w:szCs w:val="24"/>
          <w:rtl w:val="0"/>
        </w:rPr>
        <w:t xml:space="preserve">Waiting for Godot</w:t>
      </w:r>
      <w:r w:rsidDel="00000000" w:rsidR="00000000" w:rsidRPr="00000000">
        <w:rPr>
          <w:rFonts w:ascii="Times New Roman" w:cs="Times New Roman" w:eastAsia="Times New Roman" w:hAnsi="Times New Roman"/>
          <w:sz w:val="24"/>
          <w:szCs w:val="24"/>
          <w:rtl w:val="0"/>
        </w:rPr>
        <w:t xml:space="preserve">, we follow two men, Vladimir and Estragon, who spend their days waiting beside a barren road for a figure named Godot, whose arrival is repeatedly promised but never fulfilled. Though they consider leaving at various points throughout the play, they remain immobilized by the expectation of Godot’s eventual coming, thus centering the play around a cyclical pattern of anticipation, frustration, and stasis. Writing less than a decade removed from the Second World War, and during the height of the postwar migration crisis plaguing Central and Eastern Europe, Beckett was no doubt heavily influenced by the plight of Czechs, Poles, Germans, and all the various ethnicities whose lives had been interrupted by the brutality of the war years. As such, the repeated cycle of anticipation and hopelessness in </w:t>
      </w:r>
      <w:r w:rsidDel="00000000" w:rsidR="00000000" w:rsidRPr="00000000">
        <w:rPr>
          <w:rFonts w:ascii="Times New Roman" w:cs="Times New Roman" w:eastAsia="Times New Roman" w:hAnsi="Times New Roman"/>
          <w:i w:val="1"/>
          <w:iCs w:val="1"/>
          <w:sz w:val="24"/>
          <w:szCs w:val="24"/>
          <w:rtl w:val="0"/>
        </w:rPr>
        <w:t xml:space="preserve">Waiting for Godot</w:t>
      </w:r>
      <w:r w:rsidDel="00000000" w:rsidR="00000000" w:rsidRPr="00000000">
        <w:rPr>
          <w:rFonts w:ascii="Times New Roman" w:cs="Times New Roman" w:eastAsia="Times New Roman" w:hAnsi="Times New Roman"/>
          <w:sz w:val="24"/>
          <w:szCs w:val="24"/>
          <w:rtl w:val="0"/>
        </w:rPr>
        <w:t xml:space="preserve"> can thus be seen as both a commentary on the nationalistic fervor that had led to the outbreak of war, and a critique of the ideological divide that blinded Beckett’s contemporaries to prolonging the crisis. At the start of the play, for example, as Estragon struggles with his boot, he complains to Vladimir, “Nothing to be done” (Beckett, 7). Highlighting the pair’s exhaustion with their circumstances, we can draw direct parallels between them and the widespread sense of fatigue which permeated much of Europe in the years following the Second World War. As individuals began to deal with its aftermath and face not only the economic and human costs of it, but also the social and psychological consequences it was having on ethnic identity and ideological disorientation, a sense of hopelessness began to ring out. In response, governments often resorted to radical yet backward-looking solutions, such as the forced resettlement of Poles from Soviet - annexed territories into German lands, and other mass population transfers that attempted to resolve modern problems using the logic of the old order. Rather than breaking the cycle of displacement, these measures merely reproduced it. Echoing this, when the pair begin morbidly debating the subject of whether or not to end their own lives, Estragon and Vladimir state, “Don't let's do anything. It's safer” “Let's wait and see what he [Godot] says” (Beckett, 12). After waiting for days for the arrival of Godot, and seeing no visible change progress, the pair decide upon suicide as the only way to escape the hopelessness of their reality. Even when faced with the finality of their decision, they never act, mirroring the paralysis of a continent unable to act decisively in the depths of crisis. Although new ideologies had spread across Europe, they often replicated the same structures that had only led to past catastrophes. When Europe became divided into East and West, millions sought to flee the Soviet Union and its satellite states, and power dynamics remained fundamentally unchanged, only rebranded under new flags and governments. Finally, perhaps mirroring the cynicism of Beckett’s contemporaries, the play ends as the two debate the idea of their parting ways, stating “It's not worthwhile now” “Well, shall we go?” “Yes, let's go”, only for stage direction to undercut their words: “</w:t>
      </w:r>
      <w:r w:rsidDel="00000000" w:rsidR="00000000" w:rsidRPr="00000000">
        <w:rPr>
          <w:rFonts w:ascii="Times New Roman" w:cs="Times New Roman" w:eastAsia="Times New Roman" w:hAnsi="Times New Roman"/>
          <w:i w:val="1"/>
          <w:iCs w:val="1"/>
          <w:sz w:val="24"/>
          <w:szCs w:val="24"/>
          <w:rtl w:val="0"/>
        </w:rPr>
        <w:t xml:space="preserve">They do not move” </w:t>
      </w:r>
      <w:r w:rsidDel="00000000" w:rsidR="00000000" w:rsidRPr="00000000">
        <w:rPr>
          <w:rFonts w:ascii="Times New Roman" w:cs="Times New Roman" w:eastAsia="Times New Roman" w:hAnsi="Times New Roman"/>
          <w:sz w:val="24"/>
          <w:szCs w:val="24"/>
          <w:rtl w:val="0"/>
        </w:rPr>
        <w:t xml:space="preserve">(Beckett, 60). Despite recognizing the futility of waiting, they remain frozen, extolling change while embodying stagnation. In this final scene, Beckett mirrors a Europe seemingly trapped in an endless cycle of war, displacement, and the reassertion of familiar norms. It is here that </w:t>
      </w:r>
      <w:r w:rsidDel="00000000" w:rsidR="00000000" w:rsidRPr="00000000">
        <w:rPr>
          <w:rFonts w:ascii="Times New Roman" w:cs="Times New Roman" w:eastAsia="Times New Roman" w:hAnsi="Times New Roman"/>
          <w:i w:val="1"/>
          <w:iCs w:val="1"/>
          <w:sz w:val="24"/>
          <w:szCs w:val="24"/>
          <w:rtl w:val="0"/>
        </w:rPr>
        <w:t xml:space="preserve">Waiting for Godot’s</w:t>
      </w:r>
      <w:r w:rsidDel="00000000" w:rsidR="00000000" w:rsidRPr="00000000">
        <w:rPr>
          <w:rFonts w:ascii="Times New Roman" w:cs="Times New Roman" w:eastAsia="Times New Roman" w:hAnsi="Times New Roman"/>
          <w:sz w:val="24"/>
          <w:szCs w:val="24"/>
          <w:rtl w:val="0"/>
        </w:rPr>
        <w:t xml:space="preserve"> relevance to the history of human migration becomes clearest. Even as societies acknowledge the magnitude of displacement, as was the case in a Europe reshaped by the movement of millions, they struggle to articulate frameworks that can bring about any meaningful change. What results is repetition: a cycle that continues into the modern day, as refugees from Ukraine and the Middle East face the same challenges that those from Poland or the Baltics faced seventy years ago.</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w:t>
      </w:r>
      <w:r w:rsidDel="00000000" w:rsidR="00000000" w:rsidRPr="00000000">
        <w:rPr>
          <w:rFonts w:ascii="Times New Roman" w:cs="Times New Roman" w:eastAsia="Times New Roman" w:hAnsi="Times New Roman"/>
          <w:i w:val="1"/>
          <w:iCs w:val="1"/>
          <w:sz w:val="24"/>
          <w:szCs w:val="24"/>
          <w:rtl w:val="0"/>
        </w:rPr>
        <w:t xml:space="preserve">Waiting for Godot’s </w:t>
      </w:r>
      <w:r w:rsidDel="00000000" w:rsidR="00000000" w:rsidRPr="00000000">
        <w:rPr>
          <w:rFonts w:ascii="Times New Roman" w:cs="Times New Roman" w:eastAsia="Times New Roman" w:hAnsi="Times New Roman"/>
          <w:sz w:val="24"/>
          <w:szCs w:val="24"/>
          <w:rtl w:val="0"/>
        </w:rPr>
        <w:t xml:space="preserve">abstract approach to representing migration allows audiences to grasp its psychological causes and the systemic causes that perpetuate it, to understand the immediate causes driving refugees in the modern day, a more concrete lens is needed. Ai Wei Wei’s 2017 documentary </w:t>
      </w:r>
      <w:r w:rsidDel="00000000" w:rsidR="00000000" w:rsidRPr="00000000">
        <w:rPr>
          <w:rFonts w:ascii="Times New Roman" w:cs="Times New Roman" w:eastAsia="Times New Roman" w:hAnsi="Times New Roman"/>
          <w:i w:val="1"/>
          <w:iCs w:val="1"/>
          <w:sz w:val="24"/>
          <w:szCs w:val="24"/>
          <w:rtl w:val="0"/>
        </w:rPr>
        <w:t xml:space="preserve">Human Flow, </w:t>
      </w:r>
      <w:r w:rsidDel="00000000" w:rsidR="00000000" w:rsidRPr="00000000">
        <w:rPr>
          <w:rFonts w:ascii="Times New Roman" w:cs="Times New Roman" w:eastAsia="Times New Roman" w:hAnsi="Times New Roman"/>
          <w:sz w:val="24"/>
          <w:szCs w:val="24"/>
          <w:rtl w:val="0"/>
        </w:rPr>
        <w:t xml:space="preserve">centered around the Middle Eastern refugee crisis and its global impacts offers this perspective. Rather than relying on distant statistics or generalized news coverage, Ai focuses on intimate, personal encounters with both those fleeing their homelands, and those inhabiting the countries to which they migrate to. Early in the film, Ai holds an interview with a father cradling his newborn while on a boat departing Greece, capturing the man’s hopes of reaching a country that will assist him so he can one day repay that kindness (Ai, 15:38 - 16:03). Moments like these help the viewer bridge the gap between individual experiences and the overall situation, transforming a global narrative into interpersonal stories. While only a small fraction of individuals in the West will ever flee their homes and seek refuge in a foreign country, the desire to pursue a better future for your children is one that is universal to the human experience, and by centering the narrative on that perspective, the audience is led to move beyond the image of refugees as being faceless masses, and instead recognize them as individuals with familiar outlooks, aspirations, values, and fears. Ai then extends this humanizing approach by turning the camera toward those tasked with enforcing borders. In a later sequence, Hungarian border guards speak candidly about their longing to take leave and return home to their families while continuing to patrol the Serbian border (29:36 - 32:02). By juxtaposing these perspectives, the film resists the binary approach traditional narratives of the situation take, revealing the crisis as one not sustained by mere abstract forces, but by ordinary people navigating their duties and desires. By doing so, </w:t>
      </w:r>
      <w:r w:rsidDel="00000000" w:rsidR="00000000" w:rsidRPr="00000000">
        <w:rPr>
          <w:rFonts w:ascii="Times New Roman" w:cs="Times New Roman" w:eastAsia="Times New Roman" w:hAnsi="Times New Roman"/>
          <w:i w:val="1"/>
          <w:iCs w:val="1"/>
          <w:sz w:val="24"/>
          <w:szCs w:val="24"/>
          <w:rtl w:val="0"/>
        </w:rPr>
        <w:t xml:space="preserve">Human Flow </w:t>
      </w:r>
      <w:r w:rsidDel="00000000" w:rsidR="00000000" w:rsidRPr="00000000">
        <w:rPr>
          <w:rFonts w:ascii="Times New Roman" w:cs="Times New Roman" w:eastAsia="Times New Roman" w:hAnsi="Times New Roman"/>
          <w:sz w:val="24"/>
          <w:szCs w:val="24"/>
          <w:rtl w:val="0"/>
        </w:rPr>
        <w:t xml:space="preserve">renders the refugee crisis not only as a geopolitical emergency, but as a human one, shaped by human perspectives and experiences on all sides.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Only after seeing migration and displacement from both perspectives can we begin to truly understand the root causes behind our modern day crisis. Both the psychological and the physical act as counterweights to one another in helping the informed reader resist traditional boolean narratives of a situation so crucial to understanding the contemporary global landscape. Through </w:t>
      </w:r>
      <w:r w:rsidDel="00000000" w:rsidR="00000000" w:rsidRPr="00000000">
        <w:rPr>
          <w:rFonts w:ascii="Times New Roman" w:cs="Times New Roman" w:eastAsia="Times New Roman" w:hAnsi="Times New Roman"/>
          <w:i w:val="1"/>
          <w:iCs w:val="1"/>
          <w:sz w:val="24"/>
          <w:szCs w:val="24"/>
          <w:rtl w:val="0"/>
        </w:rPr>
        <w:t xml:space="preserve">Waiting for Godot</w:t>
      </w:r>
      <w:r w:rsidDel="00000000" w:rsidR="00000000" w:rsidRPr="00000000">
        <w:rPr>
          <w:rFonts w:ascii="Times New Roman" w:cs="Times New Roman" w:eastAsia="Times New Roman" w:hAnsi="Times New Roman"/>
          <w:sz w:val="24"/>
          <w:szCs w:val="24"/>
          <w:rtl w:val="0"/>
        </w:rPr>
        <w:t xml:space="preserve">, Beckett illustrates the former through portraying two men waiting for the ever-elusive Godot to arrive and resolve their problems, echoing society’s tendency to defer responsibility to an imagined future rather than confront crises through action in the present. In contrast, Ai Wei Wei’s </w:t>
      </w:r>
      <w:r w:rsidDel="00000000" w:rsidR="00000000" w:rsidRPr="00000000">
        <w:rPr>
          <w:rFonts w:ascii="Times New Roman" w:cs="Times New Roman" w:eastAsia="Times New Roman" w:hAnsi="Times New Roman"/>
          <w:i w:val="1"/>
          <w:iCs w:val="1"/>
          <w:sz w:val="24"/>
          <w:szCs w:val="24"/>
          <w:rtl w:val="0"/>
        </w:rPr>
        <w:t xml:space="preserve">Human Flow</w:t>
      </w:r>
      <w:r w:rsidDel="00000000" w:rsidR="00000000" w:rsidRPr="00000000">
        <w:rPr>
          <w:rFonts w:ascii="Times New Roman" w:cs="Times New Roman" w:eastAsia="Times New Roman" w:hAnsi="Times New Roman"/>
          <w:sz w:val="24"/>
          <w:szCs w:val="24"/>
          <w:rtl w:val="0"/>
        </w:rPr>
        <w:t xml:space="preserve"> visualizes the latter by grounding the refugee crisis in personal narratives drawn from individuals on both sides of displacement, transcending the overall situation to highlight its human character. Taken together, both works guide the audience towards the understanding that few modern problems, least of all migration, can be reduced to simple moral binaries.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Works Cited</w:t>
      </w:r>
    </w:p>
    <w:p w:rsidR="00000000" w:rsidDel="00000000" w:rsidP="00000000" w:rsidRDefault="00000000" w:rsidRPr="00000000" w14:paraId="0000000B">
      <w:pPr>
        <w:ind w:left="220" w:firstLine="0"/>
        <w:jc w:val="cente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Beckett, Samuel. </w:t>
      </w:r>
      <w:r w:rsidDel="00000000" w:rsidR="00000000" w:rsidRPr="00000000">
        <w:rPr>
          <w:rFonts w:ascii="Times New Roman" w:cs="Times New Roman" w:eastAsia="Times New Roman" w:hAnsi="Times New Roman"/>
          <w:i w:val="1"/>
          <w:iCs w:val="1"/>
          <w:color w:val="0e0e0e"/>
          <w:sz w:val="24"/>
          <w:szCs w:val="24"/>
          <w:rtl w:val="0"/>
        </w:rPr>
        <w:t xml:space="preserve">Waiting for Godot</w:t>
      </w:r>
      <w:r w:rsidDel="00000000" w:rsidR="00000000" w:rsidRPr="00000000">
        <w:rPr>
          <w:rFonts w:ascii="Times New Roman" w:cs="Times New Roman" w:eastAsia="Times New Roman" w:hAnsi="Times New Roman"/>
          <w:color w:val="0e0e0e"/>
          <w:sz w:val="24"/>
          <w:szCs w:val="24"/>
          <w:rtl w:val="0"/>
        </w:rPr>
        <w:t xml:space="preserve">. Translated by Samuel Beckett, Grove Press, 1954.</w:t>
      </w:r>
    </w:p>
    <w:p w:rsidR="00000000" w:rsidDel="00000000" w:rsidP="00000000" w:rsidRDefault="00000000" w:rsidRPr="00000000" w14:paraId="0000000C">
      <w:pPr>
        <w:ind w:left="220" w:firstLine="0"/>
        <w:jc w:val="cente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0D">
      <w:pPr>
        <w:ind w:left="220" w:firstLine="0"/>
        <w:jc w:val="cente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i w:val="1"/>
          <w:iCs w:val="1"/>
          <w:color w:val="0e0e0e"/>
          <w:sz w:val="24"/>
          <w:szCs w:val="24"/>
          <w:rtl w:val="0"/>
        </w:rPr>
        <w:t xml:space="preserve">Human Flow</w:t>
      </w:r>
      <w:r w:rsidDel="00000000" w:rsidR="00000000" w:rsidRPr="00000000">
        <w:rPr>
          <w:rFonts w:ascii="Times New Roman" w:cs="Times New Roman" w:eastAsia="Times New Roman" w:hAnsi="Times New Roman"/>
          <w:color w:val="0e0e0e"/>
          <w:sz w:val="24"/>
          <w:szCs w:val="24"/>
          <w:rtl w:val="0"/>
        </w:rPr>
        <w:t xml:space="preserve">. Directed by Ai Weiwei, Participant Media, 2017.</w:t>
      </w:r>
    </w:p>
    <w:p w:rsidR="00000000" w:rsidDel="00000000" w:rsidP="00000000" w:rsidRDefault="00000000" w:rsidRPr="00000000" w14:paraId="0000000E">
      <w:pPr>
        <w:ind w:left="220" w:firstLine="0"/>
        <w:jc w:val="cente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