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IBMの「ホライズン1, 2, 3」</w:t>
      </w:r>
    </w:p>
    <w:p>
      <w:pPr>
        <w:pStyle w:val="Title"/>
        <w:jc w:val="center"/>
      </w:pPr>
      <w:r>
        <w:t>詳細調査レポート</w:t>
      </w:r>
    </w:p>
    <w:p/>
    <w:p/>
    <w:p>
      <w:pPr>
        <w:jc w:val="center"/>
      </w:pPr>
      <w:r>
        <w:rPr>
          <w:sz w:val="28"/>
        </w:rPr>
        <w:t>2026年3月29日</w:t>
      </w:r>
    </w:p>
    <w:p>
      <w:pPr>
        <w:jc w:val="center"/>
      </w:pPr>
      <w:r>
        <w:rPr>
          <w:sz w:val="24"/>
        </w:rPr>
        <w:t>第3版</w:t>
      </w:r>
    </w:p>
    <w:p>
      <w:r>
        <w:br w:type="page"/>
      </w:r>
    </w:p>
    <w:p>
      <w:pPr>
        <w:pStyle w:val="Heading1"/>
      </w:pPr>
      <w:r>
        <w:t>目次</w:t>
      </w:r>
    </w:p>
    <w:p>
      <w:pPr>
        <w:pStyle w:val="ListNumber"/>
      </w:pPr>
      <w:r>
        <w:t>はじめに</w:t>
      </w:r>
    </w:p>
    <w:p>
      <w:pPr>
        <w:pStyle w:val="ListNumber"/>
      </w:pPr>
      <w:r>
        <w:t>第1部　フレームワークの起源と学術的背景</w:t>
      </w:r>
    </w:p>
    <w:p>
      <w:pPr>
        <w:pStyle w:val="ListNumber"/>
      </w:pPr>
      <w:r>
        <w:t>第2部　IBMによるフレームワークの適用</w:t>
      </w:r>
    </w:p>
    <w:p>
      <w:pPr>
        <w:pStyle w:val="ListNumber"/>
      </w:pPr>
      <w:r>
        <w:t>第3部　各ホライズンの現状分析</w:t>
      </w:r>
    </w:p>
    <w:p>
      <w:pPr>
        <w:pStyle w:val="ListNumber"/>
      </w:pPr>
      <w:r>
        <w:t>第4部　M&amp;A戦略とホライズンの連動</w:t>
      </w:r>
    </w:p>
    <w:p>
      <w:pPr>
        <w:pStyle w:val="ListNumber"/>
      </w:pPr>
      <w:r>
        <w:t>第5部　売上構成比の構造変化</w:t>
      </w:r>
    </w:p>
    <w:p>
      <w:pPr>
        <w:pStyle w:val="ListNumber"/>
      </w:pPr>
      <w:r>
        <w:t>第6部　他社との比較分析</w:t>
      </w:r>
    </w:p>
    <w:p>
      <w:pPr>
        <w:pStyle w:val="ListNumber"/>
      </w:pPr>
      <w:r>
        <w:t>第7部　H3→H2移行速度の分析</w:t>
      </w:r>
    </w:p>
    <w:p>
      <w:pPr>
        <w:pStyle w:val="ListNumber"/>
      </w:pPr>
      <w:r>
        <w:t>第8部　量子コンピューティングのH3→H2移行条件</w:t>
      </w:r>
    </w:p>
    <w:p>
      <w:pPr>
        <w:pStyle w:val="ListNumber"/>
      </w:pPr>
      <w:r>
        <w:t>第9部　フレームワークの現代的意義</w:t>
      </w:r>
    </w:p>
    <w:p>
      <w:pPr>
        <w:pStyle w:val="ListNumber"/>
      </w:pPr>
      <w:r>
        <w:t>第10部　まとめと示唆</w:t>
      </w:r>
    </w:p>
    <w:p>
      <w:pPr>
        <w:pStyle w:val="ListNumber"/>
      </w:pPr>
      <w:r>
        <w:t>参考文献</w:t>
      </w:r>
    </w:p>
    <w:p>
      <w:r>
        <w:br w:type="page"/>
      </w:r>
    </w:p>
    <w:p>
      <w:pPr>
        <w:pStyle w:val="Heading1"/>
      </w:pPr>
      <w:r>
        <w:t>はじめに</w:t>
      </w:r>
    </w:p>
    <w:p>
      <w:pPr/>
      <w:r>
        <w:t>本レポートは、IBMが事業戦略の柱として活用してきた「Three Horizons of Growth（成長の3つのホライズン）」フレームワークについて、その学術的背景からIBMにおける具体的な適用、他社との比較、そして今後の展望に至るまでを包括的に調査・分析したものである。</w:t>
      </w:r>
    </w:p>
    <w:p>
      <w:pPr/>
      <w:r>
        <w:t>Three Horizonsは、企業の成長を短期・中期・長期の3つの時間軸で捉え、それぞれに対して同時並行で投資と経営を行うことを説くフレームワークである。IBMはこのフレームワークを110年を超える企業史の中で繰り返し活用し、自社の中核事業そのものを幾度も入れ替えるという、他に類を見ない事業転換を実現してきた。</w:t>
      </w:r>
    </w:p>
    <w:p>
      <w:r>
        <w:br w:type="page"/>
      </w:r>
    </w:p>
    <w:p>
      <w:pPr>
        <w:pStyle w:val="Heading1"/>
      </w:pPr>
      <w:r>
        <w:t>第1部　フレームワークの起源と学術的背景</w:t>
      </w:r>
    </w:p>
    <w:p>
      <w:pPr>
        <w:pStyle w:val="Heading2"/>
      </w:pPr>
      <w:r>
        <w:t>原典「The Alchemy of Growth」</w:t>
      </w:r>
    </w:p>
    <w:p>
      <w:pPr/>
      <w:r>
        <w:t>Three Horizons of Growthフレームワークは、1999年にMcKinsey &amp; Companyのパートナーであった Mehrdad Baghai、Stephen Coley、David White の3名が、著書『The Alchemy of Growth: Practical Insights for Building the Enduring Enterprise』の中で提唱した。本書は、2年以上にわたる調査に基づいており、15年以上連続で高い収益成長を達成した企業のケーススタディ、低成長からの再生事例、McKinseyの数百件のコンサルティング案件、そして多数の経営者インタビューをその研究基盤としている。</w:t>
      </w:r>
    </w:p>
    <w:p>
      <w:pPr/>
      <w:r>
        <w:t>書籍ではThree Horizonsに加えて、成長の戦略的選択肢を7つに分類する「Seven Degrees of Freedom」、小さなステップから始め段階的に投資を加速する「Staircases to Growth」、そして各ホライズンに異なる人材・指標・プロセスを適用すべきとする「Differentiated Management Approaches」の計4つのフレームワークが提示された。著者らは各ホライズンの経営を比喩的に、H1をオリンピックのボート競技（規律ある実行）、H2を激流下り（高い不確実性への適応）、H3をトレジャーハンティング（探索的で高リスク）と表現している。</w:t>
      </w:r>
    </w:p>
    <w:p>
      <w:pPr>
        <w:pStyle w:val="Heading2"/>
      </w:pPr>
      <w:r>
        <w:t>3つのホライズンの定義</w:t>
      </w:r>
    </w:p>
    <w:p>
      <w:pPr/>
      <w:r/>
      <w:r>
        <w:rPr>
          <w:b/>
        </w:rPr>
        <w:t>Horizon 1（H1）</w:t>
      </w:r>
      <w:r>
        <w:t>は「コアビジネスの維持・拡大」を指す。企業名と最も直接的に結びつく中核事業であり、最大の利益とキャッシュフローを生み出す事業群を意味する。時間軸は短期（6ヶ月〜3年）であり、焦点は残存価値を最大化するためのパフォーマンス改善に置かれる。リソース配分の目安は全体の70%とされる。</w:t>
      </w:r>
    </w:p>
    <w:p>
      <w:pPr/>
      <w:r/>
      <w:r>
        <w:rPr>
          <w:b/>
        </w:rPr>
        <w:t>Horizon 2（H2）</w:t>
      </w:r>
      <w:r>
        <w:t>は「新興事業の構築」を指す。急成長中の起業家的ベンチャーを含み、将来的に相当な利益を生み出す可能性があるが、そのためにかなりの投資を必要とする事業群である。時間軸は中期（2〜5年）であり、リソース配分の目安は20%である。</w:t>
      </w:r>
    </w:p>
    <w:p>
      <w:pPr/>
      <w:r/>
      <w:r>
        <w:rPr>
          <w:b/>
        </w:rPr>
        <w:t>Horizon 3（H3）</w:t>
      </w:r>
      <w:r>
        <w:t>は「将来の成長オプションの創造」を指す。初期段階のアイデア、実験、あるいは検証中の技術であり、まだ収益化には至っていないが、将来の成長のためのオプションとなりうるものである。時間軸は長期（5〜12年）で、リソース配分の目安は10%である。</w:t>
      </w:r>
    </w:p>
    <w:p>
      <w:pPr/>
      <w:r>
        <w:t>このフレームワークの核心的な原則は、3つのホライズンを「同時並行で」経営するという点にある。事業はH3からH2へ、H2からH1へと時間とともに移行するサイクルを持ち、企業はこのサイクルを途切れさせずに回し続けることで持続的な成長を実現できるとされる。</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tcPr>
          <w:p>
            <w:r>
              <w:rPr>
                <w:b/>
                <w:sz w:val="20"/>
              </w:rPr>
            </w:r>
          </w:p>
        </w:tc>
        <w:tc>
          <w:tcPr>
            <w:tcW w:type="dxa" w:w="2209"/>
          </w:tcPr>
          <w:p>
            <w:r>
              <w:rPr>
                <w:b/>
                <w:sz w:val="20"/>
              </w:rPr>
              <w:t>Horizon 1</w:t>
            </w:r>
          </w:p>
        </w:tc>
        <w:tc>
          <w:tcPr>
            <w:tcW w:type="dxa" w:w="2209"/>
          </w:tcPr>
          <w:p>
            <w:r>
              <w:rPr>
                <w:b/>
                <w:sz w:val="20"/>
              </w:rPr>
              <w:t>Horizon 2</w:t>
            </w:r>
          </w:p>
        </w:tc>
        <w:tc>
          <w:tcPr>
            <w:tcW w:type="dxa" w:w="2209"/>
          </w:tcPr>
          <w:p>
            <w:r>
              <w:rPr>
                <w:b/>
                <w:sz w:val="20"/>
              </w:rPr>
              <w:t>Horizon 3</w:t>
            </w:r>
          </w:p>
        </w:tc>
      </w:tr>
      <w:tr>
        <w:tc>
          <w:tcPr>
            <w:tcW w:type="dxa" w:w="2209"/>
          </w:tcPr>
          <w:p>
            <w:r>
              <w:rPr>
                <w:sz w:val="20"/>
              </w:rPr>
              <w:t>名称</w:t>
            </w:r>
          </w:p>
        </w:tc>
        <w:tc>
          <w:tcPr>
            <w:tcW w:type="dxa" w:w="2209"/>
          </w:tcPr>
          <w:p>
            <w:r>
              <w:rPr>
                <w:sz w:val="20"/>
              </w:rPr>
              <w:t>コア事業</w:t>
            </w:r>
          </w:p>
        </w:tc>
        <w:tc>
          <w:tcPr>
            <w:tcW w:type="dxa" w:w="2209"/>
          </w:tcPr>
          <w:p>
            <w:r>
              <w:rPr>
                <w:sz w:val="20"/>
              </w:rPr>
              <w:t>成長事業</w:t>
            </w:r>
          </w:p>
        </w:tc>
        <w:tc>
          <w:tcPr>
            <w:tcW w:type="dxa" w:w="2209"/>
          </w:tcPr>
          <w:p>
            <w:r>
              <w:rPr>
                <w:sz w:val="20"/>
              </w:rPr>
              <w:t>将来の種</w:t>
            </w:r>
          </w:p>
        </w:tc>
      </w:tr>
      <w:tr>
        <w:tc>
          <w:tcPr>
            <w:tcW w:type="dxa" w:w="2209"/>
          </w:tcPr>
          <w:p>
            <w:r>
              <w:rPr>
                <w:sz w:val="20"/>
              </w:rPr>
              <w:t>時間軸</w:t>
            </w:r>
          </w:p>
        </w:tc>
        <w:tc>
          <w:tcPr>
            <w:tcW w:type="dxa" w:w="2209"/>
          </w:tcPr>
          <w:p>
            <w:r>
              <w:rPr>
                <w:sz w:val="20"/>
              </w:rPr>
              <w:t>短期（6ヶ月〜3年）</w:t>
            </w:r>
          </w:p>
        </w:tc>
        <w:tc>
          <w:tcPr>
            <w:tcW w:type="dxa" w:w="2209"/>
          </w:tcPr>
          <w:p>
            <w:r>
              <w:rPr>
                <w:sz w:val="20"/>
              </w:rPr>
              <w:t>中期（2〜5年）</w:t>
            </w:r>
          </w:p>
        </w:tc>
        <w:tc>
          <w:tcPr>
            <w:tcW w:type="dxa" w:w="2209"/>
          </w:tcPr>
          <w:p>
            <w:r>
              <w:rPr>
                <w:sz w:val="20"/>
              </w:rPr>
              <w:t>長期（5〜12年）</w:t>
            </w:r>
          </w:p>
        </w:tc>
      </w:tr>
      <w:tr>
        <w:tc>
          <w:tcPr>
            <w:tcW w:type="dxa" w:w="2209"/>
          </w:tcPr>
          <w:p>
            <w:r>
              <w:rPr>
                <w:sz w:val="20"/>
              </w:rPr>
              <w:t>配分目安</w:t>
            </w:r>
          </w:p>
        </w:tc>
        <w:tc>
          <w:tcPr>
            <w:tcW w:type="dxa" w:w="2209"/>
          </w:tcPr>
          <w:p>
            <w:r>
              <w:rPr>
                <w:sz w:val="20"/>
              </w:rPr>
              <w:t>70%</w:t>
            </w:r>
          </w:p>
        </w:tc>
        <w:tc>
          <w:tcPr>
            <w:tcW w:type="dxa" w:w="2209"/>
          </w:tcPr>
          <w:p>
            <w:r>
              <w:rPr>
                <w:sz w:val="20"/>
              </w:rPr>
              <w:t>20%</w:t>
            </w:r>
          </w:p>
        </w:tc>
        <w:tc>
          <w:tcPr>
            <w:tcW w:type="dxa" w:w="2209"/>
          </w:tcPr>
          <w:p>
            <w:r>
              <w:rPr>
                <w:sz w:val="20"/>
              </w:rPr>
              <w:t>10%</w:t>
            </w:r>
          </w:p>
        </w:tc>
      </w:tr>
      <w:tr>
        <w:tc>
          <w:tcPr>
            <w:tcW w:type="dxa" w:w="2209"/>
          </w:tcPr>
          <w:p>
            <w:r>
              <w:rPr>
                <w:sz w:val="20"/>
              </w:rPr>
              <w:t>焦点</w:t>
            </w:r>
          </w:p>
        </w:tc>
        <w:tc>
          <w:tcPr>
            <w:tcW w:type="dxa" w:w="2209"/>
          </w:tcPr>
          <w:p>
            <w:r>
              <w:rPr>
                <w:sz w:val="20"/>
              </w:rPr>
              <w:t>効率化・最適化</w:t>
            </w:r>
          </w:p>
        </w:tc>
        <w:tc>
          <w:tcPr>
            <w:tcW w:type="dxa" w:w="2209"/>
          </w:tcPr>
          <w:p>
            <w:r>
              <w:rPr>
                <w:sz w:val="20"/>
              </w:rPr>
              <w:t>スケーリング・事業化</w:t>
            </w:r>
          </w:p>
        </w:tc>
        <w:tc>
          <w:tcPr>
            <w:tcW w:type="dxa" w:w="2209"/>
          </w:tcPr>
          <w:p>
            <w:r>
              <w:rPr>
                <w:sz w:val="20"/>
              </w:rPr>
              <w:t>実験・探索・PoC</w:t>
            </w:r>
          </w:p>
        </w:tc>
      </w:tr>
    </w:tbl>
    <w:p/>
    <w:p>
      <w:pPr>
        <w:pStyle w:val="Heading2"/>
      </w:pPr>
      <w:r>
        <w:t>学術的評価と関連理論</w:t>
      </w:r>
    </w:p>
    <w:p>
      <w:pPr/>
      <w:r>
        <w:t>Three Horizonsはコンサルティング実務から生まれたフレームワークであり、厳密な学術的実証研究に基づくものではない。しかし、その実務的有用性は広く認められており、McKinsey自身が選定する「Enduring Ideas（不朽のアイデア）」シリーズに掲載されているほか、国連開発計画（UNDP）、UNICEF、国際労働機関（ILO）といった国際機関でも活用されている。</w:t>
      </w:r>
    </w:p>
    <w:p>
      <w:pPr/>
      <w:r>
        <w:t>学術的には、O'ReillyとTushmanが2004年に提唱した「組織のアンビデクステリティ（両利きの経営）」理論との関連が深い。この理論では、H1が「知の深化（exploitation）」に、H2・H3が「知の探索（exploration）」にそれぞれ対応する構造を持つ。日本では入山章栄（早稲田大学ビジネススクール教授）がこの「両利きの経営」概念を紹介した中心人物であり、邦訳書は日本の経営者層に広く読まれている。</w:t>
      </w:r>
    </w:p>
    <w:p>
      <w:pPr/>
      <w:r>
        <w:t>また、Clayton Christensenの「イノベーターのジレンマ」理論とも密接な関係がある。H1への集中投資がH3の破壊的脅威を見逃させるメカニズムは、まさにChristensenが指摘した問題そのものである。ただし、Three Horizonsが「いつ・どこに投資するか」というポートフォリオ管理のツールであるのに対し、Christensenの理論はイノベーションの「性質」を分類するものであり、両者は補完的な関係にある。</w:t>
      </w:r>
    </w:p>
    <w:p>
      <w:pPr>
        <w:pStyle w:val="Heading2"/>
      </w:pPr>
      <w:r>
        <w:t>Steve Blankによる批判</w:t>
      </w:r>
    </w:p>
    <w:p>
      <w:pPr/>
      <w:r>
        <w:t>このフレームワークに対する最も影響力のある批判は、起業家・教育者のSteve Blankが2019年2月にHarvard Business Reviewに寄稿した論文「McKinsey's Three Horizons Model Defined Innovation for Years. Here's Why It No Longer Applies.」である。</w:t>
      </w:r>
    </w:p>
    <w:p>
      <w:pPr/>
      <w:r>
        <w:t>Blankの批判の核心は、「3つのホライズンはもはや時間によって区分されない」という点にある。20世紀においては破壊的イノベーションの研究・開発に年単位の時間がかかったため、時間による区分は妥当であった。しかし21世紀においては、Uber、Airbnb、SpaceXといった企業が既存技術を新しいビジネスモデルで再構成することで、H3レベルの破壊的イノベーションをH1並みの速度で展開している。Blankは「展開速度そのものが、破壊的かつ非対称的な力となる」と洞察し、ホライズンを時間ではなくイノベーションの性質で定義し直すことを提案した。</w:t>
      </w:r>
    </w:p>
    <w:p>
      <w:pPr/>
      <w:r>
        <w:t>ただしBlankはフレームワークそのものの放棄を主張しているわけではなく、大企業に対しては4つの対抗戦略——外部イノベーターへのインセンティブ付与、買収、迅速な模倣、そして破壊者以上のイノベーション——を提示している。</w:t>
      </w:r>
    </w:p>
    <w:p>
      <w:pPr>
        <w:pStyle w:val="Heading2"/>
      </w:pPr>
      <w:r>
        <w:t>Geoffrey MooreのZone to Win</w:t>
      </w:r>
    </w:p>
    <w:p>
      <w:pPr/>
      <w:r>
        <w:t>2015年にGeoffrey Mooreが発表した『Zone to Win』は、Three Horizonsをさらに発展させたフレームワークとして位置づけられる。Mooreは3つのホライズンに「4つのゾーン」を対応させ、特に「Transformation Zone（変革ゾーン）」という概念を追加した。これはH2からH1への移行期において、CEO主導で組織全体を巻き込む変革が必要であるという認識に基づいており、McKinseyの原型には明示的に含まれていなかった重要な要素である。</w:t>
      </w:r>
    </w:p>
    <w:p>
      <w:r>
        <w:br w:type="page"/>
      </w:r>
    </w:p>
    <w:p>
      <w:pPr>
        <w:pStyle w:val="Heading1"/>
      </w:pPr>
      <w:r>
        <w:t>第2部　IBMによるフレームワークの適用</w:t>
      </w:r>
    </w:p>
    <w:p>
      <w:pPr>
        <w:pStyle w:val="Heading2"/>
      </w:pPr>
      <w:r>
        <w:t>EBOプログラム：最も体系的な適用事例</w:t>
      </w:r>
    </w:p>
    <w:p>
      <w:pPr/>
      <w:r>
        <w:t>IBMによるThree Horizonsの最も公式かつ体系的な適用は、2000年に発足した「EBO（Emerging Business Opportunities）プログラム」である。</w:t>
      </w:r>
    </w:p>
    <w:p>
      <w:pPr/>
      <w:r>
        <w:t>1999年、当時のCEOであったLou Gerstnerは「なぜIBMは新産業の出現を一貫して見逃すのか」という根本的な問いを投げかけた。社内調査の結果、IBMが過去に29もの技術・事業機会を逃してきたことが判明する。その原因は明確であった。IBMは無意識のうちにH1（既存事業）とH2（成長事業）に経営資源を集中させ、H3（将来の種）を組織的に排除していたのである。</w:t>
      </w:r>
    </w:p>
    <w:p>
      <w:pPr/>
      <w:r>
        <w:t>この反省に基づき発足したEBOプログラムでは、Linux、ライフサイエンス、パーベイシブコンピューティング、デジタルメディアなど7つの新規事業が最初に選定された。その成果は極めて大きく、2000年から2005年の5年間でEBOは$152億をトップラインに追加した。これは同期間の買収による売上増（9%）を大きく上回る19%の貢献であった。2009年までに25のEBOが立ち上がり、うち3件が失敗したものの、残る22件がIBM売上の15%超を生み出すまでに成長した。</w:t>
      </w:r>
    </w:p>
    <w:p>
      <w:pPr>
        <w:pStyle w:val="Heading2"/>
      </w:pPr>
      <w:r>
        <w:t>Ginni Rometty時代（2012-2020）</w:t>
      </w:r>
    </w:p>
    <w:p>
      <w:pPr/>
      <w:r>
        <w:t>Rometty CEOの時代、IBMは「Strategic Imperatives（戦略的必須事項）」として、クラウド、アナリティクス（Watson）、モバイル、セキュリティの4領域を定義し、事業ポートフォリオの転換を推進した。これらはまさにH2に相当する事業群であり、売上は年間$318億に成長してIBM全体の42%を占めるに至った。</w:t>
      </w:r>
    </w:p>
    <w:p>
      <w:pPr/>
      <w:r>
        <w:t>しかし、この時代にはWatsonの医療分野への適用が期待通りの成果を上げられなかったという重要な失敗もある。Watson Healthの不振は、H3の事業がH2に移行する際の困難さを象徴する事例となった。</w:t>
      </w:r>
    </w:p>
    <w:p>
      <w:pPr>
        <w:pStyle w:val="Heading2"/>
      </w:pPr>
      <w:r>
        <w:t>Arvind Krishna時代（2020-現在）</w:t>
      </w:r>
    </w:p>
    <w:p>
      <w:pPr/>
      <w:r>
        <w:t>2020年にCEOに就任したArvind Krishnaは、「ハイブリッドクラウドとAI」への集中を鮮明に打ち出した。McKinseyとのインタビューでKrishnaは「自分がまだキャッシュフローと顧客を持っているうちに自己破壊せよ」と語っており、これはまさにThree Horizonsの精神——H1が健在なうちにH2・H3を育てる——を体現する姿勢である。</w:t>
      </w:r>
    </w:p>
    <w:p>
      <w:pPr/>
      <w:r>
        <w:t>Krishna体制下でのIBMの変化は数字に如実に表れている。CEO就任時にはわずか22%であったソフトウェア比率は現在45%に達し、間もなく50%を超える見通しである。IBMの時価総額は就任以来3倍に拡大した。</w:t>
      </w:r>
    </w:p>
    <w:p>
      <w:pPr/>
      <w:r>
        <w:t>2025年2月のInvestor Dayでは「持続的5%以上の成長」を実現するためのフレームワークとして、3つの柱が提示された。第1の柱はハイブリッドクラウド（Red Hat + HashiCorp）であり、現在のH1に相当する。第2の柱はエンタープライズAI（watsonx + Granite）であり、急成長中のH2である。第3の柱は量子コンピューティングであり、長期的なH3に位置づけられる。</w:t>
      </w:r>
    </w:p>
    <w:p>
      <w:pPr/>
      <w:r>
        <w:t>注目すべきは、現経営陣が「Three Horizons」というフレームワーク名を明示的には使用していない点である。しかしKrishnaは量子コンピューティングについて「over the horizon（地平線の先）」という表現を用いており、この3本柱の構造はThree Horizonsそのものと言ってよい。</w:t>
      </w:r>
    </w:p>
    <w:p>
      <w:pPr>
        <w:pStyle w:val="Heading2"/>
      </w:pPr>
      <w:r>
        <w:t>Kyndryl分社化の戦略的意味</w:t>
      </w:r>
    </w:p>
    <w:p>
      <w:pPr/>
      <w:r>
        <w:t>2021年11月にIBMは、マネージドインフラサービス事業をKyndrylとして分社化した。これはH1の中でも成熟・低成長セグメントを切り離し、成長事業への経営資源集中を図る戦略的判断であった。IBM側ではこの分社化により、低利益率事業の分離が実現し、ソフトウェア比率が22%から45%へと大幅に向上した。一方のKyndrylはFY2025に記録的な受注$182億（前年比+46%）を達成し、初の黒字転換を果たしたが、2026年2月には会計調査とCFO退任が重なり株価が25%急落するなど、分社後の道のりは必ずしも平坦ではない。</w:t>
      </w:r>
    </w:p>
    <w:p>
      <w:r>
        <w:br w:type="page"/>
      </w:r>
    </w:p>
    <w:p>
      <w:pPr>
        <w:pStyle w:val="Heading1"/>
      </w:pPr>
      <w:r>
        <w:t>第3部　各ホライズンの現状分析</w:t>
      </w:r>
    </w:p>
    <w:p>
      <w:pPr>
        <w:pStyle w:val="Heading2"/>
      </w:pPr>
      <w:r>
        <w:t>Horizon 1: コア事業の盤石化</w:t>
      </w:r>
    </w:p>
    <w:p>
      <w:pPr/>
      <w:r>
        <w:t>IBMのH1を支える最大の柱は、2019年に$340億で買収したRed Hatを中心とするハイブリッドクラウド事業である。Red Hat Enterprise Linux（RHEL）の年間売上は$65億超に達し、買収時の$34億からほぼ倍増した。OpenShiftのARR（年間経常収益）は$18億に成長しており、これは買収時の$1億から実に18倍の拡大である。Fortune 500企業の90%超がRed Hatを利用しているという事実は、この事業がいかにH1として定着しているかを示している。</w:t>
      </w:r>
    </w:p>
    <w:p>
      <w:pPr/>
      <w:r>
        <w:t>メインフレーム事業もH1の重要な構成要素であり続けている。IBM z16/z17シリーズは20年来最高の売上を記録した。コンサルティング事業（IBM Consulting）は年間$211億の売上を計上しており、クライアント企業のクラウド移行やAI導入を支援する役割を果たしている。これはH1の安定収益源であると同時に、H2事業（watsonx等）の導入チャネルとしても機能するという二重の戦略的意義を持つ。</w:t>
      </w:r>
    </w:p>
    <w:p>
      <w:pPr>
        <w:pStyle w:val="Heading2"/>
      </w:pPr>
      <w:r>
        <w:t>Horizon 2: AIプラットフォームの急成長</w:t>
      </w:r>
    </w:p>
    <w:p>
      <w:pPr/>
      <w:r>
        <w:t>IBMのH2の中心に位置するのが、2023年に発表された生成AIプラットフォーム「watsonx」である。watsonxはwatsonx.ai（AIモデル開発・運用）、watsonx.data（データレイクハウス）、watsonx.governance（AIガバナンス）の3つのコンポーネントで構成され、エンタープライズ向けAIの包括的基盤を提供する。</w:t>
      </w:r>
    </w:p>
    <w:p>
      <w:pPr/>
      <w:r>
        <w:t>watsonxの成長は目覚ましい。生成AI関連の累積受注額は$125億超に達し、前年から倍増した。そのうち約80%がコンサルティングサービス経由であり、IBM Consultingとの相乗効果が発揮されている。Gartnerは2025年のAI Vendor RaceにおいてIBMを「最も注目すべき企業」に選定し、7つのAI関連Magic QuadrantでIBMをリーダーに位置づけた。</w:t>
      </w:r>
    </w:p>
    <w:p>
      <w:pPr/>
      <w:r>
        <w:t>M&amp;Aによるポートフォリオ強化も積極的に進めている。2025年に完了した$64億のHashiCorp買収はインフラ自動化をIBMのクラウド基盤に統合するものであり、$110億のConfluent買収はリアルタイムデータストリーミングをAIパイプラインに組み込むための戦略的投資である。ソフトウェアセグメント全体では2025年に+9%成長を達成し、過去最高の年間成長率を記録した。</w:t>
      </w:r>
    </w:p>
    <w:p>
      <w:pPr>
        <w:pStyle w:val="Heading2"/>
      </w:pPr>
      <w:r>
        <w:t>Horizon 3: 量子コンピューティングと先端技術</w:t>
      </w:r>
    </w:p>
    <w:p>
      <w:pPr/>
      <w:r>
        <w:t>IBMのH3の中核を成すのは量子コンピューティングである。IBMは2033年までの詳細なロードマップを公開しており、その野心的な目標は業界全体の注目を集めている。</w:t>
      </w:r>
    </w:p>
    <w:p>
      <w:pPr/>
      <w:r>
        <w:t>2025年には120量子ビットのNighthawkプロセッサが投入される。正方形トポロジーを採用した最初のチップであり、5,000個の2量子ビットゲートを正確に実行できる。2026年にはIBM初のモジュラープロセッサKookaburraが投入され、同年末にはIBMが「量子優位性の最初の実証」を達成すると予測している。</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tcPr>
          <w:p>
            <w:r>
              <w:rPr>
                <w:b/>
                <w:sz w:val="20"/>
              </w:rPr>
              <w:t>年</w:t>
            </w:r>
          </w:p>
        </w:tc>
        <w:tc>
          <w:tcPr>
            <w:tcW w:type="dxa" w:w="2946"/>
          </w:tcPr>
          <w:p>
            <w:r>
              <w:rPr>
                <w:b/>
                <w:sz w:val="20"/>
              </w:rPr>
              <w:t>プロセッサ</w:t>
            </w:r>
          </w:p>
        </w:tc>
        <w:tc>
          <w:tcPr>
            <w:tcW w:type="dxa" w:w="2946"/>
          </w:tcPr>
          <w:p>
            <w:r>
              <w:rPr>
                <w:b/>
                <w:sz w:val="20"/>
              </w:rPr>
              <w:t>特徴</w:t>
            </w:r>
          </w:p>
        </w:tc>
      </w:tr>
      <w:tr>
        <w:tc>
          <w:tcPr>
            <w:tcW w:type="dxa" w:w="2946"/>
          </w:tcPr>
          <w:p>
            <w:r>
              <w:rPr>
                <w:sz w:val="20"/>
              </w:rPr>
              <w:t>2025</w:t>
            </w:r>
          </w:p>
        </w:tc>
        <w:tc>
          <w:tcPr>
            <w:tcW w:type="dxa" w:w="2946"/>
          </w:tcPr>
          <w:p>
            <w:r>
              <w:rPr>
                <w:sz w:val="20"/>
              </w:rPr>
              <w:t>Nighthawk</w:t>
            </w:r>
          </w:p>
        </w:tc>
        <w:tc>
          <w:tcPr>
            <w:tcW w:type="dxa" w:w="2946"/>
          </w:tcPr>
          <w:p>
            <w:r>
              <w:rPr>
                <w:sz w:val="20"/>
              </w:rPr>
              <w:t>120量子ビット、5,000ゲート実行</w:t>
            </w:r>
          </w:p>
        </w:tc>
      </w:tr>
      <w:tr>
        <w:tc>
          <w:tcPr>
            <w:tcW w:type="dxa" w:w="2946"/>
          </w:tcPr>
          <w:p>
            <w:r>
              <w:rPr>
                <w:sz w:val="20"/>
              </w:rPr>
              <w:t>2026</w:t>
            </w:r>
          </w:p>
        </w:tc>
        <w:tc>
          <w:tcPr>
            <w:tcW w:type="dxa" w:w="2946"/>
          </w:tcPr>
          <w:p>
            <w:r>
              <w:rPr>
                <w:sz w:val="20"/>
              </w:rPr>
              <w:t>Kookaburra</w:t>
            </w:r>
          </w:p>
        </w:tc>
        <w:tc>
          <w:tcPr>
            <w:tcW w:type="dxa" w:w="2946"/>
          </w:tcPr>
          <w:p>
            <w:r>
              <w:rPr>
                <w:sz w:val="20"/>
              </w:rPr>
              <w:t>IBM初のモジュラープロセッサ</w:t>
            </w:r>
          </w:p>
        </w:tc>
      </w:tr>
      <w:tr>
        <w:tc>
          <w:tcPr>
            <w:tcW w:type="dxa" w:w="2946"/>
          </w:tcPr>
          <w:p>
            <w:r>
              <w:rPr>
                <w:sz w:val="20"/>
              </w:rPr>
              <w:t>2026末</w:t>
            </w:r>
          </w:p>
        </w:tc>
        <w:tc>
          <w:tcPr>
            <w:tcW w:type="dxa" w:w="2946"/>
          </w:tcPr>
          <w:p>
            <w:r>
              <w:rPr>
                <w:sz w:val="20"/>
              </w:rPr>
              <w:t>—</w:t>
            </w:r>
          </w:p>
        </w:tc>
        <w:tc>
          <w:tcPr>
            <w:tcW w:type="dxa" w:w="2946"/>
          </w:tcPr>
          <w:p>
            <w:r>
              <w:rPr>
                <w:sz w:val="20"/>
              </w:rPr>
              <w:t>量子優位性の最初の実証</w:t>
            </w:r>
          </w:p>
        </w:tc>
      </w:tr>
      <w:tr>
        <w:tc>
          <w:tcPr>
            <w:tcW w:type="dxa" w:w="2946"/>
          </w:tcPr>
          <w:p>
            <w:r>
              <w:rPr>
                <w:sz w:val="20"/>
              </w:rPr>
              <w:t>2029</w:t>
            </w:r>
          </w:p>
        </w:tc>
        <w:tc>
          <w:tcPr>
            <w:tcW w:type="dxa" w:w="2946"/>
          </w:tcPr>
          <w:p>
            <w:r>
              <w:rPr>
                <w:sz w:val="20"/>
              </w:rPr>
              <w:t>Starling</w:t>
            </w:r>
          </w:p>
        </w:tc>
        <w:tc>
          <w:tcPr>
            <w:tcW w:type="dxa" w:w="2946"/>
          </w:tcPr>
          <w:p>
            <w:r>
              <w:rPr>
                <w:sz w:val="20"/>
              </w:rPr>
              <w:t>初のFTQC、200論理量子ビット、1億ゲート</w:t>
            </w:r>
          </w:p>
        </w:tc>
      </w:tr>
      <w:tr>
        <w:tc>
          <w:tcPr>
            <w:tcW w:type="dxa" w:w="2946"/>
          </w:tcPr>
          <w:p>
            <w:r>
              <w:rPr>
                <w:sz w:val="20"/>
              </w:rPr>
              <w:t>2033</w:t>
            </w:r>
          </w:p>
        </w:tc>
        <w:tc>
          <w:tcPr>
            <w:tcW w:type="dxa" w:w="2946"/>
          </w:tcPr>
          <w:p>
            <w:r>
              <w:rPr>
                <w:sz w:val="20"/>
              </w:rPr>
              <w:t>Blue Jay</w:t>
            </w:r>
          </w:p>
        </w:tc>
        <w:tc>
          <w:tcPr>
            <w:tcW w:type="dxa" w:w="2946"/>
          </w:tcPr>
          <w:p>
            <w:r>
              <w:rPr>
                <w:sz w:val="20"/>
              </w:rPr>
              <w:t>2,000論理量子ビット、10億ゲート</w:t>
            </w:r>
          </w:p>
        </w:tc>
      </w:tr>
    </w:tbl>
    <w:p/>
    <w:p>
      <w:pPr/>
      <w:r>
        <w:t>ロードマップの重要なマイルストーンは2029年のStarlingである。これはIBM初のフォールトトレラント量子コンピュータであり、200論理量子ビットで1億ゲートを実行できる。現在の量子コンピュータの20,000倍の演算能力を持つとされる。さらに2033年のBlue Jayでは2,000論理量子ビット・10億ゲートへの到達を目指す。</w:t>
      </w:r>
    </w:p>
    <w:p>
      <w:pPr/>
      <w:r>
        <w:t>IBMの量子エコシステムは世界最大規模である。Qiskitには60万人以上のアクティブユーザーがおり、約300のFortune 500企業がIBM Quantum Networkに参加している。累積の量子関連収益は$10億を超えた。IBMは$1,500億の米国投資計画のうち$300億を量子コンピューティングとメインフレーム製造に充当すると発表している。</w:t>
      </w:r>
    </w:p>
    <w:p>
      <w:pPr/>
      <w:r>
        <w:t>パートナーシップも充実している。Ciscoとは分散量子コンピューティングネットワークの構築で協力し、AMDとは量子中心スーパーコンピューティングアーキテクチャを共同開発している。理化学研究所（RIKEN）との共同研究や、Cornell・Harvard・Weizmann研究所との国際共同研究では、フィボナッチ エニオン実験の成果がNature Communicationsに掲載された（2025年）。</w:t>
      </w:r>
    </w:p>
    <w:p>
      <w:pPr/>
      <w:r>
        <w:t>H3のもう一つの重要な柱が2nm半導体研究である。IBMは2021年に世界初の2nmナノシートテクノロジーチップを発表し、7nmノード比で45%の高性能化または75%の低消費電力化を実現した。現在は日本のRapidusと提携し、2027年下期の生産開始を目指している。</w:t>
      </w:r>
    </w:p>
    <w:p>
      <w:pPr/>
      <w:r>
        <w:t>さらにポスト量子暗号（PQC）の分野では、2024年8月にNISTが公開した最初の3つのPQC標準のうち2つ——ML-KEM（CRYSTALS-Kyber）とML-DSA（CRYSTALS-Dilithium）——がIBM Zurich研究所の共同開発によるものである。量子コンピュータによる暗号解読の脅威に対する世界標準の防御基盤をIBMが主導的に構築しているという事実は、同社のH3戦略の幅広さを示している。</w:t>
      </w:r>
    </w:p>
    <w:p>
      <w:r>
        <w:br w:type="page"/>
      </w:r>
    </w:p>
    <w:p>
      <w:pPr>
        <w:pStyle w:val="Heading1"/>
      </w:pPr>
      <w:r>
        <w:t>第4部　M&amp;A戦略とホライズンの連動</w:t>
      </w:r>
    </w:p>
    <w:p>
      <w:pPr/>
      <w:r>
        <w:t>IBMのM&amp;A・事業再編はホライズン戦略と密接に連動しており、その歴史を辿ると、各ホライズンの管理がいかに意図的に行われてきたかが明確になる。</w:t>
      </w:r>
    </w:p>
    <w:p>
      <w:pPr/>
      <w:r>
        <w:t>2005年のPC事業のLenovo売却（$17.5億）は旧H1からの戦略的撤退であった。2019年のRed Hat買収（$340億）はH2をスケーリングしてH1化するための決定的な一手であり、2021年のKyndryl分社化はH1の成熟部分の切り離しであった。</w:t>
      </w:r>
    </w:p>
    <w:p>
      <w:pPr/>
      <w:r>
        <w:t>2023年以降はH2強化のためのM&amp;Aが加速している。Apptio（$46億、IT財務管理）、StreamSets+webMethods（$23億、データ統合）、HashiCorp（$64億、インフラ自動化）、DataStax（NoSQL/ベクトルDB）、そしてConfluent（$110億、リアルタイムデータストリーミング）と、データ基盤・AI基盤・ハイブリッドクラウド自動化への集中投資が鮮明である。</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tcPr>
          <w:p>
            <w:r>
              <w:rPr>
                <w:b/>
                <w:sz w:val="20"/>
              </w:rPr>
              <w:t>アクション</w:t>
            </w:r>
          </w:p>
        </w:tc>
        <w:tc>
          <w:tcPr>
            <w:tcW w:type="dxa" w:w="2209"/>
          </w:tcPr>
          <w:p>
            <w:r>
              <w:rPr>
                <w:b/>
                <w:sz w:val="20"/>
              </w:rPr>
              <w:t>年</w:t>
            </w:r>
          </w:p>
        </w:tc>
        <w:tc>
          <w:tcPr>
            <w:tcW w:type="dxa" w:w="2209"/>
          </w:tcPr>
          <w:p>
            <w:r>
              <w:rPr>
                <w:b/>
                <w:sz w:val="20"/>
              </w:rPr>
              <w:t>金額</w:t>
            </w:r>
          </w:p>
        </w:tc>
        <w:tc>
          <w:tcPr>
            <w:tcW w:type="dxa" w:w="2209"/>
          </w:tcPr>
          <w:p>
            <w:r>
              <w:rPr>
                <w:b/>
                <w:sz w:val="20"/>
              </w:rPr>
              <w:t>ホライズン上の意味</w:t>
            </w:r>
          </w:p>
        </w:tc>
      </w:tr>
      <w:tr>
        <w:tc>
          <w:tcPr>
            <w:tcW w:type="dxa" w:w="2209"/>
          </w:tcPr>
          <w:p>
            <w:r>
              <w:rPr>
                <w:sz w:val="20"/>
              </w:rPr>
              <w:t>PC事業Lenovo売却</w:t>
            </w:r>
          </w:p>
        </w:tc>
        <w:tc>
          <w:tcPr>
            <w:tcW w:type="dxa" w:w="2209"/>
          </w:tcPr>
          <w:p>
            <w:r>
              <w:rPr>
                <w:sz w:val="20"/>
              </w:rPr>
              <w:t>2005</w:t>
            </w:r>
          </w:p>
        </w:tc>
        <w:tc>
          <w:tcPr>
            <w:tcW w:type="dxa" w:w="2209"/>
          </w:tcPr>
          <w:p>
            <w:r>
              <w:rPr>
                <w:sz w:val="20"/>
              </w:rPr>
              <w:t>$17.5億</w:t>
            </w:r>
          </w:p>
        </w:tc>
        <w:tc>
          <w:tcPr>
            <w:tcW w:type="dxa" w:w="2209"/>
          </w:tcPr>
          <w:p>
            <w:r>
              <w:rPr>
                <w:sz w:val="20"/>
              </w:rPr>
              <w:t>旧H1の戦略的撤退</w:t>
            </w:r>
          </w:p>
        </w:tc>
      </w:tr>
      <w:tr>
        <w:tc>
          <w:tcPr>
            <w:tcW w:type="dxa" w:w="2209"/>
          </w:tcPr>
          <w:p>
            <w:r>
              <w:rPr>
                <w:sz w:val="20"/>
              </w:rPr>
              <w:t>Red Hat買収</w:t>
            </w:r>
          </w:p>
        </w:tc>
        <w:tc>
          <w:tcPr>
            <w:tcW w:type="dxa" w:w="2209"/>
          </w:tcPr>
          <w:p>
            <w:r>
              <w:rPr>
                <w:sz w:val="20"/>
              </w:rPr>
              <w:t>2019</w:t>
            </w:r>
          </w:p>
        </w:tc>
        <w:tc>
          <w:tcPr>
            <w:tcW w:type="dxa" w:w="2209"/>
          </w:tcPr>
          <w:p>
            <w:r>
              <w:rPr>
                <w:sz w:val="20"/>
              </w:rPr>
              <w:t>$340億</w:t>
            </w:r>
          </w:p>
        </w:tc>
        <w:tc>
          <w:tcPr>
            <w:tcW w:type="dxa" w:w="2209"/>
          </w:tcPr>
          <w:p>
            <w:r>
              <w:rPr>
                <w:sz w:val="20"/>
              </w:rPr>
              <w:t>H2→H1化</w:t>
            </w:r>
          </w:p>
        </w:tc>
      </w:tr>
      <w:tr>
        <w:tc>
          <w:tcPr>
            <w:tcW w:type="dxa" w:w="2209"/>
          </w:tcPr>
          <w:p>
            <w:r>
              <w:rPr>
                <w:sz w:val="20"/>
              </w:rPr>
              <w:t>Kyndryl分社化</w:t>
            </w:r>
          </w:p>
        </w:tc>
        <w:tc>
          <w:tcPr>
            <w:tcW w:type="dxa" w:w="2209"/>
          </w:tcPr>
          <w:p>
            <w:r>
              <w:rPr>
                <w:sz w:val="20"/>
              </w:rPr>
              <w:t>2021</w:t>
            </w:r>
          </w:p>
        </w:tc>
        <w:tc>
          <w:tcPr>
            <w:tcW w:type="dxa" w:w="2209"/>
          </w:tcPr>
          <w:p>
            <w:r>
              <w:rPr>
                <w:sz w:val="20"/>
              </w:rPr>
              <w:t>—</w:t>
            </w:r>
          </w:p>
        </w:tc>
        <w:tc>
          <w:tcPr>
            <w:tcW w:type="dxa" w:w="2209"/>
          </w:tcPr>
          <w:p>
            <w:r>
              <w:rPr>
                <w:sz w:val="20"/>
              </w:rPr>
              <w:t>H1成熟部分の切り離し</w:t>
            </w:r>
          </w:p>
        </w:tc>
      </w:tr>
      <w:tr>
        <w:tc>
          <w:tcPr>
            <w:tcW w:type="dxa" w:w="2209"/>
          </w:tcPr>
          <w:p>
            <w:r>
              <w:rPr>
                <w:sz w:val="20"/>
              </w:rPr>
              <w:t>Apptio買収</w:t>
            </w:r>
          </w:p>
        </w:tc>
        <w:tc>
          <w:tcPr>
            <w:tcW w:type="dxa" w:w="2209"/>
          </w:tcPr>
          <w:p>
            <w:r>
              <w:rPr>
                <w:sz w:val="20"/>
              </w:rPr>
              <w:t>2023</w:t>
            </w:r>
          </w:p>
        </w:tc>
        <w:tc>
          <w:tcPr>
            <w:tcW w:type="dxa" w:w="2209"/>
          </w:tcPr>
          <w:p>
            <w:r>
              <w:rPr>
                <w:sz w:val="20"/>
              </w:rPr>
              <w:t>$46億</w:t>
            </w:r>
          </w:p>
        </w:tc>
        <w:tc>
          <w:tcPr>
            <w:tcW w:type="dxa" w:w="2209"/>
          </w:tcPr>
          <w:p>
            <w:r>
              <w:rPr>
                <w:sz w:val="20"/>
              </w:rPr>
              <w:t>H2強化</w:t>
            </w:r>
          </w:p>
        </w:tc>
      </w:tr>
      <w:tr>
        <w:tc>
          <w:tcPr>
            <w:tcW w:type="dxa" w:w="2209"/>
          </w:tcPr>
          <w:p>
            <w:r>
              <w:rPr>
                <w:sz w:val="20"/>
              </w:rPr>
              <w:t>HashiCorp買収</w:t>
            </w:r>
          </w:p>
        </w:tc>
        <w:tc>
          <w:tcPr>
            <w:tcW w:type="dxa" w:w="2209"/>
          </w:tcPr>
          <w:p>
            <w:r>
              <w:rPr>
                <w:sz w:val="20"/>
              </w:rPr>
              <w:t>2025</w:t>
            </w:r>
          </w:p>
        </w:tc>
        <w:tc>
          <w:tcPr>
            <w:tcW w:type="dxa" w:w="2209"/>
          </w:tcPr>
          <w:p>
            <w:r>
              <w:rPr>
                <w:sz w:val="20"/>
              </w:rPr>
              <w:t>$64億</w:t>
            </w:r>
          </w:p>
        </w:tc>
        <w:tc>
          <w:tcPr>
            <w:tcW w:type="dxa" w:w="2209"/>
          </w:tcPr>
          <w:p>
            <w:r>
              <w:rPr>
                <w:sz w:val="20"/>
              </w:rPr>
              <w:t>H1/H2強化</w:t>
            </w:r>
          </w:p>
        </w:tc>
      </w:tr>
      <w:tr>
        <w:tc>
          <w:tcPr>
            <w:tcW w:type="dxa" w:w="2209"/>
          </w:tcPr>
          <w:p>
            <w:r>
              <w:rPr>
                <w:sz w:val="20"/>
              </w:rPr>
              <w:t>Confluent買収</w:t>
            </w:r>
          </w:p>
        </w:tc>
        <w:tc>
          <w:tcPr>
            <w:tcW w:type="dxa" w:w="2209"/>
          </w:tcPr>
          <w:p>
            <w:r>
              <w:rPr>
                <w:sz w:val="20"/>
              </w:rPr>
              <w:t>2025-26</w:t>
            </w:r>
          </w:p>
        </w:tc>
        <w:tc>
          <w:tcPr>
            <w:tcW w:type="dxa" w:w="2209"/>
          </w:tcPr>
          <w:p>
            <w:r>
              <w:rPr>
                <w:sz w:val="20"/>
              </w:rPr>
              <w:t>$110億</w:t>
            </w:r>
          </w:p>
        </w:tc>
        <w:tc>
          <w:tcPr>
            <w:tcW w:type="dxa" w:w="2209"/>
          </w:tcPr>
          <w:p>
            <w:r>
              <w:rPr>
                <w:sz w:val="20"/>
              </w:rPr>
              <w:t>H2強化</w:t>
            </w:r>
          </w:p>
        </w:tc>
      </w:tr>
    </w:tbl>
    <w:p/>
    <w:p>
      <w:pPr>
        <w:pStyle w:val="Heading1"/>
      </w:pPr>
      <w:r>
        <w:t>第5部　売上構成比の構造変化</w:t>
      </w:r>
    </w:p>
    <w:p>
      <w:pPr/>
      <w:r>
        <w:t>Kyndryl分社化後のIBMの売上構成は、ソフトウェアへのシフトが鮮明である。2022年にはSoftwareが$250億（全体の41%）であったが、2025年には$300億（44%）に成長した。Krishna CEO就任時の22%から45%への倍増は、IBMがH2（AI・自動化）をH1に組み込んでいく過程そのものを反映している。ソフトウェア事業はサブスクリプション型の経常収益が多く利益率も高いため、この構造変化はIBMの収益性向上にも直結している。</w:t>
      </w:r>
    </w:p>
    <w:tbl>
      <w:tblPr>
        <w:tblStyle w:val="LightGrid-Accent1"/>
        <w:tblW w:type="auto" w:w="0"/>
        <w:jc w:val="center"/>
        <w:tblLook w:firstColumn="1" w:firstRow="1" w:lastColumn="0" w:lastRow="0" w:noHBand="0" w:noVBand="1" w:val="04A0"/>
      </w:tblPr>
      <w:tblGrid>
        <w:gridCol w:w="1768"/>
        <w:gridCol w:w="1768"/>
        <w:gridCol w:w="1768"/>
        <w:gridCol w:w="1768"/>
        <w:gridCol w:w="1768"/>
      </w:tblGrid>
      <w:tr>
        <w:tc>
          <w:tcPr>
            <w:tcW w:type="dxa" w:w="1768"/>
          </w:tcPr>
          <w:p>
            <w:r>
              <w:rPr>
                <w:b/>
                <w:sz w:val="20"/>
              </w:rPr>
              <w:t>年度</w:t>
            </w:r>
          </w:p>
        </w:tc>
        <w:tc>
          <w:tcPr>
            <w:tcW w:type="dxa" w:w="1768"/>
          </w:tcPr>
          <w:p>
            <w:r>
              <w:rPr>
                <w:b/>
                <w:sz w:val="20"/>
              </w:rPr>
              <w:t>Software</w:t>
            </w:r>
          </w:p>
        </w:tc>
        <w:tc>
          <w:tcPr>
            <w:tcW w:type="dxa" w:w="1768"/>
          </w:tcPr>
          <w:p>
            <w:r>
              <w:rPr>
                <w:b/>
                <w:sz w:val="20"/>
              </w:rPr>
              <w:t>Consulting</w:t>
            </w:r>
          </w:p>
        </w:tc>
        <w:tc>
          <w:tcPr>
            <w:tcW w:type="dxa" w:w="1768"/>
          </w:tcPr>
          <w:p>
            <w:r>
              <w:rPr>
                <w:b/>
                <w:sz w:val="20"/>
              </w:rPr>
              <w:t>Infrastructure</w:t>
            </w:r>
          </w:p>
        </w:tc>
        <w:tc>
          <w:tcPr>
            <w:tcW w:type="dxa" w:w="1768"/>
          </w:tcPr>
          <w:p>
            <w:r>
              <w:rPr>
                <w:b/>
                <w:sz w:val="20"/>
              </w:rPr>
              <w:t>合計</w:t>
            </w:r>
          </w:p>
        </w:tc>
      </w:tr>
      <w:tr>
        <w:tc>
          <w:tcPr>
            <w:tcW w:type="dxa" w:w="1768"/>
          </w:tcPr>
          <w:p>
            <w:r>
              <w:rPr>
                <w:sz w:val="20"/>
              </w:rPr>
              <w:t>2022</w:t>
            </w:r>
          </w:p>
        </w:tc>
        <w:tc>
          <w:tcPr>
            <w:tcW w:type="dxa" w:w="1768"/>
          </w:tcPr>
          <w:p>
            <w:r>
              <w:rPr>
                <w:sz w:val="20"/>
              </w:rPr>
              <w:t>$250億 (41%)</w:t>
            </w:r>
          </w:p>
        </w:tc>
        <w:tc>
          <w:tcPr>
            <w:tcW w:type="dxa" w:w="1768"/>
          </w:tcPr>
          <w:p>
            <w:r>
              <w:rPr>
                <w:sz w:val="20"/>
              </w:rPr>
              <w:t>$191億 (32%)</w:t>
            </w:r>
          </w:p>
        </w:tc>
        <w:tc>
          <w:tcPr>
            <w:tcW w:type="dxa" w:w="1768"/>
          </w:tcPr>
          <w:p>
            <w:r>
              <w:rPr>
                <w:sz w:val="20"/>
              </w:rPr>
              <w:t>$153億 (25%)</w:t>
            </w:r>
          </w:p>
        </w:tc>
        <w:tc>
          <w:tcPr>
            <w:tcW w:type="dxa" w:w="1768"/>
          </w:tcPr>
          <w:p>
            <w:r>
              <w:rPr>
                <w:sz w:val="20"/>
              </w:rPr>
              <w:t>$605億</w:t>
            </w:r>
          </w:p>
        </w:tc>
      </w:tr>
      <w:tr>
        <w:tc>
          <w:tcPr>
            <w:tcW w:type="dxa" w:w="1768"/>
          </w:tcPr>
          <w:p>
            <w:r>
              <w:rPr>
                <w:sz w:val="20"/>
              </w:rPr>
              <w:t>2023</w:t>
            </w:r>
          </w:p>
        </w:tc>
        <w:tc>
          <w:tcPr>
            <w:tcW w:type="dxa" w:w="1768"/>
          </w:tcPr>
          <w:p>
            <w:r>
              <w:rPr>
                <w:sz w:val="20"/>
              </w:rPr>
              <w:t>$263億 (43%)</w:t>
            </w:r>
          </w:p>
        </w:tc>
        <w:tc>
          <w:tcPr>
            <w:tcW w:type="dxa" w:w="1768"/>
          </w:tcPr>
          <w:p>
            <w:r>
              <w:rPr>
                <w:sz w:val="20"/>
              </w:rPr>
              <w:t>$200億 (32%)</w:t>
            </w:r>
          </w:p>
        </w:tc>
        <w:tc>
          <w:tcPr>
            <w:tcW w:type="dxa" w:w="1768"/>
          </w:tcPr>
          <w:p>
            <w:r>
              <w:rPr>
                <w:sz w:val="20"/>
              </w:rPr>
              <w:t>$148億 (24%)</w:t>
            </w:r>
          </w:p>
        </w:tc>
        <w:tc>
          <w:tcPr>
            <w:tcW w:type="dxa" w:w="1768"/>
          </w:tcPr>
          <w:p>
            <w:r>
              <w:rPr>
                <w:sz w:val="20"/>
              </w:rPr>
              <w:t>$619億</w:t>
            </w:r>
          </w:p>
        </w:tc>
      </w:tr>
      <w:tr>
        <w:tc>
          <w:tcPr>
            <w:tcW w:type="dxa" w:w="1768"/>
          </w:tcPr>
          <w:p>
            <w:r>
              <w:rPr>
                <w:sz w:val="20"/>
              </w:rPr>
              <w:t>2024</w:t>
            </w:r>
          </w:p>
        </w:tc>
        <w:tc>
          <w:tcPr>
            <w:tcW w:type="dxa" w:w="1768"/>
          </w:tcPr>
          <w:p>
            <w:r>
              <w:rPr>
                <w:sz w:val="20"/>
              </w:rPr>
              <w:t>$275億 (44%)</w:t>
            </w:r>
          </w:p>
        </w:tc>
        <w:tc>
          <w:tcPr>
            <w:tcW w:type="dxa" w:w="1768"/>
          </w:tcPr>
          <w:p>
            <w:r>
              <w:rPr>
                <w:sz w:val="20"/>
              </w:rPr>
              <w:t>$202億 (32%)</w:t>
            </w:r>
          </w:p>
        </w:tc>
        <w:tc>
          <w:tcPr>
            <w:tcW w:type="dxa" w:w="1768"/>
          </w:tcPr>
          <w:p>
            <w:r>
              <w:rPr>
                <w:sz w:val="20"/>
              </w:rPr>
              <w:t>$143億 (23%)</w:t>
            </w:r>
          </w:p>
        </w:tc>
        <w:tc>
          <w:tcPr>
            <w:tcW w:type="dxa" w:w="1768"/>
          </w:tcPr>
          <w:p>
            <w:r>
              <w:rPr>
                <w:sz w:val="20"/>
              </w:rPr>
              <w:t>$628億</w:t>
            </w:r>
          </w:p>
        </w:tc>
      </w:tr>
      <w:tr>
        <w:tc>
          <w:tcPr>
            <w:tcW w:type="dxa" w:w="1768"/>
          </w:tcPr>
          <w:p>
            <w:r>
              <w:rPr>
                <w:sz w:val="20"/>
              </w:rPr>
              <w:t>2025</w:t>
            </w:r>
          </w:p>
        </w:tc>
        <w:tc>
          <w:tcPr>
            <w:tcW w:type="dxa" w:w="1768"/>
          </w:tcPr>
          <w:p>
            <w:r>
              <w:rPr>
                <w:sz w:val="20"/>
              </w:rPr>
              <w:t>$300億 (44%)</w:t>
            </w:r>
          </w:p>
        </w:tc>
        <w:tc>
          <w:tcPr>
            <w:tcW w:type="dxa" w:w="1768"/>
          </w:tcPr>
          <w:p>
            <w:r>
              <w:rPr>
                <w:sz w:val="20"/>
              </w:rPr>
              <w:t>$211億 (31%)</w:t>
            </w:r>
          </w:p>
        </w:tc>
        <w:tc>
          <w:tcPr>
            <w:tcW w:type="dxa" w:w="1768"/>
          </w:tcPr>
          <w:p>
            <w:r>
              <w:rPr>
                <w:sz w:val="20"/>
              </w:rPr>
              <w:t>$157億 (23%)</w:t>
            </w:r>
          </w:p>
        </w:tc>
        <w:tc>
          <w:tcPr>
            <w:tcW w:type="dxa" w:w="1768"/>
          </w:tcPr>
          <w:p>
            <w:r>
              <w:rPr>
                <w:sz w:val="20"/>
              </w:rPr>
              <w:t>$675億</w:t>
            </w:r>
          </w:p>
        </w:tc>
      </w:tr>
    </w:tbl>
    <w:p/>
    <w:p>
      <w:r>
        <w:br w:type="page"/>
      </w:r>
    </w:p>
    <w:p>
      <w:pPr>
        <w:pStyle w:val="Heading1"/>
      </w:pPr>
      <w:r>
        <w:t>第6部　他社との比較分析</w:t>
      </w:r>
    </w:p>
    <w:p>
      <w:pPr>
        <w:pStyle w:val="Heading2"/>
      </w:pPr>
      <w:r>
        <w:t>Google：安定したH1が支える大胆なH3</w:t>
      </w:r>
    </w:p>
    <w:p>
      <w:pPr/>
      <w:r>
        <w:t>Google（Alphabet）は、検索広告という極めて強固なH1を持つ企業である。売上の約80%を占める広告事業は圧倒的なキャッシュ創出力を持ち、25年以上にわたりH1であり続けている。この安定したH1があるからこそ、「Other Bets」と呼ばれるH3群——Waymo、Verily、Willow等——に対して、損失を全体売上の2%以下に管理しながら大胆な投資を続けることができる。2015年のAlphabet設立は、H3をH1から財務的・組織的に分離するという、Three Horizonsの教科書的な構造改革であった。</w:t>
      </w:r>
    </w:p>
    <w:p>
      <w:pPr>
        <w:pStyle w:val="Heading2"/>
      </w:pPr>
      <w:r>
        <w:t>Microsoft：文化変革によるH2の加速</w:t>
      </w:r>
    </w:p>
    <w:p>
      <w:pPr/>
      <w:r>
        <w:t>Satya Nadellaが2014年にCEOに就任して以来、Microsoftは「Know-it-all」から「Learn-it-all」への文化変革を推進し、これがH2・H3を可能にする基盤となった。Microsoft 365やWindowsといったH1は30年以上健在であり、Azure、LinkedIn、GitHubがH2として急成長している。特筆すべきはOpenAIとの連携であり、これによりH3（AI）の開発速度が大幅に圧縮された。Fortune 500の65%超がAzure OpenAI Serviceを利用しており、H3→H2移行が驚異的な速さで進んでいる。</w:t>
      </w:r>
    </w:p>
    <w:p>
      <w:pPr>
        <w:pStyle w:val="Heading2"/>
      </w:pPr>
      <w:r>
        <w:t>Amazon：H3→H1移行の成功モデル</w:t>
      </w:r>
    </w:p>
    <w:p>
      <w:pPr/>
      <w:r>
        <w:t>AmazonはThree Horizonsの教科書的ケーススタディとして最も頻繁に引用される。2006年にH3として誕生したAWSは約15年をかけてH1の利益エンジン（営業利益の50-60%）にまで成長した。重要なのは、Amazonは既存のH1（EC小売）を「捨てて」いない点である。H3が成長してH1に「並ぶ」形をとっており、IBMの「H1入れ替え型」とは対照的なアプローチである。</w:t>
      </w:r>
    </w:p>
    <w:p>
      <w:pPr>
        <w:pStyle w:val="Heading2"/>
      </w:pPr>
      <w:r>
        <w:t>日本企業の実践</w:t>
      </w:r>
    </w:p>
    <w:p>
      <w:pPr/>
      <w:r>
        <w:t>日本企業では「Three Horizons」の名称を直接掲げるケースは少ないが、「両利きの経営」やポートフォリオ三層構造の実践は着実に広がっている。</w:t>
      </w:r>
    </w:p>
    <w:p>
      <w:pPr/>
      <w:r>
        <w:t>ソニーグループは、PlayStation・音楽・映画・CMOSイメージセンサー（世界シェア53%）をH1とし、アニメIP事業やSony Honda MobilityをH2、CVCを通じた新領域をH3に位置づけている。CMOSイメージセンサーは2004年のH3的判断が20年後にH1の柱に成長した好例であり、2025年の金融事業スピンオフはIBMのKyndryl分社化と同様の戦略的意図を持つ。</w:t>
      </w:r>
    </w:p>
    <w:p>
      <w:pPr/>
      <w:r>
        <w:t>トヨタのWoven City（2025年入居開始）は、H3を物理的な実験場として体現する世界的にも稀有な事例である。NTTグループはIOWN構想（2032年頃に消費電力1/100を目標）をH3に据え、段階的なロードマップを描いている。また富士フイルムは、写真フィルム市場消滅の中でフィルム技術を異分野に展開し事業転換を成功させた企業として、対照的にH1に執着して破綻したKodakとともに繰り返し引用される。</w:t>
      </w:r>
    </w:p>
    <w:p>
      <w:pPr>
        <w:pStyle w:val="Heading2"/>
      </w:pPr>
      <w:r>
        <w:t>IBMの特殊性</w:t>
      </w:r>
    </w:p>
    <w:p>
      <w:pPr/>
      <w:r>
        <w:t>以上の比較から浮かび上がるIBMの特殊性は、</w:t>
      </w:r>
      <w:r>
        <w:rPr>
          <w:b/>
        </w:rPr>
        <w:t>H1の中身を何度も入れ替えてきた</w:t>
      </w:r>
      <w:r>
        <w:t>という点にある。タビュレーティングマシンからメインフレーム、ITサービス、そしてハイブリッドクラウド+AIと、IBMのH1は約20-30年サイクルで根本的に入れ替わっている。Google、Amazon、Microsoftがいずれも長命なH1を維持・拡張してきたのに対し、IBMはH1自体がコモディティ化しやすいビジネスモデルに立脚してきた。そのため変革は常に「外圧駆動型」となりがちであり、1993年の$81億純損失がその象徴である。</w:t>
      </w:r>
    </w:p>
    <w:p>
      <w:r>
        <w:br w:type="page"/>
      </w:r>
    </w:p>
    <w:p>
      <w:pPr>
        <w:pStyle w:val="Heading1"/>
      </w:pPr>
      <w:r>
        <w:t>第7部　H3→H2移行速度の分析</w:t>
      </w:r>
    </w:p>
    <w:p>
      <w:pPr/>
      <w:r>
        <w:t>各社のH3→H1移行の所要期間を比較すると、一般的には10〜15年を要することがわかる。AmazonのAWSは約15年、GoogleのYouTubeは約10-12年、MicrosoftのAzureは約12年、ソニーのCMOSセンサーは約15-18年である。製薬業界の新薬パイプラインも規制承認の制約から10-15年を要する。</w:t>
      </w:r>
    </w:p>
    <w:p>
      <w:pPr/>
      <w:r>
        <w:t>ただしSteve Blankが指摘する通り、既存技術を新ビジネスモデルで再構成する場合は数年以下で移行が可能である。そしてAI時代においては、AIの能力の時間地平線が4ヶ月ごとに倍増しているという指摘もあり、フレームワークの時間的前提そのものが根本的に揺らいでいる。</w:t>
      </w:r>
    </w:p>
    <w:p>
      <w:pPr>
        <w:pStyle w:val="Heading1"/>
      </w:pPr>
      <w:r>
        <w:t>第8部　量子コンピューティングのH3→H2移行条件</w:t>
      </w:r>
    </w:p>
    <w:p>
      <w:pPr/>
      <w:r>
        <w:t>量子コンピューティングがH3からH2に本格移行するためには、5つの条件が満たされる必要がある。</w:t>
      </w:r>
    </w:p>
    <w:p>
      <w:pPr/>
      <w:r>
        <w:t>第1に、量子優位性の実証である。特定の実用的問題で古典コンピュータを明確に凌駕する実証が不可欠であり、IBMはこれを2026年末までに達成すると予測している。第2に、フォールトトレランスの基礎確立であり、2029年のStarlingがこのマイルストーンとなる。第3に、反復可能な商業価値の創出である。金融、材料、創薬といった特定ドメインで2-10倍の改善を実証する必要があり、これは2028-2030年頃と予測されている。第4に、エコシステムの成熟であるが、60万人超の開発者基盤と約300社のFortune 500参加は既に達成されている。第5に、ハードウェアの工業的スケーラビリティであり、System Twoモジュラーアーキテクチャの安定運用がこれを支える。</w:t>
      </w:r>
    </w:p>
    <w:p>
      <w:pPr/>
      <w:r>
        <w:t>これらを総合すると、量子コンピューティングは現在H3→H2移行の初期段階にあり、2029-2030年頃にH2への本格移行が始まると考えられる。H1への移行は2040年以降になるとの見方が大勢である。</w:t>
      </w:r>
    </w:p>
    <w:p>
      <w:r>
        <w:br w:type="page"/>
      </w:r>
    </w:p>
    <w:p>
      <w:pPr>
        <w:pStyle w:val="Heading1"/>
      </w:pPr>
      <w:r>
        <w:t>第9部　フレームワークの現代的意義</w:t>
      </w:r>
    </w:p>
    <w:p>
      <w:pPr/>
      <w:r>
        <w:t>Three Horizonsフレームワークは提唱から四半世紀以上が経過した今、その有効性について活発な議論が続いている。</w:t>
      </w:r>
    </w:p>
    <w:p>
      <w:pPr/>
      <w:r>
        <w:t>批判派は、AI時代においてH3がH1と同じ速度で実現可能になったことを指摘し、時間軸に依存したフレームワークは機能しないと主張する。確かにChatGPTのようなブレイクスルーは、「遠い将来のH3」を数ヶ月でH2レベルの事業対応を強制するほどのインパクトを持った。</w:t>
      </w:r>
    </w:p>
    <w:p>
      <w:pPr/>
      <w:r>
        <w:t>一方で擁護派は、フレームワークの本質的価値は時間区分にあるのではなく、「確実性の度合い」で事業を分類し、経営層が戦略的な対話を行うための共通言語を提供する点にあると反論する。</w:t>
      </w:r>
    </w:p>
    <w:p>
      <w:pPr/>
      <w:r>
        <w:t>現時点で形成されつつある合意は、以下の3点に集約できる。第1に、時間軸を固定せず「不確実性スペクトル」として使用すべきこと。第2に、H3の実現速度が劇的に加速する可能性を常に前提に置くべきこと。第3に、Three Horizons単体ではなく「両利きの経営」やLean Startup等の実行フレームワークとの組み合わせが不可欠であること。</w:t>
      </w:r>
    </w:p>
    <w:p>
      <w:pPr>
        <w:pStyle w:val="Heading1"/>
      </w:pPr>
      <w:r>
        <w:t>第10部　まとめと示唆</w:t>
      </w:r>
    </w:p>
    <w:p>
      <w:pPr/>
      <w:r>
        <w:t>本調査を通じて明らかになったIBMの特徴は、以下の3点に集約される。</w:t>
      </w:r>
    </w:p>
    <w:p>
      <w:pPr/>
      <w:r>
        <w:t>第1に、IBMは110年以上の歴史の中でH1の中身を繰り返し入れ替えてきた、世界でも希有な企業であるということ。Google、Amazon、Microsoftがいずれも長命なH1を持つのに対し、IBMは外部環境の変化に対応してH1そのものを根本的に転換してきた。この「H1入れ替え型」の経営は、リスクが高い反面、110年以上の企業存続を可能にした原動力でもある。</w:t>
      </w:r>
    </w:p>
    <w:p>
      <w:pPr/>
      <w:r>
        <w:t>第2に、IBMは大胆なM&amp;Aによるポートフォリオ組み換えをH2→H1シフトの主要な手段として活用しているということ。Red Hat（$340億）、HashiCorp（$64億）、Confluent（$110億）といった大型買収と、Kyndryl分社化やPC事業売却といった事業の切り離しを組み合わせることで、ポートフォリオの新陳代謝を加速させている。</w:t>
      </w:r>
    </w:p>
    <w:p>
      <w:pPr/>
      <w:r>
        <w:t>第3に、現在のIBMは、ハイブリッドクラウド（Red Hat）がH1に定着し、watsonx（生成AI）がH2として急成長中（累積受注$125億超）であり、量子コンピューティングがH3の中核（$300億の投資計画）を担うという、Three Horizonsの理想的な三層構造を実現しつつあるということ。</w:t>
      </w:r>
    </w:p>
    <w:p>
      <w:pPr/>
      <w:r>
        <w:t>フレームワークの活用に関しては、Three Horizonsを「時間軸」ではなく「確実性と成熟度」のスペクトルとして読み替えることが、AI時代における適切な運用法であると考えられる。また、IBMが2000年に開始したEBOプログラムは、H3を組織的に管理するための実務モデルとして今なお参考になる。そして何より、AI時代にはH3の時間地平線が急速に圧縮されているため、すべてのホライズンへの同時投資が従来以上に重要性を増している。</w:t>
      </w:r>
    </w:p>
    <w:p>
      <w:r>
        <w:br w:type="page"/>
      </w:r>
    </w:p>
    <w:p>
      <w:pPr>
        <w:pStyle w:val="Heading1"/>
      </w:pPr>
      <w:r>
        <w:t>参考文献</w:t>
      </w:r>
    </w:p>
    <w:p>
      <w:pPr>
        <w:pStyle w:val="Heading2"/>
      </w:pPr>
      <w:r>
        <w:t>書籍</w:t>
      </w:r>
    </w:p>
    <w:p>
      <w:pPr/>
      <w:r>
        <w:t>Baghai, M., Coley, S., White, D. (1999). The Alchemy of Growth: Practical Insights for Building the Enduring Enterprise. Perseus Publishing.</w:t>
      </w:r>
    </w:p>
    <w:p>
      <w:pPr/>
      <w:r>
        <w:t>Moore, G. (2015). Zone to Win: Organizing to Compete in an Age of Disruption. Diversion Books.</w:t>
      </w:r>
    </w:p>
    <w:p>
      <w:pPr/>
      <w:r>
        <w:t>O'Reilly, C., Tushman, M. (2016). Lead and Disrupt: How to Solve the Innovator's Dilemma. Stanford Business Books.（邦訳『両利きの経営』入山章栄解説、東洋経済新報社）</w:t>
      </w:r>
    </w:p>
    <w:p>
      <w:pPr>
        <w:pStyle w:val="Heading2"/>
      </w:pPr>
      <w:r>
        <w:t>学術論文・記事</w:t>
      </w:r>
    </w:p>
    <w:p>
      <w:pPr/>
      <w:r>
        <w:t>Blank, S. (2019). "McKinsey's Three Horizons Model Defined Innovation for Years. Here's Why It No Longer Applies." Harvard Business Review.</w:t>
      </w:r>
    </w:p>
    <w:p>
      <w:pPr/>
      <w:r>
        <w:t>Nagji, B., Tuff, G. (2012). "Managing Your Innovation Portfolio." Harvard Business Review.</w:t>
      </w:r>
    </w:p>
    <w:p>
      <w:pPr/>
      <w:r>
        <w:t>Sharpe, B. et al. (2016). "Three horizons: a pathways practice for transformation." Ecology &amp; Society.</w:t>
      </w:r>
    </w:p>
    <w:p>
      <w:pPr>
        <w:pStyle w:val="Heading2"/>
      </w:pPr>
      <w:r>
        <w:t>IBM公式資料</w:t>
      </w:r>
    </w:p>
    <w:p>
      <w:pPr/>
      <w:r>
        <w:t>IBM 2025 Investor Day資料. IBM Q4 2025 Results（2026年1月28日発表）. IBM Quantum Roadmap 2025. IBM Newsroom各種プレスリリース.</w:t>
      </w:r>
    </w:p>
    <w:p>
      <w:pPr>
        <w:pStyle w:val="Heading2"/>
      </w:pPr>
      <w:r>
        <w:t>アナリスト・メディア</w:t>
      </w:r>
    </w:p>
    <w:p>
      <w:pPr/>
      <w:r>
        <w:t>McKinsey: Arvind Krishnaインタビュー. Gartner: 2025 AI Vendor Race Report、7つのMagic Quadrant. Deloitte: Quantum Computing Futures. CNBC: IBM量子累積収益$10億報道（2025年2月）. Seeking Alpha: IBM 2025 Investor Day分析.</w:t>
      </w:r>
    </w:p>
    <w:p>
      <w:pPr>
        <w:pStyle w:val="Heading2"/>
      </w:pPr>
      <w:r>
        <w:t>日本語資料</w:t>
      </w:r>
    </w:p>
    <w:p>
      <w:pPr/>
      <w:r>
        <w:t>NTTデータ経営研究所 x IFTF「AIを活用した組織と仕事の未来〜3つのホライゾン〜」（2024年3月）. Diamond Harvard Business Review日本語版. 入山章栄「世界標準の経営理論」連載（ダイヤモンド社）.</w:t>
      </w:r>
    </w:p>
    <w:p/>
    <w:p>
      <w:r>
        <w:rPr>
          <w:i/>
        </w:rPr>
        <w:t>注: 本レポートは2025年5月までのAI知識ベース、および2026年3月時点のWeb検索結果に基づく。</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