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EndPr/>
      <w:sdtContent>
        <w:p w14:paraId="71351FA3" w14:textId="77777777"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CC391E" w:rsidRDefault="00CC391E">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525FC2BA" w:rsidR="00CC391E" w:rsidRDefault="006669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63EA">
                                      <w:rPr>
                                        <w:color w:val="595959" w:themeColor="text1" w:themeTint="A6"/>
                                        <w:sz w:val="18"/>
                                        <w:szCs w:val="18"/>
                                      </w:rPr>
                                      <w:t>Jun 06</w:t>
                                    </w:r>
                                    <w:r w:rsidR="00CC391E">
                                      <w:rPr>
                                        <w:color w:val="595959" w:themeColor="text1" w:themeTint="A6"/>
                                        <w:sz w:val="18"/>
                                        <w:szCs w:val="18"/>
                                      </w:rPr>
                                      <w:t>, 20</w:t>
                                    </w:r>
                                    <w:r w:rsidR="00412FBC">
                                      <w:rPr>
                                        <w:color w:val="595959" w:themeColor="text1" w:themeTint="A6"/>
                                        <w:sz w:val="18"/>
                                        <w:szCs w:val="18"/>
                                      </w:rPr>
                                      <w:t>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CC391E" w:rsidRDefault="00CC391E">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525FC2BA" w:rsidR="00CC391E" w:rsidRDefault="006669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63EA">
                                <w:rPr>
                                  <w:color w:val="595959" w:themeColor="text1" w:themeTint="A6"/>
                                  <w:sz w:val="18"/>
                                  <w:szCs w:val="18"/>
                                </w:rPr>
                                <w:t>Jun 06</w:t>
                              </w:r>
                              <w:r w:rsidR="00CC391E">
                                <w:rPr>
                                  <w:color w:val="595959" w:themeColor="text1" w:themeTint="A6"/>
                                  <w:sz w:val="18"/>
                                  <w:szCs w:val="18"/>
                                </w:rPr>
                                <w:t>, 20</w:t>
                              </w:r>
                              <w:r w:rsidR="00412FBC">
                                <w:rPr>
                                  <w:color w:val="595959" w:themeColor="text1" w:themeTint="A6"/>
                                  <w:sz w:val="18"/>
                                  <w:szCs w:val="18"/>
                                </w:rPr>
                                <w:t>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1EDCF73" w:rsidR="00CC391E" w:rsidRDefault="00CC391E">
                                <w:pPr>
                                  <w:pStyle w:val="NoSpacing"/>
                                  <w:jc w:val="right"/>
                                  <w:rPr>
                                    <w:color w:val="4472C4" w:themeColor="accent1"/>
                                    <w:sz w:val="28"/>
                                    <w:szCs w:val="28"/>
                                  </w:rPr>
                                </w:pPr>
                                <w:r>
                                  <w:rPr>
                                    <w:color w:val="4472C4" w:themeColor="accent1"/>
                                    <w:sz w:val="28"/>
                                    <w:szCs w:val="28"/>
                                  </w:rPr>
                                  <w:t xml:space="preserve">Spring </w:t>
                                </w:r>
                                <w:r w:rsidR="00412FBC">
                                  <w:rPr>
                                    <w:color w:val="4472C4" w:themeColor="accent1"/>
                                    <w:sz w:val="28"/>
                                    <w:szCs w:val="28"/>
                                  </w:rPr>
                                  <w:t>2020</w:t>
                                </w:r>
                                <w:r>
                                  <w:rPr>
                                    <w:color w:val="4472C4" w:themeColor="accent1"/>
                                    <w:sz w:val="28"/>
                                    <w:szCs w:val="28"/>
                                  </w:rPr>
                                  <w:t xml:space="preserve"> CPS Quarter Term </w:t>
                                </w:r>
                                <w:r w:rsidR="00991879">
                                  <w:rPr>
                                    <w:color w:val="4472C4" w:themeColor="accent1"/>
                                    <w:sz w:val="28"/>
                                    <w:szCs w:val="28"/>
                                  </w:rPr>
                                  <w:t>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CC391E" w:rsidRDefault="00991879">
                                    <w:pPr>
                                      <w:pStyle w:val="NoSpacing"/>
                                      <w:jc w:val="right"/>
                                      <w:rPr>
                                        <w:color w:val="595959" w:themeColor="text1" w:themeTint="A6"/>
                                        <w:sz w:val="20"/>
                                        <w:szCs w:val="20"/>
                                      </w:rPr>
                                    </w:pPr>
                                    <w:r w:rsidRPr="00991879">
                                      <w:rPr>
                                        <w:color w:val="595959" w:themeColor="text1" w:themeTint="A6"/>
                                        <w:sz w:val="20"/>
                                        <w:szCs w:val="20"/>
                                      </w:rPr>
                                      <w:t xml:space="preserve">Instructor: </w:t>
                                    </w:r>
                                    <w:r w:rsidR="00412FBC">
                                      <w:rPr>
                                        <w:color w:val="595959" w:themeColor="text1" w:themeTint="A6"/>
                                        <w:sz w:val="20"/>
                                        <w:szCs w:val="20"/>
                                      </w:rPr>
                                      <w:t>Danielle Mauro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1EDCF73" w:rsidR="00CC391E" w:rsidRDefault="00CC391E">
                          <w:pPr>
                            <w:pStyle w:val="NoSpacing"/>
                            <w:jc w:val="right"/>
                            <w:rPr>
                              <w:color w:val="4472C4" w:themeColor="accent1"/>
                              <w:sz w:val="28"/>
                              <w:szCs w:val="28"/>
                            </w:rPr>
                          </w:pPr>
                          <w:r>
                            <w:rPr>
                              <w:color w:val="4472C4" w:themeColor="accent1"/>
                              <w:sz w:val="28"/>
                              <w:szCs w:val="28"/>
                            </w:rPr>
                            <w:t xml:space="preserve">Spring </w:t>
                          </w:r>
                          <w:r w:rsidR="00412FBC">
                            <w:rPr>
                              <w:color w:val="4472C4" w:themeColor="accent1"/>
                              <w:sz w:val="28"/>
                              <w:szCs w:val="28"/>
                            </w:rPr>
                            <w:t>2020</w:t>
                          </w:r>
                          <w:r>
                            <w:rPr>
                              <w:color w:val="4472C4" w:themeColor="accent1"/>
                              <w:sz w:val="28"/>
                              <w:szCs w:val="28"/>
                            </w:rPr>
                            <w:t xml:space="preserve"> CPS Quarter Term </w:t>
                          </w:r>
                          <w:r w:rsidR="00991879">
                            <w:rPr>
                              <w:color w:val="4472C4" w:themeColor="accent1"/>
                              <w:sz w:val="28"/>
                              <w:szCs w:val="28"/>
                            </w:rPr>
                            <w:t>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CC391E" w:rsidRDefault="00991879">
                              <w:pPr>
                                <w:pStyle w:val="NoSpacing"/>
                                <w:jc w:val="right"/>
                                <w:rPr>
                                  <w:color w:val="595959" w:themeColor="text1" w:themeTint="A6"/>
                                  <w:sz w:val="20"/>
                                  <w:szCs w:val="20"/>
                                </w:rPr>
                              </w:pPr>
                              <w:r w:rsidRPr="00991879">
                                <w:rPr>
                                  <w:color w:val="595959" w:themeColor="text1" w:themeTint="A6"/>
                                  <w:sz w:val="20"/>
                                  <w:szCs w:val="20"/>
                                </w:rPr>
                                <w:t xml:space="preserve">Instructor: </w:t>
                              </w:r>
                              <w:r w:rsidR="00412FBC">
                                <w:rPr>
                                  <w:color w:val="595959" w:themeColor="text1" w:themeTint="A6"/>
                                  <w:sz w:val="20"/>
                                  <w:szCs w:val="20"/>
                                </w:rPr>
                                <w:t>Danielle Mauro</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12B48E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6B60A2A4" w:rsidR="00CC391E" w:rsidRPr="00196112" w:rsidRDefault="006669B9">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190FD6" w:rsidRPr="00190FD6">
                                      <w:rPr>
                                        <w:rFonts w:cs="Times New Roman (Body CS)" w:hint="eastAsia"/>
                                        <w:smallCaps/>
                                        <w:color w:val="4472C4" w:themeColor="accent1"/>
                                        <w:sz w:val="64"/>
                                        <w:szCs w:val="64"/>
                                      </w:rPr>
                                      <w:t>Project</w:t>
                                    </w:r>
                                    <w:r w:rsidR="00C1509C">
                                      <w:rPr>
                                        <w:rFonts w:cs="Times New Roman (Body CS)"/>
                                        <w:smallCaps/>
                                        <w:color w:val="4472C4" w:themeColor="accent1"/>
                                        <w:sz w:val="64"/>
                                        <w:szCs w:val="64"/>
                                      </w:rPr>
                                      <w:t xml:space="preserve"> </w:t>
                                    </w:r>
                                    <w:r w:rsidR="002363EA">
                                      <w:rPr>
                                        <w:rFonts w:cs="Times New Roman (Body CS)"/>
                                        <w:smallCaps/>
                                        <w:color w:val="4472C4" w:themeColor="accent1"/>
                                        <w:sz w:val="64"/>
                                        <w:szCs w:val="64"/>
                                      </w:rPr>
                                      <w:t>3</w:t>
                                    </w:r>
                                    <w:r w:rsidR="00190FD6" w:rsidRPr="00190FD6">
                                      <w:rPr>
                                        <w:rFonts w:cs="Times New Roman (Body CS)" w:hint="eastAsia"/>
                                        <w:smallCaps/>
                                        <w:color w:val="4472C4" w:themeColor="accent1"/>
                                        <w:sz w:val="64"/>
                                        <w:szCs w:val="64"/>
                                      </w:rPr>
                                      <w:t xml:space="preserve">: </w:t>
                                    </w:r>
                                    <w:r w:rsidR="00C1509C">
                                      <w:rPr>
                                        <w:rFonts w:cs="Times New Roman (Body CS)"/>
                                        <w:smallCaps/>
                                        <w:color w:val="4472C4" w:themeColor="accent1"/>
                                        <w:sz w:val="64"/>
                                        <w:szCs w:val="64"/>
                                      </w:rPr>
                                      <w:br/>
                                    </w:r>
                                    <w:r w:rsidR="002363EA">
                                      <w:rPr>
                                        <w:rFonts w:cs="Times New Roman (Body CS)"/>
                                        <w:smallCaps/>
                                        <w:color w:val="4472C4" w:themeColor="accent1"/>
                                        <w:sz w:val="64"/>
                                        <w:szCs w:val="64"/>
                                      </w:rPr>
                                      <w:t>Price Predictions Project</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CC391E" w:rsidRDefault="00CC391E">
                                    <w:pPr>
                                      <w:jc w:val="right"/>
                                      <w:rPr>
                                        <w:smallCaps/>
                                        <w:color w:val="404040" w:themeColor="text1" w:themeTint="BF"/>
                                        <w:sz w:val="36"/>
                                        <w:szCs w:val="36"/>
                                      </w:rPr>
                                    </w:pPr>
                                    <w:r w:rsidRPr="000357F6">
                                      <w:rPr>
                                        <w:rFonts w:hint="eastAsia"/>
                                        <w:color w:val="404040" w:themeColor="text1" w:themeTint="BF"/>
                                        <w:sz w:val="36"/>
                                        <w:szCs w:val="36"/>
                                      </w:rPr>
                                      <w:t>ALY 60</w:t>
                                    </w:r>
                                    <w:r w:rsidR="00412FBC">
                                      <w:rPr>
                                        <w:color w:val="404040" w:themeColor="text1" w:themeTint="BF"/>
                                        <w:sz w:val="36"/>
                                        <w:szCs w:val="36"/>
                                      </w:rPr>
                                      <w:t>5</w:t>
                                    </w:r>
                                    <w:r w:rsidR="00991879">
                                      <w:rPr>
                                        <w:color w:val="404040" w:themeColor="text1" w:themeTint="BF"/>
                                        <w:sz w:val="36"/>
                                        <w:szCs w:val="36"/>
                                      </w:rPr>
                                      <w:t>0</w:t>
                                    </w:r>
                                    <w:r w:rsidRPr="000357F6">
                                      <w:rPr>
                                        <w:rFonts w:hint="eastAsia"/>
                                        <w:color w:val="404040" w:themeColor="text1" w:themeTint="BF"/>
                                        <w:sz w:val="36"/>
                                        <w:szCs w:val="36"/>
                                      </w:rPr>
                                      <w:t>_</w:t>
                                    </w:r>
                                    <w:r w:rsidR="00412FBC">
                                      <w:rPr>
                                        <w:color w:val="404040" w:themeColor="text1" w:themeTint="BF"/>
                                        <w:sz w:val="36"/>
                                        <w:szCs w:val="36"/>
                                      </w:rPr>
                                      <w:t>Introduction to Enterprise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6B60A2A4" w:rsidR="00CC391E" w:rsidRPr="00196112" w:rsidRDefault="006669B9">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190FD6" w:rsidRPr="00190FD6">
                                <w:rPr>
                                  <w:rFonts w:cs="Times New Roman (Body CS)" w:hint="eastAsia"/>
                                  <w:smallCaps/>
                                  <w:color w:val="4472C4" w:themeColor="accent1"/>
                                  <w:sz w:val="64"/>
                                  <w:szCs w:val="64"/>
                                </w:rPr>
                                <w:t>Project</w:t>
                              </w:r>
                              <w:r w:rsidR="00C1509C">
                                <w:rPr>
                                  <w:rFonts w:cs="Times New Roman (Body CS)"/>
                                  <w:smallCaps/>
                                  <w:color w:val="4472C4" w:themeColor="accent1"/>
                                  <w:sz w:val="64"/>
                                  <w:szCs w:val="64"/>
                                </w:rPr>
                                <w:t xml:space="preserve"> </w:t>
                              </w:r>
                              <w:r w:rsidR="002363EA">
                                <w:rPr>
                                  <w:rFonts w:cs="Times New Roman (Body CS)"/>
                                  <w:smallCaps/>
                                  <w:color w:val="4472C4" w:themeColor="accent1"/>
                                  <w:sz w:val="64"/>
                                  <w:szCs w:val="64"/>
                                </w:rPr>
                                <w:t>3</w:t>
                              </w:r>
                              <w:r w:rsidR="00190FD6" w:rsidRPr="00190FD6">
                                <w:rPr>
                                  <w:rFonts w:cs="Times New Roman (Body CS)" w:hint="eastAsia"/>
                                  <w:smallCaps/>
                                  <w:color w:val="4472C4" w:themeColor="accent1"/>
                                  <w:sz w:val="64"/>
                                  <w:szCs w:val="64"/>
                                </w:rPr>
                                <w:t xml:space="preserve">: </w:t>
                              </w:r>
                              <w:r w:rsidR="00C1509C">
                                <w:rPr>
                                  <w:rFonts w:cs="Times New Roman (Body CS)"/>
                                  <w:smallCaps/>
                                  <w:color w:val="4472C4" w:themeColor="accent1"/>
                                  <w:sz w:val="64"/>
                                  <w:szCs w:val="64"/>
                                </w:rPr>
                                <w:br/>
                              </w:r>
                              <w:r w:rsidR="002363EA">
                                <w:rPr>
                                  <w:rFonts w:cs="Times New Roman (Body CS)"/>
                                  <w:smallCaps/>
                                  <w:color w:val="4472C4" w:themeColor="accent1"/>
                                  <w:sz w:val="64"/>
                                  <w:szCs w:val="64"/>
                                </w:rPr>
                                <w:t>Price Predictions Project</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CC391E" w:rsidRDefault="00CC391E">
                              <w:pPr>
                                <w:jc w:val="right"/>
                                <w:rPr>
                                  <w:smallCaps/>
                                  <w:color w:val="404040" w:themeColor="text1" w:themeTint="BF"/>
                                  <w:sz w:val="36"/>
                                  <w:szCs w:val="36"/>
                                </w:rPr>
                              </w:pPr>
                              <w:r w:rsidRPr="000357F6">
                                <w:rPr>
                                  <w:rFonts w:hint="eastAsia"/>
                                  <w:color w:val="404040" w:themeColor="text1" w:themeTint="BF"/>
                                  <w:sz w:val="36"/>
                                  <w:szCs w:val="36"/>
                                </w:rPr>
                                <w:t>ALY 60</w:t>
                              </w:r>
                              <w:r w:rsidR="00412FBC">
                                <w:rPr>
                                  <w:color w:val="404040" w:themeColor="text1" w:themeTint="BF"/>
                                  <w:sz w:val="36"/>
                                  <w:szCs w:val="36"/>
                                </w:rPr>
                                <w:t>5</w:t>
                              </w:r>
                              <w:r w:rsidR="00991879">
                                <w:rPr>
                                  <w:color w:val="404040" w:themeColor="text1" w:themeTint="BF"/>
                                  <w:sz w:val="36"/>
                                  <w:szCs w:val="36"/>
                                </w:rPr>
                                <w:t>0</w:t>
                              </w:r>
                              <w:r w:rsidRPr="000357F6">
                                <w:rPr>
                                  <w:rFonts w:hint="eastAsia"/>
                                  <w:color w:val="404040" w:themeColor="text1" w:themeTint="BF"/>
                                  <w:sz w:val="36"/>
                                  <w:szCs w:val="36"/>
                                </w:rPr>
                                <w:t>_</w:t>
                              </w:r>
                              <w:r w:rsidR="00412FBC">
                                <w:rPr>
                                  <w:color w:val="404040" w:themeColor="text1" w:themeTint="BF"/>
                                  <w:sz w:val="36"/>
                                  <w:szCs w:val="36"/>
                                </w:rPr>
                                <w:t>Introduction to Enterprise Analytics</w:t>
                              </w:r>
                            </w:p>
                          </w:sdtContent>
                        </w:sdt>
                      </w:txbxContent>
                    </v:textbox>
                    <w10:wrap type="square" anchorx="page" anchory="page"/>
                  </v:shape>
                </w:pict>
              </mc:Fallback>
            </mc:AlternateContent>
          </w:r>
        </w:p>
        <w:p w14:paraId="1E0BA448" w14:textId="77777777"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7F8EAA89" w14:textId="6BE48D06" w:rsidR="00190FD6" w:rsidRPr="00C1509C" w:rsidRDefault="00C1509C" w:rsidP="00B8487D">
      <w:pPr>
        <w:spacing w:line="480" w:lineRule="auto"/>
        <w:ind w:firstLine="547"/>
      </w:pPr>
      <w:r>
        <w:t xml:space="preserve">In project </w:t>
      </w:r>
      <w:r w:rsidR="002363EA">
        <w:t xml:space="preserve">3, </w:t>
      </w:r>
      <w:r w:rsidR="00686A73">
        <w:t>we are going to forecast the stock price of Honeywell International Incorporated for Apr 16, 2018 based on historical data from 2017 to 2018 in three different approaches: simple exponential smoothing forecasts, adjusted exponential smoothing forecast, and simple regression analysis. Then we are going to compare</w:t>
      </w:r>
      <w:r w:rsidR="00B8487D">
        <w:t xml:space="preserve"> and discuss</w:t>
      </w:r>
      <w:r w:rsidR="00686A73">
        <w:t xml:space="preserve"> the three results </w:t>
      </w:r>
      <w:r w:rsidR="00FE69FA">
        <w:t>with</w:t>
      </w:r>
      <w:r w:rsidR="00686A73">
        <w:t xml:space="preserve"> the true price on Apr </w:t>
      </w:r>
      <w:r w:rsidR="00B8487D">
        <w:t>16, 2018.</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3749AB91" w14:textId="2E218D52" w:rsidR="00EC69DD" w:rsidRDefault="00656702" w:rsidP="00FD686A">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Simple </w:t>
      </w:r>
      <w:r w:rsidR="002A7D45">
        <w:rPr>
          <w:rFonts w:ascii="Times New Roman" w:hAnsi="Times New Roman" w:cs="Times New Roman"/>
          <w:b/>
          <w:color w:val="auto"/>
          <w:sz w:val="24"/>
          <w:szCs w:val="24"/>
        </w:rPr>
        <w:t>Exponential Smoothing Forecasts</w:t>
      </w:r>
    </w:p>
    <w:p w14:paraId="68912EB1" w14:textId="5C3F539C" w:rsidR="00190FD6" w:rsidRPr="002A7D45" w:rsidRDefault="00656702" w:rsidP="002A7D45">
      <w:pPr>
        <w:spacing w:line="480" w:lineRule="auto"/>
        <w:ind w:firstLine="547"/>
        <w:rPr>
          <w:rFonts w:eastAsiaTheme="minorEastAsia"/>
        </w:rPr>
      </w:pPr>
      <w:r>
        <w:rPr>
          <w:rFonts w:eastAsiaTheme="minorEastAsia"/>
        </w:rPr>
        <w:t xml:space="preserve">Here is the historical data that we have on hand from Oct 15, 2017 to Apr 15, 2018. </w:t>
      </w:r>
    </w:p>
    <w:p w14:paraId="10867551" w14:textId="4500A678" w:rsidR="00904B1B" w:rsidRDefault="002A7D45" w:rsidP="002A7D45">
      <w:pPr>
        <w:spacing w:line="480" w:lineRule="auto"/>
        <w:jc w:val="center"/>
        <w:rPr>
          <w:color w:val="000000" w:themeColor="text1"/>
        </w:rPr>
      </w:pPr>
      <w:r>
        <w:rPr>
          <w:noProof/>
          <w:color w:val="000000" w:themeColor="text1"/>
        </w:rPr>
        <w:drawing>
          <wp:inline distT="0" distB="0" distL="0" distR="0" wp14:anchorId="44FF14D2" wp14:editId="39CBE1E7">
            <wp:extent cx="5551751" cy="3618690"/>
            <wp:effectExtent l="0" t="0" r="0" b="127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png"/>
                    <pic:cNvPicPr/>
                  </pic:nvPicPr>
                  <pic:blipFill>
                    <a:blip r:embed="rId11">
                      <a:extLst>
                        <a:ext uri="{28A0092B-C50C-407E-A947-70E740481C1C}">
                          <a14:useLocalDpi xmlns:a14="http://schemas.microsoft.com/office/drawing/2010/main" val="0"/>
                        </a:ext>
                      </a:extLst>
                    </a:blip>
                    <a:stretch>
                      <a:fillRect/>
                    </a:stretch>
                  </pic:blipFill>
                  <pic:spPr>
                    <a:xfrm>
                      <a:off x="0" y="0"/>
                      <a:ext cx="5561410" cy="3624986"/>
                    </a:xfrm>
                    <a:prstGeom prst="rect">
                      <a:avLst/>
                    </a:prstGeom>
                  </pic:spPr>
                </pic:pic>
              </a:graphicData>
            </a:graphic>
          </wp:inline>
        </w:drawing>
      </w:r>
    </w:p>
    <w:p w14:paraId="2EDB44B6" w14:textId="267A5031" w:rsidR="00904B1B" w:rsidRDefault="00904B1B" w:rsidP="00904B1B">
      <w:pPr>
        <w:spacing w:line="480" w:lineRule="auto"/>
        <w:ind w:firstLine="547"/>
        <w:jc w:val="center"/>
      </w:pPr>
      <w:r w:rsidRPr="00F739DD">
        <w:rPr>
          <w:i/>
        </w:rPr>
        <w:t>Figure 1</w:t>
      </w:r>
      <w:r>
        <w:t xml:space="preserve">. </w:t>
      </w:r>
      <w:r w:rsidR="002A7D45">
        <w:t>Plots of Honeywell Stock Prices</w:t>
      </w:r>
    </w:p>
    <w:p w14:paraId="6933D758" w14:textId="3A03114C" w:rsidR="009D35A1" w:rsidRDefault="00656702" w:rsidP="001778F6">
      <w:pPr>
        <w:spacing w:line="480" w:lineRule="auto"/>
        <w:ind w:firstLine="547"/>
        <w:rPr>
          <w:rFonts w:eastAsiaTheme="minorEastAsia"/>
        </w:rPr>
      </w:pPr>
      <w:r>
        <w:rPr>
          <w:rFonts w:eastAsiaTheme="minorEastAsia"/>
        </w:rPr>
        <w:t xml:space="preserve"> </w:t>
      </w:r>
      <w:r>
        <w:rPr>
          <w:rFonts w:eastAsiaTheme="minorEastAsia"/>
        </w:rPr>
        <w:t xml:space="preserve">Perform </w:t>
      </w:r>
      <w:r w:rsidR="002B1E71">
        <w:rPr>
          <w:rFonts w:eastAsiaTheme="minorEastAsia"/>
        </w:rPr>
        <w:t xml:space="preserve">simple </w:t>
      </w:r>
      <w:r>
        <w:rPr>
          <w:rFonts w:eastAsiaTheme="minorEastAsia"/>
        </w:rPr>
        <w:t xml:space="preserve">exponential smoothing forecasts using </w:t>
      </w:r>
      <w:r w:rsidRPr="00656702">
        <w:rPr>
          <w:rFonts w:eastAsiaTheme="minorEastAsia"/>
        </w:rPr>
        <w:t>α</w:t>
      </w:r>
      <w:r>
        <w:rPr>
          <w:rFonts w:eastAsiaTheme="minorEastAsia"/>
        </w:rPr>
        <w:t xml:space="preserve"> = </w:t>
      </w:r>
      <w:r w:rsidR="009D35A1" w:rsidRPr="009D35A1">
        <w:rPr>
          <w:rFonts w:eastAsiaTheme="minorEastAsia"/>
        </w:rPr>
        <w:t>0.15, 0.35, 0.55, and 0.75</w:t>
      </w:r>
      <w:r w:rsidR="009D35A1">
        <w:rPr>
          <w:rFonts w:eastAsiaTheme="minorEastAsia"/>
        </w:rPr>
        <w:t>, then the results listed below:</w:t>
      </w:r>
    </w:p>
    <w:p w14:paraId="22BB5CAA" w14:textId="77777777" w:rsidR="00FE69FA" w:rsidRDefault="00FE69FA" w:rsidP="00FE69FA">
      <w:pPr>
        <w:spacing w:line="480" w:lineRule="auto"/>
        <w:rPr>
          <w:rFonts w:eastAsiaTheme="minorEastAsia"/>
        </w:rPr>
      </w:pPr>
    </w:p>
    <w:tbl>
      <w:tblPr>
        <w:tblW w:w="4700" w:type="dxa"/>
        <w:jc w:val="center"/>
        <w:tblLook w:val="04A0" w:firstRow="1" w:lastRow="0" w:firstColumn="1" w:lastColumn="0" w:noHBand="0" w:noVBand="1"/>
      </w:tblPr>
      <w:tblGrid>
        <w:gridCol w:w="1500"/>
        <w:gridCol w:w="1700"/>
        <w:gridCol w:w="1500"/>
      </w:tblGrid>
      <w:tr w:rsidR="009D35A1" w:rsidRPr="009D35A1" w14:paraId="09758E9E" w14:textId="77777777" w:rsidTr="009D35A1">
        <w:trPr>
          <w:trHeight w:val="260"/>
          <w:jc w:val="center"/>
        </w:trPr>
        <w:tc>
          <w:tcPr>
            <w:tcW w:w="1500" w:type="dxa"/>
            <w:tcBorders>
              <w:top w:val="single" w:sz="4" w:space="0" w:color="9BC2E6"/>
              <w:left w:val="single" w:sz="4" w:space="0" w:color="9BC2E6"/>
              <w:bottom w:val="single" w:sz="4" w:space="0" w:color="9BC2E6"/>
              <w:right w:val="nil"/>
            </w:tcBorders>
            <w:shd w:val="clear" w:color="5B9BD5" w:fill="5B9BD5"/>
            <w:noWrap/>
            <w:vAlign w:val="bottom"/>
            <w:hideMark/>
          </w:tcPr>
          <w:p w14:paraId="4378B1C4" w14:textId="77777777" w:rsidR="009D35A1" w:rsidRPr="009D35A1" w:rsidRDefault="009D35A1" w:rsidP="009D35A1">
            <w:pPr>
              <w:jc w:val="center"/>
              <w:rPr>
                <w:rFonts w:ascii="Arial" w:hAnsi="Arial" w:cs="Arial"/>
                <w:b/>
                <w:bCs/>
                <w:color w:val="FFFFFF"/>
                <w:sz w:val="20"/>
                <w:szCs w:val="20"/>
              </w:rPr>
            </w:pPr>
            <w:r w:rsidRPr="009D35A1">
              <w:rPr>
                <w:rFonts w:ascii="Arial" w:hAnsi="Arial" w:cs="Arial"/>
                <w:b/>
                <w:bCs/>
                <w:color w:val="FFFFFF"/>
                <w:sz w:val="20"/>
                <w:szCs w:val="20"/>
              </w:rPr>
              <w:lastRenderedPageBreak/>
              <w:t>α</w:t>
            </w:r>
          </w:p>
        </w:tc>
        <w:tc>
          <w:tcPr>
            <w:tcW w:w="1700" w:type="dxa"/>
            <w:tcBorders>
              <w:top w:val="single" w:sz="4" w:space="0" w:color="9BC2E6"/>
              <w:left w:val="nil"/>
              <w:bottom w:val="single" w:sz="4" w:space="0" w:color="9BC2E6"/>
              <w:right w:val="nil"/>
            </w:tcBorders>
            <w:shd w:val="clear" w:color="5B9BD5" w:fill="5B9BD5"/>
            <w:noWrap/>
            <w:vAlign w:val="bottom"/>
            <w:hideMark/>
          </w:tcPr>
          <w:p w14:paraId="08487C61" w14:textId="77777777" w:rsidR="009D35A1" w:rsidRPr="009D35A1" w:rsidRDefault="009D35A1" w:rsidP="009D35A1">
            <w:pPr>
              <w:jc w:val="center"/>
              <w:rPr>
                <w:rFonts w:ascii="Arial" w:hAnsi="Arial" w:cs="Arial"/>
                <w:b/>
                <w:bCs/>
                <w:color w:val="FFFFFF"/>
                <w:sz w:val="20"/>
                <w:szCs w:val="20"/>
              </w:rPr>
            </w:pPr>
            <w:r w:rsidRPr="009D35A1">
              <w:rPr>
                <w:rFonts w:ascii="Arial" w:hAnsi="Arial" w:cs="Arial"/>
                <w:b/>
                <w:bCs/>
                <w:color w:val="FFFFFF"/>
                <w:sz w:val="20"/>
                <w:szCs w:val="20"/>
              </w:rPr>
              <w:t>Forecast Price</w:t>
            </w:r>
          </w:p>
        </w:tc>
        <w:tc>
          <w:tcPr>
            <w:tcW w:w="1500" w:type="dxa"/>
            <w:tcBorders>
              <w:top w:val="single" w:sz="4" w:space="0" w:color="9BC2E6"/>
              <w:left w:val="nil"/>
              <w:bottom w:val="single" w:sz="4" w:space="0" w:color="9BC2E6"/>
              <w:right w:val="single" w:sz="4" w:space="0" w:color="9BC2E6"/>
            </w:tcBorders>
            <w:shd w:val="clear" w:color="5B9BD5" w:fill="5B9BD5"/>
            <w:noWrap/>
            <w:vAlign w:val="bottom"/>
            <w:hideMark/>
          </w:tcPr>
          <w:p w14:paraId="5FD85659" w14:textId="77777777" w:rsidR="009D35A1" w:rsidRPr="009D35A1" w:rsidRDefault="009D35A1" w:rsidP="009D35A1">
            <w:pPr>
              <w:jc w:val="center"/>
              <w:rPr>
                <w:rFonts w:ascii="Arial" w:hAnsi="Arial" w:cs="Arial"/>
                <w:b/>
                <w:bCs/>
                <w:color w:val="FFFFFF"/>
                <w:sz w:val="20"/>
                <w:szCs w:val="20"/>
              </w:rPr>
            </w:pPr>
            <w:r w:rsidRPr="009D35A1">
              <w:rPr>
                <w:rFonts w:ascii="Arial" w:hAnsi="Arial" w:cs="Arial"/>
                <w:b/>
                <w:bCs/>
                <w:color w:val="FFFFFF"/>
                <w:sz w:val="20"/>
                <w:szCs w:val="20"/>
              </w:rPr>
              <w:t>MSE</w:t>
            </w:r>
          </w:p>
        </w:tc>
      </w:tr>
      <w:tr w:rsidR="009D35A1" w:rsidRPr="009D35A1" w14:paraId="4A18FB23" w14:textId="77777777" w:rsidTr="009D35A1">
        <w:trPr>
          <w:trHeight w:val="260"/>
          <w:jc w:val="center"/>
        </w:trPr>
        <w:tc>
          <w:tcPr>
            <w:tcW w:w="1500" w:type="dxa"/>
            <w:tcBorders>
              <w:top w:val="single" w:sz="4" w:space="0" w:color="9BC2E6"/>
              <w:left w:val="single" w:sz="4" w:space="0" w:color="9BC2E6"/>
              <w:bottom w:val="single" w:sz="4" w:space="0" w:color="9BC2E6"/>
              <w:right w:val="nil"/>
            </w:tcBorders>
            <w:shd w:val="clear" w:color="DDEBF7" w:fill="DDEBF7"/>
            <w:noWrap/>
            <w:vAlign w:val="bottom"/>
            <w:hideMark/>
          </w:tcPr>
          <w:p w14:paraId="7DED07A8" w14:textId="11AC9EB9"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0.15</w:t>
            </w:r>
          </w:p>
        </w:tc>
        <w:tc>
          <w:tcPr>
            <w:tcW w:w="1700" w:type="dxa"/>
            <w:tcBorders>
              <w:top w:val="single" w:sz="4" w:space="0" w:color="9BC2E6"/>
              <w:left w:val="nil"/>
              <w:bottom w:val="single" w:sz="4" w:space="0" w:color="9BC2E6"/>
              <w:right w:val="nil"/>
            </w:tcBorders>
            <w:shd w:val="clear" w:color="DDEBF7" w:fill="DDEBF7"/>
            <w:noWrap/>
            <w:vAlign w:val="bottom"/>
            <w:hideMark/>
          </w:tcPr>
          <w:p w14:paraId="094BA415" w14:textId="3E63C6C3"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145.3851</w:t>
            </w:r>
          </w:p>
        </w:tc>
        <w:tc>
          <w:tcPr>
            <w:tcW w:w="1500" w:type="dxa"/>
            <w:tcBorders>
              <w:top w:val="single" w:sz="4" w:space="0" w:color="9BC2E6"/>
              <w:left w:val="nil"/>
              <w:bottom w:val="single" w:sz="4" w:space="0" w:color="9BC2E6"/>
              <w:right w:val="single" w:sz="4" w:space="0" w:color="9BC2E6"/>
            </w:tcBorders>
            <w:shd w:val="clear" w:color="DDEBF7" w:fill="DDEBF7"/>
            <w:noWrap/>
            <w:vAlign w:val="bottom"/>
            <w:hideMark/>
          </w:tcPr>
          <w:p w14:paraId="35E26A68" w14:textId="15AE9B42"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7.8774</w:t>
            </w:r>
          </w:p>
        </w:tc>
      </w:tr>
      <w:tr w:rsidR="009D35A1" w:rsidRPr="009D35A1" w14:paraId="5D13625E" w14:textId="77777777" w:rsidTr="009D35A1">
        <w:trPr>
          <w:trHeight w:val="260"/>
          <w:jc w:val="center"/>
        </w:trPr>
        <w:tc>
          <w:tcPr>
            <w:tcW w:w="1500" w:type="dxa"/>
            <w:tcBorders>
              <w:top w:val="single" w:sz="4" w:space="0" w:color="9BC2E6"/>
              <w:left w:val="single" w:sz="4" w:space="0" w:color="9BC2E6"/>
              <w:bottom w:val="single" w:sz="4" w:space="0" w:color="9BC2E6"/>
              <w:right w:val="nil"/>
            </w:tcBorders>
            <w:shd w:val="clear" w:color="auto" w:fill="auto"/>
            <w:noWrap/>
            <w:vAlign w:val="bottom"/>
            <w:hideMark/>
          </w:tcPr>
          <w:p w14:paraId="3B674203" w14:textId="2B2C1F56"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0.35</w:t>
            </w:r>
          </w:p>
        </w:tc>
        <w:tc>
          <w:tcPr>
            <w:tcW w:w="1700" w:type="dxa"/>
            <w:tcBorders>
              <w:top w:val="single" w:sz="4" w:space="0" w:color="9BC2E6"/>
              <w:left w:val="nil"/>
              <w:bottom w:val="single" w:sz="4" w:space="0" w:color="9BC2E6"/>
              <w:right w:val="nil"/>
            </w:tcBorders>
            <w:shd w:val="clear" w:color="auto" w:fill="auto"/>
            <w:noWrap/>
            <w:vAlign w:val="bottom"/>
            <w:hideMark/>
          </w:tcPr>
          <w:p w14:paraId="035C2DD5" w14:textId="638DFBEB"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145.4597</w:t>
            </w:r>
          </w:p>
        </w:tc>
        <w:tc>
          <w:tcPr>
            <w:tcW w:w="1500" w:type="dxa"/>
            <w:tcBorders>
              <w:top w:val="single" w:sz="4" w:space="0" w:color="9BC2E6"/>
              <w:left w:val="nil"/>
              <w:bottom w:val="single" w:sz="4" w:space="0" w:color="9BC2E6"/>
              <w:right w:val="single" w:sz="4" w:space="0" w:color="9BC2E6"/>
            </w:tcBorders>
            <w:shd w:val="clear" w:color="auto" w:fill="auto"/>
            <w:noWrap/>
            <w:vAlign w:val="bottom"/>
            <w:hideMark/>
          </w:tcPr>
          <w:p w14:paraId="0256F576" w14:textId="62CE2746"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4.5049</w:t>
            </w:r>
          </w:p>
        </w:tc>
      </w:tr>
      <w:tr w:rsidR="009D35A1" w:rsidRPr="009D35A1" w14:paraId="2966DE54" w14:textId="77777777" w:rsidTr="009D35A1">
        <w:trPr>
          <w:trHeight w:val="260"/>
          <w:jc w:val="center"/>
        </w:trPr>
        <w:tc>
          <w:tcPr>
            <w:tcW w:w="1500" w:type="dxa"/>
            <w:tcBorders>
              <w:top w:val="single" w:sz="4" w:space="0" w:color="9BC2E6"/>
              <w:left w:val="single" w:sz="4" w:space="0" w:color="9BC2E6"/>
              <w:bottom w:val="single" w:sz="4" w:space="0" w:color="9BC2E6"/>
              <w:right w:val="nil"/>
            </w:tcBorders>
            <w:shd w:val="clear" w:color="DDEBF7" w:fill="DDEBF7"/>
            <w:noWrap/>
            <w:vAlign w:val="bottom"/>
            <w:hideMark/>
          </w:tcPr>
          <w:p w14:paraId="4BB19A53" w14:textId="5B5BA133"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0.55</w:t>
            </w:r>
          </w:p>
        </w:tc>
        <w:tc>
          <w:tcPr>
            <w:tcW w:w="1700" w:type="dxa"/>
            <w:tcBorders>
              <w:top w:val="single" w:sz="4" w:space="0" w:color="9BC2E6"/>
              <w:left w:val="nil"/>
              <w:bottom w:val="single" w:sz="4" w:space="0" w:color="9BC2E6"/>
              <w:right w:val="nil"/>
            </w:tcBorders>
            <w:shd w:val="clear" w:color="DDEBF7" w:fill="DDEBF7"/>
            <w:noWrap/>
            <w:vAlign w:val="bottom"/>
            <w:hideMark/>
          </w:tcPr>
          <w:p w14:paraId="777A3B64" w14:textId="4D5F11FB"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145.8634</w:t>
            </w:r>
          </w:p>
        </w:tc>
        <w:tc>
          <w:tcPr>
            <w:tcW w:w="1500" w:type="dxa"/>
            <w:tcBorders>
              <w:top w:val="single" w:sz="4" w:space="0" w:color="9BC2E6"/>
              <w:left w:val="nil"/>
              <w:bottom w:val="single" w:sz="4" w:space="0" w:color="9BC2E6"/>
              <w:right w:val="single" w:sz="4" w:space="0" w:color="9BC2E6"/>
            </w:tcBorders>
            <w:shd w:val="clear" w:color="DDEBF7" w:fill="DDEBF7"/>
            <w:noWrap/>
            <w:vAlign w:val="bottom"/>
            <w:hideMark/>
          </w:tcPr>
          <w:p w14:paraId="274551FB" w14:textId="1B0FCB65"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3.3853</w:t>
            </w:r>
          </w:p>
        </w:tc>
      </w:tr>
      <w:tr w:rsidR="009D35A1" w:rsidRPr="009D35A1" w14:paraId="6F12F18D" w14:textId="77777777" w:rsidTr="009D35A1">
        <w:trPr>
          <w:trHeight w:val="260"/>
          <w:jc w:val="center"/>
        </w:trPr>
        <w:tc>
          <w:tcPr>
            <w:tcW w:w="1500" w:type="dxa"/>
            <w:tcBorders>
              <w:top w:val="single" w:sz="4" w:space="0" w:color="9BC2E6"/>
              <w:left w:val="single" w:sz="4" w:space="0" w:color="9BC2E6"/>
              <w:bottom w:val="single" w:sz="4" w:space="0" w:color="9BC2E6"/>
              <w:right w:val="nil"/>
            </w:tcBorders>
            <w:shd w:val="clear" w:color="auto" w:fill="auto"/>
            <w:noWrap/>
            <w:vAlign w:val="bottom"/>
            <w:hideMark/>
          </w:tcPr>
          <w:p w14:paraId="6A6C15AE" w14:textId="009E2251"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0.75</w:t>
            </w:r>
          </w:p>
        </w:tc>
        <w:tc>
          <w:tcPr>
            <w:tcW w:w="1700" w:type="dxa"/>
            <w:tcBorders>
              <w:top w:val="single" w:sz="4" w:space="0" w:color="9BC2E6"/>
              <w:left w:val="nil"/>
              <w:bottom w:val="single" w:sz="4" w:space="0" w:color="9BC2E6"/>
              <w:right w:val="nil"/>
            </w:tcBorders>
            <w:shd w:val="clear" w:color="auto" w:fill="auto"/>
            <w:noWrap/>
            <w:vAlign w:val="bottom"/>
            <w:hideMark/>
          </w:tcPr>
          <w:p w14:paraId="4F8893E5" w14:textId="735EC29C"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146.0815</w:t>
            </w:r>
          </w:p>
        </w:tc>
        <w:tc>
          <w:tcPr>
            <w:tcW w:w="1500" w:type="dxa"/>
            <w:tcBorders>
              <w:top w:val="single" w:sz="4" w:space="0" w:color="9BC2E6"/>
              <w:left w:val="nil"/>
              <w:bottom w:val="single" w:sz="4" w:space="0" w:color="9BC2E6"/>
              <w:right w:val="single" w:sz="4" w:space="0" w:color="9BC2E6"/>
            </w:tcBorders>
            <w:shd w:val="clear" w:color="auto" w:fill="auto"/>
            <w:noWrap/>
            <w:vAlign w:val="bottom"/>
            <w:hideMark/>
          </w:tcPr>
          <w:p w14:paraId="459E904F" w14:textId="23ECD03A" w:rsidR="009D35A1" w:rsidRPr="009D35A1" w:rsidRDefault="009D35A1" w:rsidP="004D741A">
            <w:pPr>
              <w:jc w:val="center"/>
              <w:rPr>
                <w:rFonts w:ascii="Arial" w:hAnsi="Arial" w:cs="Arial"/>
                <w:color w:val="000000"/>
                <w:sz w:val="20"/>
                <w:szCs w:val="20"/>
              </w:rPr>
            </w:pPr>
            <w:r w:rsidRPr="009D35A1">
              <w:rPr>
                <w:rFonts w:ascii="Arial" w:hAnsi="Arial" w:cs="Arial"/>
                <w:color w:val="000000"/>
                <w:sz w:val="20"/>
                <w:szCs w:val="20"/>
              </w:rPr>
              <w:t>2.9539</w:t>
            </w:r>
          </w:p>
        </w:tc>
      </w:tr>
    </w:tbl>
    <w:p w14:paraId="6C8D22D2" w14:textId="512A95E5" w:rsidR="009D35A1" w:rsidRDefault="009D35A1" w:rsidP="009D35A1">
      <w:pPr>
        <w:spacing w:before="240" w:line="480" w:lineRule="auto"/>
        <w:ind w:firstLine="547"/>
        <w:jc w:val="center"/>
      </w:pPr>
      <w:r>
        <w:rPr>
          <w:i/>
        </w:rPr>
        <w:t>Table</w:t>
      </w:r>
      <w:r w:rsidRPr="00F739DD">
        <w:rPr>
          <w:i/>
        </w:rPr>
        <w:t xml:space="preserve"> 1</w:t>
      </w:r>
      <w:r>
        <w:t xml:space="preserve">. </w:t>
      </w:r>
      <w:r w:rsidR="00B03BC5">
        <w:t>Predicted</w:t>
      </w:r>
      <w:r>
        <w:t xml:space="preserve"> </w:t>
      </w:r>
      <w:r>
        <w:t>Honeywell Stock Prices</w:t>
      </w:r>
      <w:r>
        <w:t xml:space="preserve"> by Simple Exponential Smoothing Forecasts</w:t>
      </w:r>
    </w:p>
    <w:p w14:paraId="021E8BAB" w14:textId="77777777" w:rsidR="00C210F8" w:rsidRDefault="004D741A" w:rsidP="00656702">
      <w:pPr>
        <w:spacing w:line="480" w:lineRule="auto"/>
        <w:ind w:firstLine="547"/>
        <w:rPr>
          <w:rFonts w:eastAsiaTheme="minorEastAsia"/>
        </w:rPr>
      </w:pPr>
      <w:r>
        <w:rPr>
          <w:rFonts w:eastAsiaTheme="minorEastAsia"/>
        </w:rPr>
        <w:t xml:space="preserve">Mean Squared Error (MSE) is one of the measures of forecast accuracy. Knowledge of a forecast’s accuracy helps on selection of forecasting methodology to be utilized and parameters of the forecast formula. In this case, we use 4 different smoothing parameters. The parameter that leads to the smallest MSE yields the most accurate predictions of future stock value. Therefore, </w:t>
      </w:r>
      <w:r w:rsidR="00C210F8">
        <w:rPr>
          <w:rFonts w:eastAsiaTheme="minorEastAsia"/>
        </w:rPr>
        <w:t>we have</w:t>
      </w:r>
    </w:p>
    <w:p w14:paraId="0B39FBCD" w14:textId="68E0BF90" w:rsidR="00656702" w:rsidRDefault="00C210F8" w:rsidP="00C210F8">
      <w:pPr>
        <w:spacing w:line="480" w:lineRule="auto"/>
        <w:ind w:firstLine="547"/>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127</m:t>
            </m:r>
          </m:sub>
        </m:sSub>
        <m:r>
          <w:rPr>
            <w:rFonts w:ascii="Cambria Math" w:eastAsiaTheme="minorEastAsia" w:hAnsi="Cambria Math"/>
          </w:rPr>
          <m:t>=</m:t>
        </m:r>
        <m:r>
          <w:rPr>
            <w:rFonts w:ascii="Cambria Math" w:eastAsiaTheme="minorEastAsia" w:hAnsi="Cambria Math"/>
          </w:rPr>
          <m:t>146.0815</m:t>
        </m:r>
        <m:r>
          <w:rPr>
            <w:rFonts w:ascii="Cambria Math" w:eastAsiaTheme="minorEastAsia" w:hAnsi="Cambria Math"/>
          </w:rPr>
          <m:t xml:space="preserve"> for α=0.75</m:t>
        </m:r>
      </m:oMath>
      <w:r>
        <w:rPr>
          <w:rFonts w:eastAsiaTheme="minorEastAsia"/>
        </w:rPr>
        <w:t xml:space="preserve"> </w:t>
      </w:r>
      <w:r w:rsidR="00213DA5">
        <w:rPr>
          <w:rFonts w:eastAsiaTheme="minorEastAsia"/>
        </w:rPr>
        <w:t>.</w:t>
      </w:r>
    </w:p>
    <w:p w14:paraId="7F148BA2" w14:textId="5F396902" w:rsidR="001778F6" w:rsidRDefault="001778F6" w:rsidP="001778F6">
      <w:pPr>
        <w:spacing w:line="480" w:lineRule="auto"/>
        <w:jc w:val="center"/>
        <w:rPr>
          <w:rFonts w:eastAsiaTheme="minorEastAsia"/>
        </w:rPr>
      </w:pPr>
      <w:r>
        <w:rPr>
          <w:rFonts w:eastAsiaTheme="minorEastAsia"/>
          <w:noProof/>
        </w:rPr>
        <w:drawing>
          <wp:inline distT="0" distB="0" distL="0" distR="0" wp14:anchorId="458F7EAF" wp14:editId="4EA65C8D">
            <wp:extent cx="5613400" cy="29718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75.png"/>
                    <pic:cNvPicPr/>
                  </pic:nvPicPr>
                  <pic:blipFill>
                    <a:blip r:embed="rId12">
                      <a:extLst>
                        <a:ext uri="{28A0092B-C50C-407E-A947-70E740481C1C}">
                          <a14:useLocalDpi xmlns:a14="http://schemas.microsoft.com/office/drawing/2010/main" val="0"/>
                        </a:ext>
                      </a:extLst>
                    </a:blip>
                    <a:stretch>
                      <a:fillRect/>
                    </a:stretch>
                  </pic:blipFill>
                  <pic:spPr>
                    <a:xfrm>
                      <a:off x="0" y="0"/>
                      <a:ext cx="5613400" cy="2971800"/>
                    </a:xfrm>
                    <a:prstGeom prst="rect">
                      <a:avLst/>
                    </a:prstGeom>
                  </pic:spPr>
                </pic:pic>
              </a:graphicData>
            </a:graphic>
          </wp:inline>
        </w:drawing>
      </w:r>
    </w:p>
    <w:p w14:paraId="387E5F1F" w14:textId="37E52D46" w:rsidR="001778F6" w:rsidRPr="001778F6" w:rsidRDefault="001778F6" w:rsidP="001778F6">
      <w:pPr>
        <w:spacing w:line="480" w:lineRule="auto"/>
        <w:ind w:firstLine="547"/>
        <w:jc w:val="center"/>
      </w:pPr>
      <w:r w:rsidRPr="00F739DD">
        <w:rPr>
          <w:i/>
        </w:rPr>
        <w:t xml:space="preserve">Figure </w:t>
      </w:r>
      <w:r>
        <w:rPr>
          <w:i/>
        </w:rPr>
        <w:t>2</w:t>
      </w:r>
      <w:r>
        <w:t xml:space="preserve">. </w:t>
      </w:r>
      <w:r>
        <w:t xml:space="preserve">Simple Exponential Smoothing </w:t>
      </w:r>
      <w:r w:rsidR="00C210F8">
        <w:t>for</w:t>
      </w:r>
      <w:r>
        <w:t xml:space="preserve"> </w:t>
      </w:r>
      <w:r w:rsidRPr="004D741A">
        <w:rPr>
          <w:rFonts w:eastAsiaTheme="minorEastAsia"/>
        </w:rPr>
        <w:t>α</w:t>
      </w:r>
      <w:r>
        <w:rPr>
          <w:rFonts w:eastAsiaTheme="minorEastAsia"/>
        </w:rPr>
        <w:t xml:space="preserve"> = 0.75</w:t>
      </w:r>
    </w:p>
    <w:p w14:paraId="49565F19" w14:textId="4AD02F2B" w:rsidR="002B1E71" w:rsidRDefault="002B1E71" w:rsidP="002B1E71">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Adjusted</w:t>
      </w:r>
      <w:r>
        <w:rPr>
          <w:rFonts w:ascii="Times New Roman" w:hAnsi="Times New Roman" w:cs="Times New Roman"/>
          <w:b/>
          <w:color w:val="auto"/>
          <w:sz w:val="24"/>
          <w:szCs w:val="24"/>
        </w:rPr>
        <w:t xml:space="preserve"> Exponential Smoothing Forecasts</w:t>
      </w:r>
    </w:p>
    <w:p w14:paraId="4F174A4A" w14:textId="08DEA740" w:rsidR="002B1E71" w:rsidRDefault="002B1E71" w:rsidP="002B1E71">
      <w:pPr>
        <w:spacing w:line="480" w:lineRule="auto"/>
        <w:ind w:firstLine="547"/>
        <w:rPr>
          <w:rFonts w:eastAsiaTheme="minorEastAsia"/>
        </w:rPr>
      </w:pPr>
      <w:r>
        <w:rPr>
          <w:rFonts w:eastAsiaTheme="minorEastAsia"/>
        </w:rPr>
        <w:t xml:space="preserve">Perform </w:t>
      </w:r>
      <w:r>
        <w:rPr>
          <w:rFonts w:eastAsiaTheme="minorEastAsia"/>
        </w:rPr>
        <w:t xml:space="preserve">adjusted </w:t>
      </w:r>
      <w:r>
        <w:rPr>
          <w:rFonts w:eastAsiaTheme="minorEastAsia"/>
        </w:rPr>
        <w:t xml:space="preserve">exponential smoothing forecasts using </w:t>
      </w:r>
      <w:r w:rsidRPr="00656702">
        <w:rPr>
          <w:rFonts w:eastAsiaTheme="minorEastAsia"/>
        </w:rPr>
        <w:t>α</w:t>
      </w:r>
      <w:r>
        <w:rPr>
          <w:rFonts w:eastAsiaTheme="minorEastAsia"/>
        </w:rPr>
        <w:t xml:space="preserve"> = </w:t>
      </w:r>
      <w:r w:rsidRPr="009D35A1">
        <w:rPr>
          <w:rFonts w:eastAsiaTheme="minorEastAsia"/>
        </w:rPr>
        <w:t>0.75</w:t>
      </w:r>
      <w:r>
        <w:rPr>
          <w:rFonts w:eastAsiaTheme="minorEastAsia"/>
        </w:rPr>
        <w:t xml:space="preserve">, </w:t>
      </w:r>
      <w:r>
        <w:rPr>
          <w:rFonts w:eastAsiaTheme="minorEastAsia"/>
        </w:rPr>
        <w:t xml:space="preserve">successive values of </w:t>
      </w:r>
      <w:r w:rsidRPr="002B1E71">
        <w:rPr>
          <w:rFonts w:eastAsiaTheme="minorEastAsia"/>
        </w:rPr>
        <w:t>0.15, 0.25, 0.45, and 0.85 for the trend</w:t>
      </w:r>
      <w:r>
        <w:rPr>
          <w:rFonts w:eastAsiaTheme="minorEastAsia"/>
        </w:rPr>
        <w:t xml:space="preserve"> </w:t>
      </w:r>
      <w:r w:rsidRPr="002B1E71">
        <w:rPr>
          <w:rFonts w:eastAsiaTheme="minorEastAsia"/>
        </w:rPr>
        <w:t>parameter β</w:t>
      </w:r>
      <w:r>
        <w:rPr>
          <w:rFonts w:eastAsiaTheme="minorEastAsia"/>
        </w:rPr>
        <w:t xml:space="preserve">, </w:t>
      </w:r>
      <w:r>
        <w:rPr>
          <w:rFonts w:eastAsiaTheme="minorEastAsia"/>
        </w:rPr>
        <w:t>then the results listed below:</w:t>
      </w:r>
    </w:p>
    <w:p w14:paraId="60C2EC48" w14:textId="77777777" w:rsidR="00FE69FA" w:rsidRDefault="00FE69FA" w:rsidP="002B1E71">
      <w:pPr>
        <w:spacing w:line="480" w:lineRule="auto"/>
        <w:ind w:firstLine="547"/>
        <w:rPr>
          <w:rFonts w:eastAsiaTheme="minorEastAsia"/>
        </w:rPr>
      </w:pPr>
    </w:p>
    <w:tbl>
      <w:tblPr>
        <w:tblW w:w="4700" w:type="dxa"/>
        <w:jc w:val="center"/>
        <w:tblLook w:val="04A0" w:firstRow="1" w:lastRow="0" w:firstColumn="1" w:lastColumn="0" w:noHBand="0" w:noVBand="1"/>
      </w:tblPr>
      <w:tblGrid>
        <w:gridCol w:w="1500"/>
        <w:gridCol w:w="1700"/>
        <w:gridCol w:w="1500"/>
      </w:tblGrid>
      <w:tr w:rsidR="00907F57" w:rsidRPr="00907F57" w14:paraId="2FC21B13" w14:textId="77777777" w:rsidTr="00907F57">
        <w:trPr>
          <w:trHeight w:val="260"/>
          <w:jc w:val="center"/>
        </w:trPr>
        <w:tc>
          <w:tcPr>
            <w:tcW w:w="1500" w:type="dxa"/>
            <w:tcBorders>
              <w:top w:val="single" w:sz="4" w:space="0" w:color="9BC2E6"/>
              <w:left w:val="single" w:sz="4" w:space="0" w:color="9BC2E6"/>
              <w:bottom w:val="single" w:sz="4" w:space="0" w:color="9BC2E6"/>
              <w:right w:val="nil"/>
            </w:tcBorders>
            <w:shd w:val="clear" w:color="5B9BD5" w:fill="5B9BD5"/>
            <w:noWrap/>
            <w:vAlign w:val="bottom"/>
            <w:hideMark/>
          </w:tcPr>
          <w:p w14:paraId="741C728B" w14:textId="77777777" w:rsidR="00907F57" w:rsidRPr="00907F57" w:rsidRDefault="00907F57" w:rsidP="00907F57">
            <w:pPr>
              <w:jc w:val="center"/>
              <w:rPr>
                <w:rFonts w:ascii="Arial" w:hAnsi="Arial" w:cs="Arial"/>
                <w:b/>
                <w:bCs/>
                <w:color w:val="FFFFFF"/>
                <w:sz w:val="20"/>
                <w:szCs w:val="20"/>
              </w:rPr>
            </w:pPr>
            <w:r w:rsidRPr="00907F57">
              <w:rPr>
                <w:rFonts w:ascii="Arial" w:hAnsi="Arial" w:cs="Arial"/>
                <w:b/>
                <w:bCs/>
                <w:color w:val="FFFFFF"/>
                <w:sz w:val="20"/>
                <w:szCs w:val="20"/>
              </w:rPr>
              <w:lastRenderedPageBreak/>
              <w:t>β</w:t>
            </w:r>
          </w:p>
        </w:tc>
        <w:tc>
          <w:tcPr>
            <w:tcW w:w="1700" w:type="dxa"/>
            <w:tcBorders>
              <w:top w:val="single" w:sz="4" w:space="0" w:color="9BC2E6"/>
              <w:left w:val="nil"/>
              <w:bottom w:val="single" w:sz="4" w:space="0" w:color="9BC2E6"/>
              <w:right w:val="nil"/>
            </w:tcBorders>
            <w:shd w:val="clear" w:color="5B9BD5" w:fill="5B9BD5"/>
            <w:noWrap/>
            <w:vAlign w:val="bottom"/>
            <w:hideMark/>
          </w:tcPr>
          <w:p w14:paraId="026343A6" w14:textId="77777777" w:rsidR="00907F57" w:rsidRPr="00907F57" w:rsidRDefault="00907F57" w:rsidP="00907F57">
            <w:pPr>
              <w:jc w:val="center"/>
              <w:rPr>
                <w:rFonts w:ascii="Arial" w:hAnsi="Arial" w:cs="Arial"/>
                <w:b/>
                <w:bCs/>
                <w:color w:val="FFFFFF"/>
                <w:sz w:val="20"/>
                <w:szCs w:val="20"/>
              </w:rPr>
            </w:pPr>
            <w:r w:rsidRPr="00907F57">
              <w:rPr>
                <w:rFonts w:ascii="Arial" w:hAnsi="Arial" w:cs="Arial"/>
                <w:b/>
                <w:bCs/>
                <w:color w:val="FFFFFF"/>
                <w:sz w:val="20"/>
                <w:szCs w:val="20"/>
              </w:rPr>
              <w:t>Forecast Price</w:t>
            </w:r>
          </w:p>
        </w:tc>
        <w:tc>
          <w:tcPr>
            <w:tcW w:w="1500" w:type="dxa"/>
            <w:tcBorders>
              <w:top w:val="single" w:sz="4" w:space="0" w:color="9BC2E6"/>
              <w:left w:val="nil"/>
              <w:bottom w:val="single" w:sz="4" w:space="0" w:color="9BC2E6"/>
              <w:right w:val="single" w:sz="4" w:space="0" w:color="9BC2E6"/>
            </w:tcBorders>
            <w:shd w:val="clear" w:color="5B9BD5" w:fill="5B9BD5"/>
            <w:noWrap/>
            <w:vAlign w:val="bottom"/>
            <w:hideMark/>
          </w:tcPr>
          <w:p w14:paraId="3526E23D" w14:textId="77777777" w:rsidR="00907F57" w:rsidRPr="00907F57" w:rsidRDefault="00907F57" w:rsidP="00907F57">
            <w:pPr>
              <w:jc w:val="center"/>
              <w:rPr>
                <w:rFonts w:ascii="Arial" w:hAnsi="Arial" w:cs="Arial"/>
                <w:b/>
                <w:bCs/>
                <w:color w:val="FFFFFF"/>
                <w:sz w:val="20"/>
                <w:szCs w:val="20"/>
              </w:rPr>
            </w:pPr>
            <w:r w:rsidRPr="00907F57">
              <w:rPr>
                <w:rFonts w:ascii="Arial" w:hAnsi="Arial" w:cs="Arial"/>
                <w:b/>
                <w:bCs/>
                <w:color w:val="FFFFFF"/>
                <w:sz w:val="20"/>
                <w:szCs w:val="20"/>
              </w:rPr>
              <w:t>MSE</w:t>
            </w:r>
          </w:p>
        </w:tc>
      </w:tr>
      <w:tr w:rsidR="00907F57" w:rsidRPr="00907F57" w14:paraId="39B89314" w14:textId="77777777" w:rsidTr="00907F57">
        <w:trPr>
          <w:trHeight w:val="260"/>
          <w:jc w:val="center"/>
        </w:trPr>
        <w:tc>
          <w:tcPr>
            <w:tcW w:w="1500" w:type="dxa"/>
            <w:tcBorders>
              <w:top w:val="single" w:sz="4" w:space="0" w:color="9BC2E6"/>
              <w:left w:val="single" w:sz="4" w:space="0" w:color="9BC2E6"/>
              <w:bottom w:val="single" w:sz="4" w:space="0" w:color="9BC2E6"/>
              <w:right w:val="nil"/>
            </w:tcBorders>
            <w:shd w:val="clear" w:color="DDEBF7" w:fill="DDEBF7"/>
            <w:noWrap/>
            <w:vAlign w:val="bottom"/>
            <w:hideMark/>
          </w:tcPr>
          <w:p w14:paraId="44957B5F" w14:textId="377FE7DF"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0.15</w:t>
            </w:r>
          </w:p>
        </w:tc>
        <w:tc>
          <w:tcPr>
            <w:tcW w:w="1700" w:type="dxa"/>
            <w:tcBorders>
              <w:top w:val="single" w:sz="4" w:space="0" w:color="9BC2E6"/>
              <w:left w:val="nil"/>
              <w:bottom w:val="single" w:sz="4" w:space="0" w:color="9BC2E6"/>
              <w:right w:val="nil"/>
            </w:tcBorders>
            <w:shd w:val="clear" w:color="DDEBF7" w:fill="DDEBF7"/>
            <w:noWrap/>
            <w:vAlign w:val="bottom"/>
            <w:hideMark/>
          </w:tcPr>
          <w:p w14:paraId="35AAD2B0" w14:textId="331FAEF7"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146.9439</w:t>
            </w:r>
          </w:p>
        </w:tc>
        <w:tc>
          <w:tcPr>
            <w:tcW w:w="1500" w:type="dxa"/>
            <w:tcBorders>
              <w:top w:val="single" w:sz="4" w:space="0" w:color="9BC2E6"/>
              <w:left w:val="nil"/>
              <w:bottom w:val="single" w:sz="4" w:space="0" w:color="9BC2E6"/>
              <w:right w:val="single" w:sz="4" w:space="0" w:color="9BC2E6"/>
            </w:tcBorders>
            <w:shd w:val="clear" w:color="DDEBF7" w:fill="DDEBF7"/>
            <w:noWrap/>
            <w:vAlign w:val="bottom"/>
            <w:hideMark/>
          </w:tcPr>
          <w:p w14:paraId="75618858" w14:textId="37FFAC47"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3.2275</w:t>
            </w:r>
          </w:p>
        </w:tc>
      </w:tr>
      <w:tr w:rsidR="00907F57" w:rsidRPr="00907F57" w14:paraId="015B197A" w14:textId="77777777" w:rsidTr="00907F57">
        <w:trPr>
          <w:trHeight w:val="260"/>
          <w:jc w:val="center"/>
        </w:trPr>
        <w:tc>
          <w:tcPr>
            <w:tcW w:w="1500" w:type="dxa"/>
            <w:tcBorders>
              <w:top w:val="single" w:sz="4" w:space="0" w:color="9BC2E6"/>
              <w:left w:val="single" w:sz="4" w:space="0" w:color="9BC2E6"/>
              <w:bottom w:val="single" w:sz="4" w:space="0" w:color="9BC2E6"/>
              <w:right w:val="nil"/>
            </w:tcBorders>
            <w:shd w:val="clear" w:color="auto" w:fill="auto"/>
            <w:noWrap/>
            <w:vAlign w:val="bottom"/>
            <w:hideMark/>
          </w:tcPr>
          <w:p w14:paraId="78EF2A86" w14:textId="7CE72E2B"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0.25</w:t>
            </w:r>
          </w:p>
        </w:tc>
        <w:tc>
          <w:tcPr>
            <w:tcW w:w="1700" w:type="dxa"/>
            <w:tcBorders>
              <w:top w:val="single" w:sz="4" w:space="0" w:color="9BC2E6"/>
              <w:left w:val="nil"/>
              <w:bottom w:val="single" w:sz="4" w:space="0" w:color="9BC2E6"/>
              <w:right w:val="nil"/>
            </w:tcBorders>
            <w:shd w:val="clear" w:color="auto" w:fill="auto"/>
            <w:noWrap/>
            <w:vAlign w:val="bottom"/>
            <w:hideMark/>
          </w:tcPr>
          <w:p w14:paraId="0A3F42BB" w14:textId="61C11AC0"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147.5793</w:t>
            </w:r>
          </w:p>
        </w:tc>
        <w:tc>
          <w:tcPr>
            <w:tcW w:w="1500" w:type="dxa"/>
            <w:tcBorders>
              <w:top w:val="single" w:sz="4" w:space="0" w:color="9BC2E6"/>
              <w:left w:val="nil"/>
              <w:bottom w:val="single" w:sz="4" w:space="0" w:color="9BC2E6"/>
              <w:right w:val="single" w:sz="4" w:space="0" w:color="9BC2E6"/>
            </w:tcBorders>
            <w:shd w:val="clear" w:color="auto" w:fill="auto"/>
            <w:noWrap/>
            <w:vAlign w:val="bottom"/>
            <w:hideMark/>
          </w:tcPr>
          <w:p w14:paraId="37EFB0B6" w14:textId="5E32B973"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3.3306</w:t>
            </w:r>
          </w:p>
        </w:tc>
      </w:tr>
      <w:tr w:rsidR="00907F57" w:rsidRPr="00907F57" w14:paraId="1BBBFCBB" w14:textId="77777777" w:rsidTr="00907F57">
        <w:trPr>
          <w:trHeight w:val="260"/>
          <w:jc w:val="center"/>
        </w:trPr>
        <w:tc>
          <w:tcPr>
            <w:tcW w:w="1500" w:type="dxa"/>
            <w:tcBorders>
              <w:top w:val="single" w:sz="4" w:space="0" w:color="9BC2E6"/>
              <w:left w:val="single" w:sz="4" w:space="0" w:color="9BC2E6"/>
              <w:bottom w:val="single" w:sz="4" w:space="0" w:color="9BC2E6"/>
              <w:right w:val="nil"/>
            </w:tcBorders>
            <w:shd w:val="clear" w:color="DDEBF7" w:fill="DDEBF7"/>
            <w:noWrap/>
            <w:vAlign w:val="bottom"/>
            <w:hideMark/>
          </w:tcPr>
          <w:p w14:paraId="1EED0B41" w14:textId="5B3F4514"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0.45</w:t>
            </w:r>
          </w:p>
        </w:tc>
        <w:tc>
          <w:tcPr>
            <w:tcW w:w="1700" w:type="dxa"/>
            <w:tcBorders>
              <w:top w:val="single" w:sz="4" w:space="0" w:color="9BC2E6"/>
              <w:left w:val="nil"/>
              <w:bottom w:val="single" w:sz="4" w:space="0" w:color="9BC2E6"/>
              <w:right w:val="nil"/>
            </w:tcBorders>
            <w:shd w:val="clear" w:color="DDEBF7" w:fill="DDEBF7"/>
            <w:noWrap/>
            <w:vAlign w:val="bottom"/>
            <w:hideMark/>
          </w:tcPr>
          <w:p w14:paraId="06D57D5B" w14:textId="217B6A67"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148.0460</w:t>
            </w:r>
          </w:p>
        </w:tc>
        <w:tc>
          <w:tcPr>
            <w:tcW w:w="1500" w:type="dxa"/>
            <w:tcBorders>
              <w:top w:val="single" w:sz="4" w:space="0" w:color="9BC2E6"/>
              <w:left w:val="nil"/>
              <w:bottom w:val="single" w:sz="4" w:space="0" w:color="9BC2E6"/>
              <w:right w:val="single" w:sz="4" w:space="0" w:color="9BC2E6"/>
            </w:tcBorders>
            <w:shd w:val="clear" w:color="DDEBF7" w:fill="DDEBF7"/>
            <w:noWrap/>
            <w:vAlign w:val="bottom"/>
            <w:hideMark/>
          </w:tcPr>
          <w:p w14:paraId="4736C8A3" w14:textId="215BF72E"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3.6454</w:t>
            </w:r>
          </w:p>
        </w:tc>
      </w:tr>
      <w:tr w:rsidR="00907F57" w:rsidRPr="00907F57" w14:paraId="12B47BDF" w14:textId="77777777" w:rsidTr="00907F57">
        <w:trPr>
          <w:trHeight w:val="260"/>
          <w:jc w:val="center"/>
        </w:trPr>
        <w:tc>
          <w:tcPr>
            <w:tcW w:w="1500" w:type="dxa"/>
            <w:tcBorders>
              <w:top w:val="single" w:sz="4" w:space="0" w:color="9BC2E6"/>
              <w:left w:val="single" w:sz="4" w:space="0" w:color="9BC2E6"/>
              <w:bottom w:val="single" w:sz="4" w:space="0" w:color="9BC2E6"/>
              <w:right w:val="nil"/>
            </w:tcBorders>
            <w:shd w:val="clear" w:color="auto" w:fill="auto"/>
            <w:noWrap/>
            <w:vAlign w:val="bottom"/>
            <w:hideMark/>
          </w:tcPr>
          <w:p w14:paraId="15DB561F" w14:textId="3D2C1DC0"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0.85</w:t>
            </w:r>
          </w:p>
        </w:tc>
        <w:tc>
          <w:tcPr>
            <w:tcW w:w="1700" w:type="dxa"/>
            <w:tcBorders>
              <w:top w:val="single" w:sz="4" w:space="0" w:color="9BC2E6"/>
              <w:left w:val="nil"/>
              <w:bottom w:val="single" w:sz="4" w:space="0" w:color="9BC2E6"/>
              <w:right w:val="nil"/>
            </w:tcBorders>
            <w:shd w:val="clear" w:color="auto" w:fill="auto"/>
            <w:noWrap/>
            <w:vAlign w:val="bottom"/>
            <w:hideMark/>
          </w:tcPr>
          <w:p w14:paraId="1A83A1FB" w14:textId="63B9D116"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149.7483</w:t>
            </w:r>
          </w:p>
        </w:tc>
        <w:tc>
          <w:tcPr>
            <w:tcW w:w="1500" w:type="dxa"/>
            <w:tcBorders>
              <w:top w:val="single" w:sz="4" w:space="0" w:color="9BC2E6"/>
              <w:left w:val="nil"/>
              <w:bottom w:val="single" w:sz="4" w:space="0" w:color="9BC2E6"/>
              <w:right w:val="single" w:sz="4" w:space="0" w:color="9BC2E6"/>
            </w:tcBorders>
            <w:shd w:val="clear" w:color="auto" w:fill="auto"/>
            <w:noWrap/>
            <w:vAlign w:val="bottom"/>
            <w:hideMark/>
          </w:tcPr>
          <w:p w14:paraId="46E9CEEF" w14:textId="4191DD5A" w:rsidR="00907F57" w:rsidRPr="00907F57" w:rsidRDefault="00907F57" w:rsidP="00907F57">
            <w:pPr>
              <w:jc w:val="center"/>
              <w:rPr>
                <w:rFonts w:ascii="Arial" w:hAnsi="Arial" w:cs="Arial"/>
                <w:color w:val="000000"/>
                <w:sz w:val="20"/>
                <w:szCs w:val="20"/>
              </w:rPr>
            </w:pPr>
            <w:r w:rsidRPr="00907F57">
              <w:rPr>
                <w:rFonts w:ascii="Arial" w:hAnsi="Arial" w:cs="Arial"/>
                <w:color w:val="000000"/>
                <w:sz w:val="20"/>
                <w:szCs w:val="20"/>
              </w:rPr>
              <w:t>4.0723</w:t>
            </w:r>
          </w:p>
        </w:tc>
      </w:tr>
    </w:tbl>
    <w:p w14:paraId="495F55E1" w14:textId="51010CD7" w:rsidR="00B03BC5" w:rsidRDefault="00B03BC5" w:rsidP="00B03BC5">
      <w:pPr>
        <w:spacing w:before="240" w:line="480" w:lineRule="auto"/>
        <w:ind w:firstLine="547"/>
        <w:jc w:val="center"/>
      </w:pPr>
      <w:r>
        <w:rPr>
          <w:i/>
        </w:rPr>
        <w:t>Table</w:t>
      </w:r>
      <w:r w:rsidRPr="00F739DD">
        <w:rPr>
          <w:i/>
        </w:rPr>
        <w:t xml:space="preserve"> </w:t>
      </w:r>
      <w:r>
        <w:rPr>
          <w:i/>
        </w:rPr>
        <w:t>2</w:t>
      </w:r>
      <w:r>
        <w:t xml:space="preserve">. </w:t>
      </w:r>
      <w:r>
        <w:t>Predicted</w:t>
      </w:r>
      <w:r>
        <w:t xml:space="preserve"> Honeywell Stock Prices by </w:t>
      </w:r>
      <w:r>
        <w:t>Adjusted</w:t>
      </w:r>
      <w:r>
        <w:t xml:space="preserve"> Exponential Smoothing Forecasts</w:t>
      </w:r>
    </w:p>
    <w:p w14:paraId="4E947A9F" w14:textId="63AFEED2" w:rsidR="00656702" w:rsidRDefault="00B03BC5" w:rsidP="00656702">
      <w:pPr>
        <w:spacing w:line="480" w:lineRule="auto"/>
        <w:ind w:firstLine="547"/>
        <w:rPr>
          <w:rFonts w:eastAsiaTheme="minorEastAsia"/>
        </w:rPr>
      </w:pPr>
      <w:r>
        <w:rPr>
          <w:rFonts w:eastAsiaTheme="minorEastAsia"/>
        </w:rPr>
        <w:t xml:space="preserve">In this case, we use 4 different trend parameters </w:t>
      </w:r>
      <w:r w:rsidRPr="00B03BC5">
        <w:rPr>
          <w:rFonts w:eastAsiaTheme="minorEastAsia"/>
        </w:rPr>
        <w:t>β</w:t>
      </w:r>
      <w:r>
        <w:rPr>
          <w:rFonts w:eastAsiaTheme="minorEastAsia"/>
        </w:rPr>
        <w:t xml:space="preserve">. Then we’ve got a list of MSE. According to the same theory as problem 1, off the 4 trend parameters, </w:t>
      </w:r>
      <w:r w:rsidRPr="00B03BC5">
        <w:rPr>
          <w:rFonts w:eastAsiaTheme="minorEastAsia"/>
        </w:rPr>
        <w:t>β</w:t>
      </w:r>
      <w:r>
        <w:rPr>
          <w:rFonts w:eastAsiaTheme="minorEastAsia"/>
        </w:rPr>
        <w:t xml:space="preserve"> = 0.15, MSE = 3.2275 yields the most accurate predictions of future stock price. </w:t>
      </w:r>
      <w:r w:rsidR="00C210F8">
        <w:rPr>
          <w:rFonts w:eastAsiaTheme="minorEastAsia"/>
        </w:rPr>
        <w:t>Thus, we have</w:t>
      </w:r>
    </w:p>
    <w:p w14:paraId="28C01477" w14:textId="2512F13C" w:rsidR="00C210F8" w:rsidRDefault="00C210F8" w:rsidP="00C210F8">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127</m:t>
              </m:r>
            </m:sub>
          </m:sSub>
          <m:r>
            <w:rPr>
              <w:rFonts w:ascii="Cambria Math" w:eastAsiaTheme="minorEastAsia" w:hAnsi="Cambria Math"/>
            </w:rPr>
            <m:t>=</m:t>
          </m:r>
          <m:r>
            <w:rPr>
              <w:rFonts w:ascii="Cambria Math" w:eastAsiaTheme="minorEastAsia" w:hAnsi="Cambria Math"/>
            </w:rPr>
            <m:t>146.</m:t>
          </m:r>
          <m:r>
            <w:rPr>
              <w:rFonts w:ascii="Cambria Math" w:eastAsiaTheme="minorEastAsia" w:hAnsi="Cambria Math"/>
            </w:rPr>
            <m:t>9439</m:t>
          </m:r>
          <m:r>
            <w:rPr>
              <w:rFonts w:ascii="Cambria Math" w:eastAsiaTheme="minorEastAsia" w:hAnsi="Cambria Math"/>
            </w:rPr>
            <m:t xml:space="preserve"> for α=0.75</m:t>
          </m:r>
          <m:r>
            <w:rPr>
              <w:rFonts w:ascii="Cambria Math" w:eastAsiaTheme="minorEastAsia" w:hAnsi="Cambria Math"/>
            </w:rPr>
            <m:t>, β=0.15</m:t>
          </m:r>
        </m:oMath>
      </m:oMathPara>
    </w:p>
    <w:p w14:paraId="5F22DC4E" w14:textId="26225C4D" w:rsidR="001778F6" w:rsidRDefault="001778F6" w:rsidP="001778F6">
      <w:pPr>
        <w:spacing w:line="480" w:lineRule="auto"/>
        <w:jc w:val="center"/>
        <w:rPr>
          <w:rFonts w:eastAsiaTheme="minorEastAsia"/>
        </w:rPr>
      </w:pPr>
      <w:r>
        <w:rPr>
          <w:rFonts w:eastAsiaTheme="minorEastAsia"/>
          <w:noProof/>
        </w:rPr>
        <w:drawing>
          <wp:inline distT="0" distB="0" distL="0" distR="0" wp14:anchorId="787B86E2" wp14:editId="67524FC5">
            <wp:extent cx="5613400" cy="29718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ta 15.png"/>
                    <pic:cNvPicPr/>
                  </pic:nvPicPr>
                  <pic:blipFill>
                    <a:blip r:embed="rId13">
                      <a:extLst>
                        <a:ext uri="{28A0092B-C50C-407E-A947-70E740481C1C}">
                          <a14:useLocalDpi xmlns:a14="http://schemas.microsoft.com/office/drawing/2010/main" val="0"/>
                        </a:ext>
                      </a:extLst>
                    </a:blip>
                    <a:stretch>
                      <a:fillRect/>
                    </a:stretch>
                  </pic:blipFill>
                  <pic:spPr>
                    <a:xfrm>
                      <a:off x="0" y="0"/>
                      <a:ext cx="5613400" cy="2971800"/>
                    </a:xfrm>
                    <a:prstGeom prst="rect">
                      <a:avLst/>
                    </a:prstGeom>
                  </pic:spPr>
                </pic:pic>
              </a:graphicData>
            </a:graphic>
          </wp:inline>
        </w:drawing>
      </w:r>
    </w:p>
    <w:p w14:paraId="0F3BB331" w14:textId="3591241A" w:rsidR="001778F6" w:rsidRPr="001778F6" w:rsidRDefault="001778F6" w:rsidP="001778F6">
      <w:pPr>
        <w:spacing w:line="480" w:lineRule="auto"/>
        <w:ind w:firstLine="547"/>
        <w:jc w:val="center"/>
      </w:pPr>
      <w:r w:rsidRPr="00F739DD">
        <w:rPr>
          <w:i/>
        </w:rPr>
        <w:t xml:space="preserve">Figure </w:t>
      </w:r>
      <w:r>
        <w:rPr>
          <w:i/>
        </w:rPr>
        <w:t>3</w:t>
      </w:r>
      <w:r>
        <w:t xml:space="preserve">. </w:t>
      </w:r>
      <w:r>
        <w:t>Adjusted</w:t>
      </w:r>
      <w:r>
        <w:t xml:space="preserve"> Exponential Smoothing </w:t>
      </w:r>
      <w:r w:rsidR="00C210F8">
        <w:t>for</w:t>
      </w:r>
      <w:r>
        <w:t xml:space="preserve"> </w:t>
      </w:r>
      <w:r w:rsidRPr="004D741A">
        <w:rPr>
          <w:rFonts w:eastAsiaTheme="minorEastAsia"/>
        </w:rPr>
        <w:t>α</w:t>
      </w:r>
      <w:r>
        <w:rPr>
          <w:rFonts w:eastAsiaTheme="minorEastAsia"/>
        </w:rPr>
        <w:t xml:space="preserve"> = 0.75</w:t>
      </w:r>
      <w:r>
        <w:rPr>
          <w:rFonts w:eastAsiaTheme="minorEastAsia"/>
        </w:rPr>
        <w:t xml:space="preserve">, </w:t>
      </w:r>
      <w:r w:rsidRPr="00B03BC5">
        <w:rPr>
          <w:rFonts w:eastAsiaTheme="minorEastAsia"/>
        </w:rPr>
        <w:t>β</w:t>
      </w:r>
      <w:r>
        <w:rPr>
          <w:rFonts w:eastAsiaTheme="minorEastAsia"/>
        </w:rPr>
        <w:t xml:space="preserve"> = 0.15</w:t>
      </w:r>
    </w:p>
    <w:p w14:paraId="3DE6335D" w14:textId="444ABEE5" w:rsidR="007168D3" w:rsidRDefault="007168D3" w:rsidP="007168D3">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Simple Regression Analysis</w:t>
      </w:r>
    </w:p>
    <w:p w14:paraId="6A34AF39" w14:textId="2B8B0BCD" w:rsidR="00375F8D" w:rsidRDefault="001778F6" w:rsidP="00375F8D">
      <w:pPr>
        <w:spacing w:line="480" w:lineRule="auto"/>
        <w:ind w:firstLine="547"/>
      </w:pPr>
      <w:r>
        <w:rPr>
          <w:rFonts w:eastAsiaTheme="minorEastAsia"/>
        </w:rPr>
        <w:t>Perform a simple regression on stock price to get a summary shown below</w:t>
      </w:r>
      <w:r w:rsidR="00375F8D">
        <w:rPr>
          <w:rFonts w:eastAsiaTheme="minorEastAsia"/>
        </w:rPr>
        <w:t xml:space="preserve">. The residual section shows all the residual quantile </w:t>
      </w:r>
      <w:r w:rsidR="00375F8D">
        <w:t xml:space="preserve">information (the distance from the data to the fitted line). Ideally, they should be symmetrically distributed around the line. That is to say, the minimum value and the maximum value would be the same distance from zero, as well as 1Q and 3Q. But in our data, the absolute value of </w:t>
      </w:r>
      <w:proofErr w:type="gramStart"/>
      <w:r w:rsidR="00375F8D">
        <w:t>min</w:t>
      </w:r>
      <w:r w:rsidR="00375F8D">
        <w:t>(</w:t>
      </w:r>
      <w:proofErr w:type="gramEnd"/>
      <w:r w:rsidR="00375F8D">
        <w:t>-8.9502)</w:t>
      </w:r>
      <w:r w:rsidR="00375F8D">
        <w:t xml:space="preserve"> and max</w:t>
      </w:r>
      <w:r w:rsidR="00375F8D">
        <w:t>(14.0026)</w:t>
      </w:r>
      <w:r w:rsidR="00375F8D">
        <w:t xml:space="preserve"> are quite different. </w:t>
      </w:r>
    </w:p>
    <w:p w14:paraId="79996D22" w14:textId="60175C97" w:rsidR="00375F8D" w:rsidRDefault="00375F8D" w:rsidP="00375F8D">
      <w:pPr>
        <w:spacing w:line="480" w:lineRule="auto"/>
        <w:ind w:firstLine="547"/>
        <w:rPr>
          <w:rFonts w:hint="eastAsia"/>
        </w:rPr>
      </w:pPr>
      <w:r>
        <w:lastRenderedPageBreak/>
        <w:t xml:space="preserve">The std. error and t value are provided to show how the p-value were calculated. If the t value is equal to zero, it means that the variable doesn’t have much use in the model. </w:t>
      </w:r>
      <w:r>
        <w:t>I</w:t>
      </w:r>
      <w:r>
        <w:t xml:space="preserve">n this case, we’ve got a significant t-value of </w:t>
      </w:r>
      <w:r>
        <w:t>period (time) 0.698, which means that out data is not linear distributed</w:t>
      </w:r>
      <w:r>
        <w:t>. Moreover, the p-</w:t>
      </w:r>
      <w:proofErr w:type="gramStart"/>
      <w:r>
        <w:t>value</w:t>
      </w:r>
      <w:r>
        <w:t>(</w:t>
      </w:r>
      <w:proofErr w:type="gramEnd"/>
      <w:r>
        <w:t>0.4863)</w:t>
      </w:r>
      <w:r>
        <w:t xml:space="preserve"> is </w:t>
      </w:r>
      <w:r>
        <w:t>larger</w:t>
      </w:r>
      <w:r>
        <w:t xml:space="preserve"> than 0.05, which is</w:t>
      </w:r>
      <w:r>
        <w:t xml:space="preserve"> not</w:t>
      </w:r>
      <w:r>
        <w:t xml:space="preserve"> statistically significant. </w:t>
      </w:r>
    </w:p>
    <w:p w14:paraId="13F037F9" w14:textId="110816B0" w:rsidR="001778F6" w:rsidRDefault="001778F6" w:rsidP="001778F6">
      <w:pPr>
        <w:spacing w:line="480" w:lineRule="auto"/>
        <w:rPr>
          <w:rFonts w:eastAsiaTheme="minorEastAsia"/>
        </w:rPr>
      </w:pPr>
      <w:r>
        <w:rPr>
          <w:rFonts w:eastAsiaTheme="minorEastAsia"/>
          <w:noProof/>
        </w:rPr>
        <w:drawing>
          <wp:inline distT="0" distB="0" distL="0" distR="0" wp14:anchorId="0F026520" wp14:editId="17D993CE">
            <wp:extent cx="5943600" cy="287083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6 at 9.49.5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73BF73FA" w14:textId="670F2354" w:rsidR="001778F6" w:rsidRDefault="001778F6" w:rsidP="001778F6">
      <w:pPr>
        <w:spacing w:line="480" w:lineRule="auto"/>
        <w:ind w:firstLine="547"/>
        <w:jc w:val="center"/>
      </w:pPr>
      <w:r w:rsidRPr="00F739DD">
        <w:rPr>
          <w:i/>
        </w:rPr>
        <w:t xml:space="preserve">Figure </w:t>
      </w:r>
      <w:r w:rsidR="00C210F8">
        <w:rPr>
          <w:i/>
        </w:rPr>
        <w:t>4</w:t>
      </w:r>
      <w:r>
        <w:t xml:space="preserve">. </w:t>
      </w:r>
      <w:r w:rsidR="000B15A7">
        <w:t>Simple Regression Summary</w:t>
      </w:r>
    </w:p>
    <w:p w14:paraId="2C34B746" w14:textId="77777777" w:rsidR="00D234B0" w:rsidRDefault="00D234B0" w:rsidP="00D234B0">
      <w:pPr>
        <w:spacing w:line="480" w:lineRule="auto"/>
        <w:ind w:firstLine="547"/>
      </w:pPr>
      <w:r>
        <w:t>In the coefficients section, we got the least-squares estimates for the fitted line. In this case, we’ve got our equation as:</w:t>
      </w:r>
    </w:p>
    <w:p w14:paraId="7D67CCF2" w14:textId="3ABC349B" w:rsidR="00D234B0" w:rsidRPr="009F5CAB" w:rsidRDefault="00D234B0" w:rsidP="00D234B0">
      <w:pPr>
        <w:spacing w:line="480" w:lineRule="auto"/>
        <w:ind w:firstLine="547"/>
      </w:pPr>
      <m:oMathPara>
        <m:oMath>
          <m:r>
            <w:rPr>
              <w:rFonts w:ascii="Cambria Math" w:hAnsi="Cambria Math"/>
            </w:rPr>
            <m:t>stock price</m:t>
          </m:r>
          <m:r>
            <w:rPr>
              <w:rFonts w:ascii="Cambria Math" w:hAnsi="Cambria Math"/>
            </w:rPr>
            <m:t>=</m:t>
          </m:r>
          <m:r>
            <w:rPr>
              <w:rFonts w:ascii="Cambria Math" w:hAnsi="Cambria Math"/>
            </w:rPr>
            <m:t>150.4+0.008926</m:t>
          </m:r>
          <m:r>
            <w:rPr>
              <w:rFonts w:ascii="Cambria Math" w:hAnsi="Cambria Math"/>
            </w:rPr>
            <m:t>×</m:t>
          </m:r>
          <m:r>
            <w:rPr>
              <w:rFonts w:ascii="Cambria Math" w:hAnsi="Cambria Math"/>
            </w:rPr>
            <m:t>period</m:t>
          </m:r>
          <m:r>
            <w:rPr>
              <w:rFonts w:ascii="Cambria Math" w:hAnsi="Cambria Math"/>
            </w:rPr>
            <m:t>+residuals</m:t>
          </m:r>
        </m:oMath>
      </m:oMathPara>
    </w:p>
    <w:p w14:paraId="613AFBBE" w14:textId="01D241C2" w:rsidR="009F5CAB" w:rsidRDefault="009F5CAB" w:rsidP="00D234B0">
      <w:pPr>
        <w:spacing w:line="480" w:lineRule="auto"/>
        <w:ind w:firstLine="547"/>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127</m:t>
              </m:r>
            </m:sub>
          </m:sSub>
          <m:r>
            <w:rPr>
              <w:rFonts w:ascii="Cambria Math" w:eastAsiaTheme="minorEastAsia" w:hAnsi="Cambria Math"/>
            </w:rPr>
            <m:t>=</m:t>
          </m:r>
          <m:r>
            <w:rPr>
              <w:rFonts w:ascii="Cambria Math" w:hAnsi="Cambria Math"/>
            </w:rPr>
            <m:t>150.4+0.008926×</m:t>
          </m:r>
          <m:r>
            <w:rPr>
              <w:rFonts w:ascii="Cambria Math" w:hAnsi="Cambria Math"/>
            </w:rPr>
            <m:t>127=</m:t>
          </m:r>
          <m:r>
            <w:rPr>
              <w:rFonts w:ascii="Cambria Math" w:hAnsi="Cambria Math"/>
            </w:rPr>
            <m:t>151.5336</m:t>
          </m:r>
        </m:oMath>
      </m:oMathPara>
    </w:p>
    <w:p w14:paraId="42C1667A" w14:textId="59F29358" w:rsidR="00656702" w:rsidRPr="00E57653" w:rsidRDefault="00E57653" w:rsidP="00E57653">
      <w:pPr>
        <w:pStyle w:val="Heading3"/>
        <w:numPr>
          <w:ilvl w:val="0"/>
          <w:numId w:val="30"/>
        </w:numPr>
        <w:spacing w:line="480" w:lineRule="auto"/>
        <w:rPr>
          <w:rFonts w:ascii="Times New Roman" w:hAnsi="Times New Roman" w:cs="Times New Roman"/>
          <w:color w:val="000000" w:themeColor="text1"/>
        </w:rPr>
      </w:pPr>
      <w:r w:rsidRPr="00E57653">
        <w:rPr>
          <w:rFonts w:ascii="Times New Roman" w:hAnsi="Times New Roman" w:cs="Times New Roman"/>
          <w:color w:val="000000" w:themeColor="text1"/>
        </w:rPr>
        <w:t>Coefficients of correlation and determination, and the interpretations of their</w:t>
      </w:r>
      <w:r>
        <w:rPr>
          <w:rFonts w:ascii="Times New Roman" w:hAnsi="Times New Roman" w:cs="Times New Roman"/>
          <w:color w:val="000000" w:themeColor="text1"/>
        </w:rPr>
        <w:t xml:space="preserve"> values</w:t>
      </w:r>
    </w:p>
    <w:p w14:paraId="4F095702" w14:textId="77777777" w:rsidR="00234E88" w:rsidRDefault="00234E88" w:rsidP="00656702">
      <w:pPr>
        <w:spacing w:line="480" w:lineRule="auto"/>
        <w:ind w:firstLine="547"/>
        <w:rPr>
          <w:rFonts w:eastAsiaTheme="minorEastAsia"/>
        </w:rPr>
      </w:pPr>
      <w:r>
        <w:rPr>
          <w:rFonts w:eastAsiaTheme="minorEastAsia"/>
        </w:rPr>
        <w:t xml:space="preserve">Coefficient of correlation and the coefficient of determination are two statistics that describe the adequacy of a model. </w:t>
      </w:r>
    </w:p>
    <w:p w14:paraId="3D07EF64" w14:textId="345BBB7F" w:rsidR="00234E88" w:rsidRDefault="00234E88" w:rsidP="00234E88">
      <w:pPr>
        <w:spacing w:line="480" w:lineRule="auto"/>
        <w:ind w:firstLine="547"/>
        <w:rPr>
          <w:rFonts w:eastAsiaTheme="minorEastAsia"/>
        </w:rPr>
      </w:pPr>
      <w:r>
        <w:rPr>
          <w:rFonts w:eastAsiaTheme="minorEastAsia"/>
        </w:rPr>
        <w:lastRenderedPageBreak/>
        <w:t>Coefficient of correlation is a numerical descriptive measure of the linear relationship between two variables, in this case, stock prices and time. In the summary we could easily calculate that,</w:t>
      </w:r>
    </w:p>
    <w:p w14:paraId="5E733F23" w14:textId="341740F6" w:rsidR="00656702" w:rsidRDefault="00234E88" w:rsidP="00234E88">
      <w:pPr>
        <w:spacing w:line="480" w:lineRule="auto"/>
        <w:ind w:firstLine="547"/>
        <w:jc w:val="center"/>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0.003981</m:t>
              </m:r>
            </m:e>
          </m:rad>
          <m:r>
            <w:rPr>
              <w:rFonts w:ascii="Cambria Math" w:eastAsiaTheme="minorEastAsia" w:hAnsi="Cambria Math"/>
            </w:rPr>
            <m:t>=0.0631</m:t>
          </m:r>
        </m:oMath>
      </m:oMathPara>
    </w:p>
    <w:p w14:paraId="618EADE0" w14:textId="452D50E9" w:rsidR="00656702" w:rsidRDefault="00234E88" w:rsidP="00656702">
      <w:pPr>
        <w:spacing w:line="480" w:lineRule="auto"/>
        <w:ind w:firstLine="547"/>
        <w:rPr>
          <w:rFonts w:eastAsiaTheme="minorEastAsia"/>
        </w:rPr>
      </w:pPr>
      <w:r>
        <w:rPr>
          <w:rFonts w:eastAsiaTheme="minorEastAsia"/>
        </w:rPr>
        <w:t xml:space="preserve">A value of </w:t>
      </w:r>
      <w:r w:rsidRPr="00234E88">
        <w:rPr>
          <w:rFonts w:eastAsiaTheme="minorEastAsia"/>
          <w:i/>
          <w:iCs/>
        </w:rPr>
        <w:t>r</w:t>
      </w:r>
      <w:r>
        <w:rPr>
          <w:rFonts w:eastAsiaTheme="minorEastAsia"/>
        </w:rPr>
        <w:t xml:space="preserve"> nearby 0 implies little relationship between two variables. </w:t>
      </w:r>
    </w:p>
    <w:p w14:paraId="7685C63F" w14:textId="79DD915E" w:rsidR="00234E88" w:rsidRDefault="00234E88" w:rsidP="00656702">
      <w:pPr>
        <w:spacing w:line="480" w:lineRule="auto"/>
        <w:ind w:firstLine="547"/>
        <w:rPr>
          <w:rFonts w:eastAsiaTheme="minorEastAsia"/>
        </w:rPr>
      </w:pPr>
      <w:r>
        <w:rPr>
          <w:rFonts w:eastAsiaTheme="minorEastAsia"/>
        </w:rPr>
        <w:t xml:space="preserve">Coefficient of determination is a numerical descriptive measure of the contribution of </w:t>
      </w:r>
      <w:r w:rsidR="00EC0CDD">
        <w:rPr>
          <w:rFonts w:eastAsiaTheme="minorEastAsia"/>
        </w:rPr>
        <w:t xml:space="preserve">one variable in predicting the other. If the independence value does contribute information for the prediction of the dependence variable, the absolute value of </w:t>
      </w:r>
      <w:r w:rsidR="00EC0CDD" w:rsidRPr="00EC0CDD">
        <w:rPr>
          <w:rFonts w:eastAsiaTheme="minorEastAsia"/>
          <w:i/>
          <w:iCs/>
        </w:rPr>
        <w:t>r</w:t>
      </w:r>
      <w:r w:rsidR="00EC0CDD" w:rsidRPr="00EC0CDD">
        <w:rPr>
          <w:rFonts w:eastAsiaTheme="minorEastAsia"/>
          <w:vertAlign w:val="superscript"/>
        </w:rPr>
        <w:t>2</w:t>
      </w:r>
      <w:r w:rsidR="00EC0CDD">
        <w:rPr>
          <w:rFonts w:eastAsiaTheme="minorEastAsia"/>
        </w:rPr>
        <w:t xml:space="preserve"> would approach to 1. If not, then </w:t>
      </w:r>
      <w:r w:rsidR="00EC0CDD" w:rsidRPr="00EC0CDD">
        <w:rPr>
          <w:rFonts w:eastAsiaTheme="minorEastAsia"/>
          <w:i/>
          <w:iCs/>
        </w:rPr>
        <w:t>r</w:t>
      </w:r>
      <w:r w:rsidR="00EC0CDD" w:rsidRPr="00EC0CDD">
        <w:rPr>
          <w:rFonts w:eastAsiaTheme="minorEastAsia"/>
          <w:vertAlign w:val="superscript"/>
        </w:rPr>
        <w:t>2</w:t>
      </w:r>
      <w:r w:rsidR="00EC0CDD">
        <w:rPr>
          <w:rFonts w:eastAsiaTheme="minorEastAsia"/>
        </w:rPr>
        <w:t xml:space="preserve"> will approach to 0. </w:t>
      </w:r>
      <w:r w:rsidR="007D7139">
        <w:rPr>
          <w:rFonts w:eastAsiaTheme="minorEastAsia"/>
        </w:rPr>
        <w:t xml:space="preserve">In this case, </w:t>
      </w:r>
      <w:r w:rsidR="007D7139" w:rsidRPr="00EC0CDD">
        <w:rPr>
          <w:rFonts w:eastAsiaTheme="minorEastAsia"/>
          <w:i/>
          <w:iCs/>
        </w:rPr>
        <w:t>r</w:t>
      </w:r>
      <w:r w:rsidR="007D7139" w:rsidRPr="00EC0CDD">
        <w:rPr>
          <w:rFonts w:eastAsiaTheme="minorEastAsia"/>
          <w:vertAlign w:val="superscript"/>
        </w:rPr>
        <w:t>2</w:t>
      </w:r>
      <w:r w:rsidR="007D7139">
        <w:rPr>
          <w:rFonts w:eastAsiaTheme="minorEastAsia"/>
        </w:rPr>
        <w:t xml:space="preserve"> = 0.003981, this means that only 0.3% of stock price could be explained by using time to predict in the straight-line model.</w:t>
      </w:r>
    </w:p>
    <w:p w14:paraId="1C7DAB85" w14:textId="1F54F165" w:rsidR="00D46D25" w:rsidRPr="00E57653" w:rsidRDefault="00D46D25" w:rsidP="00D46D25">
      <w:pPr>
        <w:pStyle w:val="Heading3"/>
        <w:numPr>
          <w:ilvl w:val="0"/>
          <w:numId w:val="30"/>
        </w:numPr>
        <w:spacing w:line="480" w:lineRule="auto"/>
        <w:rPr>
          <w:rFonts w:ascii="Times New Roman" w:hAnsi="Times New Roman" w:cs="Times New Roman"/>
          <w:color w:val="000000" w:themeColor="text1"/>
        </w:rPr>
      </w:pPr>
      <w:r w:rsidRPr="00D46D25">
        <w:rPr>
          <w:rFonts w:ascii="Times New Roman" w:hAnsi="Times New Roman" w:cs="Times New Roman"/>
          <w:color w:val="000000" w:themeColor="text1"/>
        </w:rPr>
        <w:t>A histogram of the regression residuals, and the interpretation of its shape</w:t>
      </w:r>
    </w:p>
    <w:p w14:paraId="5F6B31D6" w14:textId="524B7B97" w:rsidR="00656702" w:rsidRDefault="00BF05B6" w:rsidP="00BF05B6">
      <w:pPr>
        <w:spacing w:line="480" w:lineRule="auto"/>
        <w:jc w:val="center"/>
        <w:rPr>
          <w:rFonts w:eastAsiaTheme="minorEastAsia"/>
        </w:rPr>
      </w:pPr>
      <w:r>
        <w:rPr>
          <w:rFonts w:eastAsiaTheme="minorEastAsia"/>
          <w:noProof/>
        </w:rPr>
        <w:drawing>
          <wp:inline distT="0" distB="0" distL="0" distR="0" wp14:anchorId="34D131B6" wp14:editId="6B57FB80">
            <wp:extent cx="5613400" cy="29718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png"/>
                    <pic:cNvPicPr/>
                  </pic:nvPicPr>
                  <pic:blipFill>
                    <a:blip r:embed="rId15">
                      <a:extLst>
                        <a:ext uri="{28A0092B-C50C-407E-A947-70E740481C1C}">
                          <a14:useLocalDpi xmlns:a14="http://schemas.microsoft.com/office/drawing/2010/main" val="0"/>
                        </a:ext>
                      </a:extLst>
                    </a:blip>
                    <a:stretch>
                      <a:fillRect/>
                    </a:stretch>
                  </pic:blipFill>
                  <pic:spPr>
                    <a:xfrm>
                      <a:off x="0" y="0"/>
                      <a:ext cx="5613400" cy="2971800"/>
                    </a:xfrm>
                    <a:prstGeom prst="rect">
                      <a:avLst/>
                    </a:prstGeom>
                  </pic:spPr>
                </pic:pic>
              </a:graphicData>
            </a:graphic>
          </wp:inline>
        </w:drawing>
      </w:r>
    </w:p>
    <w:p w14:paraId="39470B3B" w14:textId="370AF161" w:rsidR="00BF05B6" w:rsidRDefault="00BF05B6" w:rsidP="00BF05B6">
      <w:pPr>
        <w:spacing w:line="480" w:lineRule="auto"/>
        <w:ind w:firstLine="547"/>
        <w:jc w:val="center"/>
      </w:pPr>
      <w:r w:rsidRPr="00F739DD">
        <w:rPr>
          <w:i/>
        </w:rPr>
        <w:t xml:space="preserve">Figure </w:t>
      </w:r>
      <w:r>
        <w:rPr>
          <w:i/>
        </w:rPr>
        <w:t>5</w:t>
      </w:r>
      <w:r>
        <w:t xml:space="preserve">. </w:t>
      </w:r>
      <w:r>
        <w:t>Histogram of Residuals</w:t>
      </w:r>
    </w:p>
    <w:p w14:paraId="43C0F163" w14:textId="486FF6B4" w:rsidR="00656702" w:rsidRDefault="00BF05B6" w:rsidP="00BF05B6">
      <w:pPr>
        <w:spacing w:line="480" w:lineRule="auto"/>
        <w:ind w:firstLine="547"/>
        <w:rPr>
          <w:rFonts w:eastAsiaTheme="minorEastAsia"/>
        </w:rPr>
      </w:pPr>
      <w:r>
        <w:rPr>
          <w:rFonts w:eastAsiaTheme="minorEastAsia"/>
        </w:rPr>
        <w:t xml:space="preserve">This chart is skewed to the right with very few outliers. The distribution is unimodal with only one main cluster. There are 5 samples on horizontal axis, while middle 2 bars are higher </w:t>
      </w:r>
      <w:r>
        <w:rPr>
          <w:rFonts w:eastAsiaTheme="minorEastAsia"/>
        </w:rPr>
        <w:lastRenderedPageBreak/>
        <w:t xml:space="preserve">than the rest, which are about 40. In another words, most of residuals are allocated between -5 to 5. </w:t>
      </w:r>
    </w:p>
    <w:p w14:paraId="770F540B" w14:textId="0B7DA2B9" w:rsidR="006E3065" w:rsidRPr="00E57653" w:rsidRDefault="006E3065" w:rsidP="006E3065">
      <w:pPr>
        <w:pStyle w:val="Heading3"/>
        <w:numPr>
          <w:ilvl w:val="0"/>
          <w:numId w:val="30"/>
        </w:numPr>
        <w:spacing w:line="480" w:lineRule="auto"/>
        <w:rPr>
          <w:rFonts w:ascii="Times New Roman" w:hAnsi="Times New Roman" w:cs="Times New Roman"/>
          <w:color w:val="000000" w:themeColor="text1"/>
        </w:rPr>
      </w:pPr>
      <w:r w:rsidRPr="006E3065">
        <w:rPr>
          <w:rFonts w:ascii="Times New Roman" w:hAnsi="Times New Roman" w:cs="Times New Roman"/>
          <w:color w:val="000000" w:themeColor="text1"/>
        </w:rPr>
        <w:t>A Chi-squared normality test</w:t>
      </w:r>
      <w:r>
        <w:rPr>
          <w:rFonts w:ascii="Times New Roman" w:hAnsi="Times New Roman" w:cs="Times New Roman"/>
          <w:color w:val="000000" w:themeColor="text1"/>
        </w:rPr>
        <w:t xml:space="preserve"> </w:t>
      </w:r>
      <w:r w:rsidRPr="006E3065">
        <w:rPr>
          <w:rFonts w:ascii="Times New Roman" w:hAnsi="Times New Roman" w:cs="Times New Roman"/>
          <w:color w:val="000000" w:themeColor="text1"/>
        </w:rPr>
        <w:t>of the residuals, and the interpretation of its outputs</w:t>
      </w:r>
    </w:p>
    <w:p w14:paraId="257F8599" w14:textId="2E1C70F6" w:rsidR="00746A64" w:rsidRDefault="00A75F7C" w:rsidP="00746A64">
      <w:pPr>
        <w:spacing w:line="480" w:lineRule="auto"/>
        <w:ind w:firstLine="547"/>
      </w:pPr>
      <w:r>
        <w:rPr>
          <w:rFonts w:eastAsiaTheme="minorEastAsia"/>
        </w:rPr>
        <w:t xml:space="preserve">Setup a Chi-squared normality test </w:t>
      </w:r>
      <w:r w:rsidR="00746A64">
        <w:rPr>
          <w:rFonts w:eastAsiaTheme="minorEastAsia"/>
        </w:rPr>
        <w:t>with the level of significance</w:t>
      </w:r>
      <w:r w:rsidR="00746A64">
        <w:t xml:space="preserve">: </w:t>
      </w:r>
      <w:r w:rsidR="00746A64" w:rsidRPr="00867BC6">
        <w:t>α</w:t>
      </w:r>
      <w:r w:rsidR="00746A64">
        <w:t xml:space="preserve"> = 0.05. State null and alternative hypotheses as below: </w:t>
      </w:r>
    </w:p>
    <w:p w14:paraId="28350F5B" w14:textId="660D9357" w:rsidR="00746A64" w:rsidRDefault="00746A64" w:rsidP="00746A64">
      <w:pPr>
        <w:spacing w:line="480" w:lineRule="auto"/>
        <w:ind w:firstLine="720"/>
      </w:pPr>
      <w:r>
        <w:t>Null hypothesis H</w:t>
      </w:r>
      <w:r w:rsidRPr="00B468AE">
        <w:rPr>
          <w:vertAlign w:val="subscript"/>
        </w:rPr>
        <w:t>0</w:t>
      </w:r>
      <w:r>
        <w:t xml:space="preserve">: the </w:t>
      </w:r>
      <w:r>
        <w:t>residuals</w:t>
      </w:r>
      <w:r>
        <w:t xml:space="preserve"> follow the Normal distribution</w:t>
      </w:r>
    </w:p>
    <w:p w14:paraId="169AE88F" w14:textId="0BAAAF86" w:rsidR="00746A64" w:rsidRDefault="00746A64" w:rsidP="00746A64">
      <w:pPr>
        <w:spacing w:line="480" w:lineRule="auto"/>
        <w:ind w:firstLine="720"/>
      </w:pPr>
      <w:r>
        <w:t>Alternative hypothesis H</w:t>
      </w:r>
      <w:r w:rsidRPr="00B468AE">
        <w:rPr>
          <w:vertAlign w:val="subscript"/>
        </w:rPr>
        <w:t>1</w:t>
      </w:r>
      <w:r>
        <w:t xml:space="preserve">: the </w:t>
      </w:r>
      <w:r>
        <w:t>residuals do</w:t>
      </w:r>
      <w:r>
        <w:t xml:space="preserve"> not follow the Normal distribution</w:t>
      </w:r>
    </w:p>
    <w:p w14:paraId="0ADF0581" w14:textId="72C0F701" w:rsidR="006E3065" w:rsidRDefault="00C45759" w:rsidP="00C45759">
      <w:pPr>
        <w:spacing w:line="480" w:lineRule="auto"/>
        <w:rPr>
          <w:rFonts w:eastAsiaTheme="minorEastAsia"/>
        </w:rPr>
      </w:pPr>
      <w:r>
        <w:rPr>
          <w:rFonts w:eastAsiaTheme="minorEastAsia"/>
          <w:noProof/>
        </w:rPr>
        <w:drawing>
          <wp:inline distT="0" distB="0" distL="0" distR="0" wp14:anchorId="320112B2" wp14:editId="77C2443E">
            <wp:extent cx="5943600" cy="16694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6 at 10.46.2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3BDD4440" w14:textId="032AD0E0" w:rsidR="00C45759" w:rsidRDefault="00C45759" w:rsidP="00C45759">
      <w:pPr>
        <w:spacing w:line="480" w:lineRule="auto"/>
        <w:ind w:firstLine="547"/>
        <w:jc w:val="center"/>
      </w:pPr>
      <w:r w:rsidRPr="00F739DD">
        <w:rPr>
          <w:i/>
        </w:rPr>
        <w:t xml:space="preserve">Figure </w:t>
      </w:r>
      <w:r>
        <w:rPr>
          <w:i/>
        </w:rPr>
        <w:t>6</w:t>
      </w:r>
      <w:r>
        <w:t xml:space="preserve">. </w:t>
      </w:r>
      <w:r>
        <w:t>Chi-squared Test Result</w:t>
      </w:r>
    </w:p>
    <w:p w14:paraId="203D415A" w14:textId="0D545265" w:rsidR="006E3065" w:rsidRDefault="00C45759" w:rsidP="00BF05B6">
      <w:pPr>
        <w:spacing w:line="480" w:lineRule="auto"/>
        <w:ind w:firstLine="547"/>
        <w:rPr>
          <w:rFonts w:eastAsiaTheme="minorEastAsia"/>
        </w:rPr>
      </w:pPr>
      <w:r>
        <w:t>Compare p-value and significance value. In this case, the p-value (1) is larger than the significance level (</w:t>
      </w:r>
      <w:r w:rsidRPr="00867BC6">
        <w:t>α</w:t>
      </w:r>
      <w:r>
        <w:t xml:space="preserve"> = 0.05). So</w:t>
      </w:r>
      <w:r>
        <w:t>,</w:t>
      </w:r>
      <w:r>
        <w:t xml:space="preserve"> there isn’t sufficient evidence to reject H</w:t>
      </w:r>
      <w:r w:rsidRPr="009F7402">
        <w:rPr>
          <w:vertAlign w:val="subscript"/>
        </w:rPr>
        <w:t>0</w:t>
      </w:r>
      <w:r>
        <w:t xml:space="preserve">. In another word, the </w:t>
      </w:r>
      <w:r>
        <w:t xml:space="preserve">residuals are normally distributed.  </w:t>
      </w:r>
    </w:p>
    <w:p w14:paraId="689C6C7A" w14:textId="30C1F4C9" w:rsidR="00C45759" w:rsidRDefault="00C45759" w:rsidP="00C45759">
      <w:pPr>
        <w:pStyle w:val="ListParagraph"/>
        <w:numPr>
          <w:ilvl w:val="0"/>
          <w:numId w:val="30"/>
        </w:numPr>
        <w:spacing w:line="480" w:lineRule="auto"/>
        <w:rPr>
          <w:rFonts w:eastAsiaTheme="minorEastAsia"/>
        </w:rPr>
      </w:pPr>
      <w:r w:rsidRPr="00C45759">
        <w:rPr>
          <w:rFonts w:eastAsiaTheme="minorEastAsia"/>
        </w:rPr>
        <w:t>A Normal probability plot of the residuals</w:t>
      </w:r>
    </w:p>
    <w:p w14:paraId="1BD887E2" w14:textId="4E244F2E" w:rsidR="00467FEE" w:rsidRPr="00467FEE" w:rsidRDefault="00467FEE" w:rsidP="00467FEE">
      <w:pPr>
        <w:spacing w:line="480" w:lineRule="auto"/>
        <w:ind w:firstLine="547"/>
      </w:pPr>
      <w:r>
        <w:t xml:space="preserve">Prepare a normal probability plot by </w:t>
      </w:r>
      <w:proofErr w:type="spellStart"/>
      <w:proofErr w:type="gramStart"/>
      <w:r>
        <w:t>qqnorm</w:t>
      </w:r>
      <w:proofErr w:type="spellEnd"/>
      <w:r>
        <w:t>(</w:t>
      </w:r>
      <w:proofErr w:type="gramEnd"/>
      <w:r>
        <w:t xml:space="preserve">) and </w:t>
      </w:r>
      <w:proofErr w:type="spellStart"/>
      <w:r>
        <w:t>qqline</w:t>
      </w:r>
      <w:proofErr w:type="spellEnd"/>
      <w:r>
        <w:t>(), we have</w:t>
      </w:r>
    </w:p>
    <w:p w14:paraId="4A628EE6" w14:textId="19282623" w:rsidR="006E3065" w:rsidRDefault="00C45759" w:rsidP="00FE69FA">
      <w:pPr>
        <w:spacing w:line="480" w:lineRule="auto"/>
        <w:jc w:val="center"/>
        <w:rPr>
          <w:rFonts w:eastAsiaTheme="minorEastAsia"/>
        </w:rPr>
      </w:pPr>
      <w:r>
        <w:rPr>
          <w:rFonts w:eastAsiaTheme="minorEastAsia"/>
          <w:noProof/>
        </w:rPr>
        <w:lastRenderedPageBreak/>
        <w:drawing>
          <wp:inline distT="0" distB="0" distL="0" distR="0" wp14:anchorId="344BBFF8" wp14:editId="02BA573D">
            <wp:extent cx="5218347" cy="2762655"/>
            <wp:effectExtent l="0" t="0" r="1905" b="63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png"/>
                    <pic:cNvPicPr/>
                  </pic:nvPicPr>
                  <pic:blipFill>
                    <a:blip r:embed="rId17">
                      <a:extLst>
                        <a:ext uri="{28A0092B-C50C-407E-A947-70E740481C1C}">
                          <a14:useLocalDpi xmlns:a14="http://schemas.microsoft.com/office/drawing/2010/main" val="0"/>
                        </a:ext>
                      </a:extLst>
                    </a:blip>
                    <a:stretch>
                      <a:fillRect/>
                    </a:stretch>
                  </pic:blipFill>
                  <pic:spPr>
                    <a:xfrm>
                      <a:off x="0" y="0"/>
                      <a:ext cx="5218347" cy="2762655"/>
                    </a:xfrm>
                    <a:prstGeom prst="rect">
                      <a:avLst/>
                    </a:prstGeom>
                  </pic:spPr>
                </pic:pic>
              </a:graphicData>
            </a:graphic>
          </wp:inline>
        </w:drawing>
      </w:r>
    </w:p>
    <w:p w14:paraId="5B69C0AD" w14:textId="35CD2091" w:rsidR="00C45759" w:rsidRDefault="00C45759" w:rsidP="00C45759">
      <w:pPr>
        <w:spacing w:line="480" w:lineRule="auto"/>
        <w:ind w:firstLine="547"/>
        <w:jc w:val="center"/>
      </w:pPr>
      <w:r w:rsidRPr="00F739DD">
        <w:rPr>
          <w:i/>
        </w:rPr>
        <w:t>Figure</w:t>
      </w:r>
      <w:r>
        <w:rPr>
          <w:i/>
        </w:rPr>
        <w:t xml:space="preserve"> 7</w:t>
      </w:r>
      <w:r>
        <w:t xml:space="preserve">. </w:t>
      </w:r>
      <w:r>
        <w:t>Normal Probability Plots</w:t>
      </w:r>
    </w:p>
    <w:p w14:paraId="14339F83" w14:textId="140B93B3" w:rsidR="00467FEE" w:rsidRDefault="00467FEE" w:rsidP="00467FEE">
      <w:pPr>
        <w:spacing w:line="480" w:lineRule="auto"/>
        <w:ind w:firstLine="547"/>
      </w:pPr>
      <w:r>
        <w:t xml:space="preserve">As we can see from the </w:t>
      </w:r>
      <w:proofErr w:type="spellStart"/>
      <w:r>
        <w:t>qq</w:t>
      </w:r>
      <w:proofErr w:type="spellEnd"/>
      <w:r>
        <w:t xml:space="preserve"> plots, the </w:t>
      </w:r>
      <w:r>
        <w:t>theoretical</w:t>
      </w:r>
      <w:r>
        <w:t xml:space="preserve"> quantiles vs. </w:t>
      </w:r>
      <w:r>
        <w:t>sample</w:t>
      </w:r>
      <w:r>
        <w:t xml:space="preserve"> quantiles are </w:t>
      </w:r>
      <w:r>
        <w:t>about to</w:t>
      </w:r>
      <w:r>
        <w:t xml:space="preserve"> fit in a straight line. Therefore, </w:t>
      </w:r>
      <w:r>
        <w:t>the residual</w:t>
      </w:r>
      <w:r>
        <w:t xml:space="preserve"> is normally distributed.  </w:t>
      </w:r>
    </w:p>
    <w:p w14:paraId="6853D565" w14:textId="77777777" w:rsidR="00D234B0" w:rsidRPr="00D234B0" w:rsidRDefault="00D234B0" w:rsidP="00D234B0">
      <w:pPr>
        <w:pStyle w:val="ListParagraph"/>
        <w:numPr>
          <w:ilvl w:val="0"/>
          <w:numId w:val="30"/>
        </w:numPr>
        <w:spacing w:line="480" w:lineRule="auto"/>
      </w:pPr>
      <w:r w:rsidRPr="00D234B0">
        <w:t>A scatter plot of residuals versus time to study their independency, and the</w:t>
      </w:r>
      <w:r>
        <w:t xml:space="preserve"> </w:t>
      </w:r>
      <w:r w:rsidRPr="00D234B0">
        <w:t>interpretation of the shape of the scatter plot</w:t>
      </w:r>
    </w:p>
    <w:p w14:paraId="405F891B" w14:textId="2E52C7CB" w:rsidR="00C45759" w:rsidRDefault="004F021B" w:rsidP="00C71964">
      <w:pPr>
        <w:spacing w:line="480" w:lineRule="auto"/>
        <w:jc w:val="center"/>
      </w:pPr>
      <w:r>
        <w:rPr>
          <w:noProof/>
        </w:rPr>
        <w:drawing>
          <wp:inline distT="0" distB="0" distL="0" distR="0" wp14:anchorId="38C788DE" wp14:editId="2FD935E9">
            <wp:extent cx="5613400" cy="29718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png"/>
                    <pic:cNvPicPr/>
                  </pic:nvPicPr>
                  <pic:blipFill>
                    <a:blip r:embed="rId18">
                      <a:extLst>
                        <a:ext uri="{28A0092B-C50C-407E-A947-70E740481C1C}">
                          <a14:useLocalDpi xmlns:a14="http://schemas.microsoft.com/office/drawing/2010/main" val="0"/>
                        </a:ext>
                      </a:extLst>
                    </a:blip>
                    <a:stretch>
                      <a:fillRect/>
                    </a:stretch>
                  </pic:blipFill>
                  <pic:spPr>
                    <a:xfrm>
                      <a:off x="0" y="0"/>
                      <a:ext cx="5613400" cy="2971800"/>
                    </a:xfrm>
                    <a:prstGeom prst="rect">
                      <a:avLst/>
                    </a:prstGeom>
                  </pic:spPr>
                </pic:pic>
              </a:graphicData>
            </a:graphic>
          </wp:inline>
        </w:drawing>
      </w:r>
    </w:p>
    <w:p w14:paraId="4F7F2180" w14:textId="59E8B269" w:rsidR="00C71964" w:rsidRDefault="00C71964" w:rsidP="00C71964">
      <w:pPr>
        <w:spacing w:line="480" w:lineRule="auto"/>
        <w:ind w:firstLine="547"/>
        <w:jc w:val="center"/>
      </w:pPr>
      <w:r w:rsidRPr="00F739DD">
        <w:rPr>
          <w:i/>
        </w:rPr>
        <w:t>Figure</w:t>
      </w:r>
      <w:r>
        <w:rPr>
          <w:i/>
        </w:rPr>
        <w:t xml:space="preserve"> </w:t>
      </w:r>
      <w:r>
        <w:rPr>
          <w:i/>
        </w:rPr>
        <w:t>8</w:t>
      </w:r>
      <w:r>
        <w:t xml:space="preserve">. </w:t>
      </w:r>
      <w:r>
        <w:t xml:space="preserve">Residual </w:t>
      </w:r>
      <w:r w:rsidR="004F021B">
        <w:t>Scatter Plot versus Time</w:t>
      </w:r>
    </w:p>
    <w:p w14:paraId="6098EBE7" w14:textId="228F82D6" w:rsidR="00D234B0" w:rsidRDefault="001D5BC5" w:rsidP="00BF05B6">
      <w:pPr>
        <w:spacing w:line="480" w:lineRule="auto"/>
        <w:ind w:firstLine="547"/>
      </w:pPr>
      <w:r>
        <w:lastRenderedPageBreak/>
        <w:t xml:space="preserve">The independency of residuals could be tested by residual scatter plots versus time. To be satisfied as independent, the residual should be randomly spread of the plot around zero. But in this case, we could see an increasing trend from 0 to 70 and decreasing trend in the rest. Therefore, the residuals are not independent. </w:t>
      </w:r>
    </w:p>
    <w:p w14:paraId="349109C2" w14:textId="17ABB020" w:rsidR="001D5BC5" w:rsidRPr="00D234B0" w:rsidRDefault="001D5BC5" w:rsidP="001D5BC5">
      <w:pPr>
        <w:pStyle w:val="ListParagraph"/>
        <w:numPr>
          <w:ilvl w:val="0"/>
          <w:numId w:val="30"/>
        </w:numPr>
        <w:spacing w:line="480" w:lineRule="auto"/>
      </w:pPr>
      <w:r w:rsidRPr="00D234B0">
        <w:t xml:space="preserve">A scatter plot of residuals versus </w:t>
      </w:r>
      <w:r>
        <w:t>predicted stock values</w:t>
      </w:r>
      <w:r w:rsidRPr="00D234B0">
        <w:t xml:space="preserve"> to study their </w:t>
      </w:r>
      <w:r w:rsidRPr="001D5BC5">
        <w:t>homoscedasticity</w:t>
      </w:r>
      <w:r w:rsidRPr="00D234B0">
        <w:t>, and the</w:t>
      </w:r>
      <w:r>
        <w:t xml:space="preserve"> </w:t>
      </w:r>
      <w:r w:rsidRPr="00D234B0">
        <w:t>interpretation of the shape of the scatter plot</w:t>
      </w:r>
    </w:p>
    <w:p w14:paraId="1B5F2E1B" w14:textId="332AC5C7" w:rsidR="00D234B0" w:rsidRDefault="001D5BC5" w:rsidP="001D5BC5">
      <w:pPr>
        <w:spacing w:line="480" w:lineRule="auto"/>
        <w:jc w:val="center"/>
      </w:pPr>
      <w:r>
        <w:rPr>
          <w:noProof/>
        </w:rPr>
        <w:drawing>
          <wp:inline distT="0" distB="0" distL="0" distR="0" wp14:anchorId="0AF23591" wp14:editId="4E7BED30">
            <wp:extent cx="5613400" cy="29718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f.png"/>
                    <pic:cNvPicPr/>
                  </pic:nvPicPr>
                  <pic:blipFill>
                    <a:blip r:embed="rId19">
                      <a:extLst>
                        <a:ext uri="{28A0092B-C50C-407E-A947-70E740481C1C}">
                          <a14:useLocalDpi xmlns:a14="http://schemas.microsoft.com/office/drawing/2010/main" val="0"/>
                        </a:ext>
                      </a:extLst>
                    </a:blip>
                    <a:stretch>
                      <a:fillRect/>
                    </a:stretch>
                  </pic:blipFill>
                  <pic:spPr>
                    <a:xfrm>
                      <a:off x="0" y="0"/>
                      <a:ext cx="5613400" cy="2971800"/>
                    </a:xfrm>
                    <a:prstGeom prst="rect">
                      <a:avLst/>
                    </a:prstGeom>
                  </pic:spPr>
                </pic:pic>
              </a:graphicData>
            </a:graphic>
          </wp:inline>
        </w:drawing>
      </w:r>
    </w:p>
    <w:p w14:paraId="430A49BF" w14:textId="257A06ED" w:rsidR="001D5BC5" w:rsidRDefault="001D5BC5" w:rsidP="001D5BC5">
      <w:pPr>
        <w:spacing w:line="480" w:lineRule="auto"/>
        <w:ind w:firstLine="547"/>
        <w:jc w:val="center"/>
      </w:pPr>
      <w:r w:rsidRPr="00F739DD">
        <w:rPr>
          <w:i/>
        </w:rPr>
        <w:t>Figure</w:t>
      </w:r>
      <w:r>
        <w:rPr>
          <w:i/>
        </w:rPr>
        <w:t xml:space="preserve"> </w:t>
      </w:r>
      <w:r>
        <w:rPr>
          <w:i/>
        </w:rPr>
        <w:t>9</w:t>
      </w:r>
      <w:r>
        <w:t xml:space="preserve">. Residual Scatter Plot versus </w:t>
      </w:r>
      <w:r>
        <w:t>Predicted Stock Values</w:t>
      </w:r>
    </w:p>
    <w:p w14:paraId="03298CD2" w14:textId="0C2A1EB8" w:rsidR="00D234B0" w:rsidRPr="00D234B0" w:rsidRDefault="001D5BC5" w:rsidP="00BF05B6">
      <w:pPr>
        <w:spacing w:line="480" w:lineRule="auto"/>
        <w:ind w:firstLine="547"/>
      </w:pPr>
      <w:r>
        <w:t xml:space="preserve">Similar with problem 3.e, we generate a scatter plot of residuals versus predicted stock values to test their homoscedasticity. </w:t>
      </w:r>
      <w:r>
        <w:t xml:space="preserve">To be satisfied as homoscedasticity, the residual should </w:t>
      </w:r>
      <w:r>
        <w:t xml:space="preserve">also </w:t>
      </w:r>
      <w:r>
        <w:t xml:space="preserve">be randomly spread of the plot around zero. But in this case, we </w:t>
      </w:r>
      <w:r>
        <w:t>could see a similar trend up and down</w:t>
      </w:r>
      <w:r>
        <w:t>. Therefore, the residuals are not homoscedastic.</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14:paraId="28954EF4" w14:textId="43E2432F" w:rsidR="006E5321" w:rsidRDefault="006E5321" w:rsidP="006E5321">
      <w:pPr>
        <w:spacing w:line="480" w:lineRule="auto"/>
        <w:ind w:firstLine="547"/>
      </w:pPr>
      <w:r>
        <w:t>All three forecasts result as listed below.</w:t>
      </w:r>
    </w:p>
    <w:tbl>
      <w:tblPr>
        <w:tblW w:w="5820" w:type="dxa"/>
        <w:jc w:val="center"/>
        <w:tblLook w:val="04A0" w:firstRow="1" w:lastRow="0" w:firstColumn="1" w:lastColumn="0" w:noHBand="0" w:noVBand="1"/>
      </w:tblPr>
      <w:tblGrid>
        <w:gridCol w:w="4120"/>
        <w:gridCol w:w="1700"/>
      </w:tblGrid>
      <w:tr w:rsidR="006E5321" w14:paraId="1CB1E080" w14:textId="77777777" w:rsidTr="006E5321">
        <w:trPr>
          <w:trHeight w:val="260"/>
          <w:jc w:val="center"/>
        </w:trPr>
        <w:tc>
          <w:tcPr>
            <w:tcW w:w="4120" w:type="dxa"/>
            <w:tcBorders>
              <w:top w:val="single" w:sz="4" w:space="0" w:color="9BC2E6"/>
              <w:left w:val="single" w:sz="4" w:space="0" w:color="9BC2E6"/>
              <w:bottom w:val="single" w:sz="4" w:space="0" w:color="9BC2E6"/>
              <w:right w:val="nil"/>
            </w:tcBorders>
            <w:shd w:val="clear" w:color="5B9BD5" w:fill="5B9BD5"/>
            <w:noWrap/>
            <w:vAlign w:val="bottom"/>
            <w:hideMark/>
          </w:tcPr>
          <w:p w14:paraId="58581CF3" w14:textId="0C83A64C" w:rsidR="006E5321" w:rsidRDefault="006E5321">
            <w:pPr>
              <w:jc w:val="center"/>
              <w:rPr>
                <w:rFonts w:ascii="Arial" w:hAnsi="Arial" w:cs="Arial"/>
                <w:b/>
                <w:bCs/>
                <w:color w:val="FFFFFF"/>
                <w:sz w:val="20"/>
                <w:szCs w:val="20"/>
              </w:rPr>
            </w:pPr>
            <w:r>
              <w:rPr>
                <w:rFonts w:ascii="Arial" w:hAnsi="Arial" w:cs="Arial"/>
                <w:b/>
                <w:bCs/>
                <w:color w:val="FFFFFF"/>
                <w:sz w:val="20"/>
                <w:szCs w:val="20"/>
              </w:rPr>
              <w:t>Forecasting Methods</w:t>
            </w:r>
          </w:p>
        </w:tc>
        <w:tc>
          <w:tcPr>
            <w:tcW w:w="1700" w:type="dxa"/>
            <w:tcBorders>
              <w:top w:val="single" w:sz="4" w:space="0" w:color="9BC2E6"/>
              <w:left w:val="nil"/>
              <w:bottom w:val="single" w:sz="4" w:space="0" w:color="9BC2E6"/>
              <w:right w:val="nil"/>
            </w:tcBorders>
            <w:shd w:val="clear" w:color="5B9BD5" w:fill="5B9BD5"/>
            <w:noWrap/>
            <w:vAlign w:val="bottom"/>
            <w:hideMark/>
          </w:tcPr>
          <w:p w14:paraId="475B82B3" w14:textId="77777777" w:rsidR="006E5321" w:rsidRDefault="006E5321">
            <w:pPr>
              <w:jc w:val="center"/>
              <w:rPr>
                <w:rFonts w:ascii="Arial" w:hAnsi="Arial" w:cs="Arial"/>
                <w:b/>
                <w:bCs/>
                <w:color w:val="FFFFFF"/>
                <w:sz w:val="20"/>
                <w:szCs w:val="20"/>
              </w:rPr>
            </w:pPr>
            <w:r>
              <w:rPr>
                <w:rFonts w:ascii="Arial" w:hAnsi="Arial" w:cs="Arial"/>
                <w:b/>
                <w:bCs/>
                <w:color w:val="FFFFFF"/>
                <w:sz w:val="20"/>
                <w:szCs w:val="20"/>
              </w:rPr>
              <w:t>Forecast Price</w:t>
            </w:r>
          </w:p>
        </w:tc>
      </w:tr>
      <w:tr w:rsidR="006E5321" w14:paraId="7AA78CB3" w14:textId="77777777" w:rsidTr="006E5321">
        <w:trPr>
          <w:trHeight w:val="260"/>
          <w:jc w:val="center"/>
        </w:trPr>
        <w:tc>
          <w:tcPr>
            <w:tcW w:w="4120" w:type="dxa"/>
            <w:tcBorders>
              <w:top w:val="nil"/>
              <w:left w:val="single" w:sz="4" w:space="0" w:color="9BC2E6"/>
              <w:bottom w:val="single" w:sz="4" w:space="0" w:color="9BC2E6"/>
              <w:right w:val="nil"/>
            </w:tcBorders>
            <w:shd w:val="clear" w:color="DDEBF7" w:fill="DDEBF7"/>
            <w:noWrap/>
            <w:vAlign w:val="bottom"/>
            <w:hideMark/>
          </w:tcPr>
          <w:p w14:paraId="6EFE4F4F" w14:textId="77777777" w:rsidR="006E5321" w:rsidRDefault="006E5321">
            <w:pPr>
              <w:rPr>
                <w:rFonts w:ascii="Arial" w:hAnsi="Arial" w:cs="Arial"/>
                <w:color w:val="000000"/>
                <w:sz w:val="20"/>
                <w:szCs w:val="20"/>
              </w:rPr>
            </w:pPr>
            <w:r>
              <w:rPr>
                <w:rFonts w:ascii="Arial" w:hAnsi="Arial" w:cs="Arial"/>
                <w:color w:val="000000"/>
                <w:sz w:val="20"/>
                <w:szCs w:val="20"/>
              </w:rPr>
              <w:t xml:space="preserve"> Simple Exponential Smoothing Forecast </w:t>
            </w:r>
          </w:p>
        </w:tc>
        <w:tc>
          <w:tcPr>
            <w:tcW w:w="1700" w:type="dxa"/>
            <w:tcBorders>
              <w:top w:val="nil"/>
              <w:left w:val="nil"/>
              <w:bottom w:val="single" w:sz="4" w:space="0" w:color="9BC2E6"/>
              <w:right w:val="nil"/>
            </w:tcBorders>
            <w:shd w:val="clear" w:color="DDEBF7" w:fill="DDEBF7"/>
            <w:noWrap/>
            <w:vAlign w:val="bottom"/>
            <w:hideMark/>
          </w:tcPr>
          <w:p w14:paraId="2D358E79" w14:textId="77777777" w:rsidR="006E5321" w:rsidRDefault="006E5321">
            <w:pPr>
              <w:rPr>
                <w:rFonts w:ascii="Arial" w:hAnsi="Arial" w:cs="Arial"/>
                <w:color w:val="000000"/>
                <w:sz w:val="20"/>
                <w:szCs w:val="20"/>
              </w:rPr>
            </w:pPr>
            <w:r>
              <w:rPr>
                <w:rFonts w:ascii="Arial" w:hAnsi="Arial" w:cs="Arial"/>
                <w:color w:val="000000"/>
                <w:sz w:val="20"/>
                <w:szCs w:val="20"/>
              </w:rPr>
              <w:t xml:space="preserve">          146.0815 </w:t>
            </w:r>
          </w:p>
        </w:tc>
      </w:tr>
      <w:tr w:rsidR="006E5321" w14:paraId="003EE68B" w14:textId="77777777" w:rsidTr="006E5321">
        <w:trPr>
          <w:trHeight w:val="260"/>
          <w:jc w:val="center"/>
        </w:trPr>
        <w:tc>
          <w:tcPr>
            <w:tcW w:w="4120" w:type="dxa"/>
            <w:tcBorders>
              <w:top w:val="nil"/>
              <w:left w:val="single" w:sz="4" w:space="0" w:color="9BC2E6"/>
              <w:bottom w:val="single" w:sz="4" w:space="0" w:color="9BC2E6"/>
              <w:right w:val="nil"/>
            </w:tcBorders>
            <w:shd w:val="clear" w:color="auto" w:fill="auto"/>
            <w:noWrap/>
            <w:vAlign w:val="bottom"/>
            <w:hideMark/>
          </w:tcPr>
          <w:p w14:paraId="08CD9994" w14:textId="77777777" w:rsidR="006E5321" w:rsidRDefault="006E5321">
            <w:pPr>
              <w:rPr>
                <w:rFonts w:ascii="Arial" w:hAnsi="Arial" w:cs="Arial"/>
                <w:color w:val="000000"/>
                <w:sz w:val="20"/>
                <w:szCs w:val="20"/>
              </w:rPr>
            </w:pPr>
            <w:r>
              <w:rPr>
                <w:rFonts w:ascii="Arial" w:hAnsi="Arial" w:cs="Arial"/>
                <w:color w:val="000000"/>
                <w:sz w:val="20"/>
                <w:szCs w:val="20"/>
              </w:rPr>
              <w:t xml:space="preserve"> Adjusted Exponential Smoothing Forecast </w:t>
            </w:r>
          </w:p>
        </w:tc>
        <w:tc>
          <w:tcPr>
            <w:tcW w:w="1700" w:type="dxa"/>
            <w:tcBorders>
              <w:top w:val="nil"/>
              <w:left w:val="nil"/>
              <w:bottom w:val="single" w:sz="4" w:space="0" w:color="9BC2E6"/>
              <w:right w:val="nil"/>
            </w:tcBorders>
            <w:shd w:val="clear" w:color="auto" w:fill="auto"/>
            <w:noWrap/>
            <w:vAlign w:val="bottom"/>
            <w:hideMark/>
          </w:tcPr>
          <w:p w14:paraId="528981A1" w14:textId="77777777" w:rsidR="006E5321" w:rsidRDefault="006E5321">
            <w:pPr>
              <w:rPr>
                <w:rFonts w:ascii="Arial" w:hAnsi="Arial" w:cs="Arial"/>
                <w:color w:val="000000"/>
                <w:sz w:val="20"/>
                <w:szCs w:val="20"/>
              </w:rPr>
            </w:pPr>
            <w:r>
              <w:rPr>
                <w:rFonts w:ascii="Arial" w:hAnsi="Arial" w:cs="Arial"/>
                <w:color w:val="000000"/>
                <w:sz w:val="20"/>
                <w:szCs w:val="20"/>
              </w:rPr>
              <w:t xml:space="preserve">          146.9439 </w:t>
            </w:r>
          </w:p>
        </w:tc>
      </w:tr>
      <w:tr w:rsidR="006E5321" w14:paraId="7760B7C7" w14:textId="77777777" w:rsidTr="006E5321">
        <w:trPr>
          <w:trHeight w:val="260"/>
          <w:jc w:val="center"/>
        </w:trPr>
        <w:tc>
          <w:tcPr>
            <w:tcW w:w="4120" w:type="dxa"/>
            <w:tcBorders>
              <w:top w:val="nil"/>
              <w:left w:val="single" w:sz="4" w:space="0" w:color="9BC2E6"/>
              <w:bottom w:val="single" w:sz="4" w:space="0" w:color="9BC2E6"/>
              <w:right w:val="nil"/>
            </w:tcBorders>
            <w:shd w:val="clear" w:color="DDEBF7" w:fill="DDEBF7"/>
            <w:noWrap/>
            <w:vAlign w:val="bottom"/>
            <w:hideMark/>
          </w:tcPr>
          <w:p w14:paraId="081F08F0" w14:textId="77777777" w:rsidR="006E5321" w:rsidRDefault="006E5321">
            <w:pPr>
              <w:rPr>
                <w:rFonts w:ascii="Arial" w:hAnsi="Arial" w:cs="Arial"/>
                <w:color w:val="000000"/>
                <w:sz w:val="20"/>
                <w:szCs w:val="20"/>
              </w:rPr>
            </w:pPr>
            <w:r>
              <w:rPr>
                <w:rFonts w:ascii="Arial" w:hAnsi="Arial" w:cs="Arial"/>
                <w:color w:val="000000"/>
                <w:sz w:val="20"/>
                <w:szCs w:val="20"/>
              </w:rPr>
              <w:lastRenderedPageBreak/>
              <w:t xml:space="preserve"> Simple Regression Analysis </w:t>
            </w:r>
          </w:p>
        </w:tc>
        <w:tc>
          <w:tcPr>
            <w:tcW w:w="1700" w:type="dxa"/>
            <w:tcBorders>
              <w:top w:val="nil"/>
              <w:left w:val="nil"/>
              <w:bottom w:val="single" w:sz="4" w:space="0" w:color="9BC2E6"/>
              <w:right w:val="nil"/>
            </w:tcBorders>
            <w:shd w:val="clear" w:color="DDEBF7" w:fill="DDEBF7"/>
            <w:noWrap/>
            <w:vAlign w:val="bottom"/>
            <w:hideMark/>
          </w:tcPr>
          <w:p w14:paraId="29A699A2" w14:textId="77777777" w:rsidR="006E5321" w:rsidRDefault="006E5321">
            <w:pPr>
              <w:rPr>
                <w:rFonts w:ascii="Arial" w:hAnsi="Arial" w:cs="Arial"/>
                <w:color w:val="000000"/>
                <w:sz w:val="20"/>
                <w:szCs w:val="20"/>
              </w:rPr>
            </w:pPr>
            <w:r>
              <w:rPr>
                <w:rFonts w:ascii="Arial" w:hAnsi="Arial" w:cs="Arial"/>
                <w:color w:val="000000"/>
                <w:sz w:val="20"/>
                <w:szCs w:val="20"/>
              </w:rPr>
              <w:t xml:space="preserve">          151.5336 </w:t>
            </w:r>
          </w:p>
        </w:tc>
      </w:tr>
    </w:tbl>
    <w:p w14:paraId="7CE105A4" w14:textId="0EB668CC" w:rsidR="006E5321" w:rsidRDefault="006E5321" w:rsidP="006E5321">
      <w:pPr>
        <w:spacing w:before="240" w:line="480" w:lineRule="auto"/>
        <w:ind w:firstLine="547"/>
        <w:jc w:val="center"/>
      </w:pPr>
      <w:r>
        <w:rPr>
          <w:i/>
        </w:rPr>
        <w:t>Table</w:t>
      </w:r>
      <w:r w:rsidRPr="00F739DD">
        <w:rPr>
          <w:i/>
        </w:rPr>
        <w:t xml:space="preserve"> </w:t>
      </w:r>
      <w:r>
        <w:rPr>
          <w:i/>
        </w:rPr>
        <w:t>3</w:t>
      </w:r>
      <w:r>
        <w:t xml:space="preserve">. Predicted Honeywell Stock </w:t>
      </w:r>
      <w:r>
        <w:t>Prices</w:t>
      </w:r>
    </w:p>
    <w:p w14:paraId="21B78EAC" w14:textId="506C1980" w:rsidR="00190FD6" w:rsidRDefault="00263D9A" w:rsidP="00190FD6">
      <w:pPr>
        <w:spacing w:line="480" w:lineRule="auto"/>
        <w:ind w:firstLine="547"/>
      </w:pPr>
      <w:r>
        <w:t xml:space="preserve">According to </w:t>
      </w:r>
      <w:r w:rsidR="006E5321">
        <w:t>Yahoo Finance, the actual Honeywell stock value on Apr 16, 2018 is $144.31. Therefore, the simple exponential smoothing forecast provides the most accurate result in this case. The simple regression has the least accurate forecast because the stock price is not liner distributed. The difference between simple and adjusted exponential smoothing forecast is that the adjusted exponential smoothing forecast</w:t>
      </w:r>
      <w:r w:rsidR="00F44C26">
        <w:t xml:space="preserve"> explicitly</w:t>
      </w:r>
      <w:r w:rsidR="006E5321">
        <w:t xml:space="preserve"> recognize the trend in</w:t>
      </w:r>
      <w:r w:rsidR="00F44C26">
        <w:t xml:space="preserve"> time series. </w:t>
      </w:r>
      <w:r w:rsidR="006E5321">
        <w:t xml:space="preserve"> </w:t>
      </w:r>
      <w:r w:rsidR="00FE2B60">
        <w:t xml:space="preserve">But in this case, forecast without trend component perform a better result. </w:t>
      </w:r>
    </w:p>
    <w:p w14:paraId="461CCB23" w14:textId="77777777" w:rsidR="0099798A"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bookmarkStart w:id="0" w:name="_Toc12622649"/>
    </w:p>
    <w:p w14:paraId="63211B5E" w14:textId="77777777" w:rsidR="0099798A" w:rsidRDefault="0099798A">
      <w:pPr>
        <w:rPr>
          <w:rFonts w:eastAsiaTheme="majorEastAsia"/>
          <w:color w:val="000000" w:themeColor="text1"/>
        </w:rPr>
      </w:pPr>
      <w:r>
        <w:rPr>
          <w:color w:val="000000" w:themeColor="text1"/>
        </w:rPr>
        <w:br w:type="page"/>
      </w:r>
    </w:p>
    <w:p w14:paraId="6D102A1D" w14:textId="59A9D36E" w:rsidR="0099798A" w:rsidRPr="000D5722"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r w:rsidRPr="000D5722">
        <w:rPr>
          <w:rFonts w:ascii="Times New Roman" w:hAnsi="Times New Roman" w:cs="Times New Roman"/>
          <w:color w:val="000000" w:themeColor="text1"/>
          <w:sz w:val="24"/>
          <w:szCs w:val="24"/>
        </w:rPr>
        <w:lastRenderedPageBreak/>
        <w:t>Reference</w:t>
      </w:r>
      <w:bookmarkEnd w:id="0"/>
    </w:p>
    <w:p w14:paraId="79F6FCA5" w14:textId="1C69AF48" w:rsidR="000C6824" w:rsidRDefault="000C6824" w:rsidP="0099798A">
      <w:pPr>
        <w:pStyle w:val="ListParagraph"/>
        <w:numPr>
          <w:ilvl w:val="0"/>
          <w:numId w:val="6"/>
        </w:numPr>
        <w:spacing w:line="480" w:lineRule="auto"/>
        <w:ind w:left="360"/>
      </w:pPr>
      <w:r w:rsidRPr="000C6824">
        <w:t>Simple Regression and Normal Probability Plot of Residuals</w:t>
      </w:r>
      <w:r>
        <w:t xml:space="preserve">. Retrieved from </w:t>
      </w:r>
      <w:hyperlink r:id="rId20" w:history="1">
        <w:r w:rsidRPr="00D00639">
          <w:rPr>
            <w:rStyle w:val="Hyperlink"/>
          </w:rPr>
          <w:t>https://northeastern.blackboard.com/webapps/blackboard/content/listContent.jsp?course_id=_2608793_1&amp;content_id=_22434671_1</w:t>
        </w:r>
      </w:hyperlink>
    </w:p>
    <w:p w14:paraId="2D5ECFA8" w14:textId="3990EA98" w:rsidR="0099798A" w:rsidRDefault="0099798A" w:rsidP="0099798A">
      <w:pPr>
        <w:pStyle w:val="ListParagraph"/>
        <w:numPr>
          <w:ilvl w:val="0"/>
          <w:numId w:val="6"/>
        </w:numPr>
        <w:spacing w:line="480" w:lineRule="auto"/>
        <w:ind w:left="360"/>
      </w:pPr>
      <w:r>
        <w:t xml:space="preserve">Yahoo finance (Apr 16, 2018). </w:t>
      </w:r>
      <w:r w:rsidRPr="0099798A">
        <w:rPr>
          <w:i/>
          <w:iCs/>
        </w:rPr>
        <w:t xml:space="preserve">Honeywell International </w:t>
      </w:r>
      <w:proofErr w:type="gramStart"/>
      <w:r w:rsidRPr="0099798A">
        <w:rPr>
          <w:i/>
          <w:iCs/>
        </w:rPr>
        <w:t>Inc.(</w:t>
      </w:r>
      <w:proofErr w:type="gramEnd"/>
      <w:r w:rsidRPr="0099798A">
        <w:rPr>
          <w:i/>
          <w:iCs/>
        </w:rPr>
        <w:t>HON)</w:t>
      </w:r>
      <w:r>
        <w:t xml:space="preserve">. Retrieved from </w:t>
      </w:r>
      <w:hyperlink r:id="rId21" w:history="1">
        <w:r w:rsidRPr="00D00639">
          <w:rPr>
            <w:rStyle w:val="Hyperlink"/>
          </w:rPr>
          <w:t>https://finance.yahoo.com/quote/HON/</w:t>
        </w:r>
      </w:hyperlink>
    </w:p>
    <w:p w14:paraId="2951190E" w14:textId="019C5C03" w:rsidR="0099798A" w:rsidRDefault="0099798A" w:rsidP="0099798A">
      <w:pPr>
        <w:pStyle w:val="ListParagraph"/>
        <w:spacing w:line="480" w:lineRule="auto"/>
        <w:ind w:left="360"/>
      </w:pP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22"/>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078D" w14:textId="77777777" w:rsidR="006669B9" w:rsidRDefault="006669B9" w:rsidP="00BE317E">
      <w:r>
        <w:separator/>
      </w:r>
    </w:p>
  </w:endnote>
  <w:endnote w:type="continuationSeparator" w:id="0">
    <w:p w14:paraId="1BC96B4A" w14:textId="77777777" w:rsidR="006669B9" w:rsidRDefault="006669B9"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96B76" w14:textId="77777777" w:rsidR="006669B9" w:rsidRDefault="006669B9" w:rsidP="00BE317E">
      <w:r>
        <w:separator/>
      </w:r>
    </w:p>
  </w:footnote>
  <w:footnote w:type="continuationSeparator" w:id="0">
    <w:p w14:paraId="3ABDC832" w14:textId="77777777" w:rsidR="006669B9" w:rsidRDefault="006669B9"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EndPr>
      <w:rPr>
        <w:rStyle w:val="PageNumber"/>
      </w:rPr>
    </w:sdtEndPr>
    <w:sdtContent>
      <w:p w14:paraId="6B58CCBF" w14:textId="77777777" w:rsidR="00CC391E" w:rsidRDefault="00CC391E"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CC391E" w:rsidRDefault="00CC391E"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EndPr>
      <w:rPr>
        <w:rStyle w:val="PageNumber"/>
      </w:rPr>
    </w:sdtEndPr>
    <w:sdtContent>
      <w:p w14:paraId="34F29EC3" w14:textId="77777777" w:rsidR="00CC391E" w:rsidRDefault="00CC391E"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633F01A7" w:rsidR="00CC391E" w:rsidRPr="00BE317E" w:rsidRDefault="00412FBC" w:rsidP="00BE317E">
    <w:pPr>
      <w:pStyle w:val="Header"/>
      <w:ind w:right="360"/>
      <w:rPr>
        <w:sz w:val="20"/>
        <w:szCs w:val="20"/>
      </w:rPr>
    </w:pPr>
    <w:r>
      <w:rPr>
        <w:sz w:val="20"/>
        <w:szCs w:val="20"/>
      </w:rPr>
      <w:t xml:space="preserve">Project </w:t>
    </w:r>
    <w:r w:rsidR="002363EA">
      <w:rPr>
        <w:sz w:val="20"/>
        <w:szCs w:val="20"/>
      </w:rPr>
      <w:t>3</w:t>
    </w:r>
    <w:r>
      <w:rPr>
        <w:sz w:val="20"/>
        <w:szCs w:val="20"/>
      </w:rPr>
      <w:t xml:space="preserve">: </w:t>
    </w:r>
    <w:r w:rsidR="002363EA">
      <w:rPr>
        <w:sz w:val="20"/>
        <w:szCs w:val="20"/>
      </w:rPr>
      <w:t>Price Predictions</w:t>
    </w:r>
    <w:r w:rsidR="00190FD6" w:rsidRPr="00190FD6">
      <w:rPr>
        <w:sz w:val="20"/>
        <w:szCs w:val="20"/>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EndPr>
      <w:rPr>
        <w:rStyle w:val="PageNumber"/>
      </w:rPr>
    </w:sdtEndPr>
    <w:sdtContent>
      <w:p w14:paraId="7D8A61CB" w14:textId="77777777" w:rsidR="00CC391E" w:rsidRDefault="00CC391E"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CC391E" w:rsidRDefault="00CC391E"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597"/>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81050"/>
    <w:multiLevelType w:val="hybridMultilevel"/>
    <w:tmpl w:val="E8300E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844CD"/>
    <w:multiLevelType w:val="hybridMultilevel"/>
    <w:tmpl w:val="B454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4D5C"/>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64E02A8"/>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928EE"/>
    <w:multiLevelType w:val="hybridMultilevel"/>
    <w:tmpl w:val="B454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D52B5"/>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187C5D"/>
    <w:multiLevelType w:val="hybridMultilevel"/>
    <w:tmpl w:val="4960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47FEE"/>
    <w:multiLevelType w:val="hybridMultilevel"/>
    <w:tmpl w:val="99388D9E"/>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8C93DB1"/>
    <w:multiLevelType w:val="multilevel"/>
    <w:tmpl w:val="04090025"/>
    <w:numStyleLink w:val="Style1"/>
  </w:abstractNum>
  <w:abstractNum w:abstractNumId="12" w15:restartNumberingAfterBreak="0">
    <w:nsid w:val="7A6F3FDD"/>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9"/>
  </w:num>
  <w:num w:numId="4">
    <w:abstractNumId w:val="10"/>
  </w:num>
  <w:num w:numId="5">
    <w:abstractNumId w:val="10"/>
  </w:num>
  <w:num w:numId="6">
    <w:abstractNumId w:val="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3"/>
  </w:num>
  <w:num w:numId="28">
    <w:abstractNumId w:val="11"/>
  </w:num>
  <w:num w:numId="29">
    <w:abstractNumId w:val="1"/>
  </w:num>
  <w:num w:numId="30">
    <w:abstractNumId w:val="6"/>
  </w:num>
  <w:num w:numId="31">
    <w:abstractNumId w:val="4"/>
  </w:num>
  <w:num w:numId="32">
    <w:abstractNumId w:val="0"/>
  </w:num>
  <w:num w:numId="33">
    <w:abstractNumId w:val="10"/>
  </w:num>
  <w:num w:numId="34">
    <w:abstractNumId w:val="7"/>
  </w:num>
  <w:num w:numId="35">
    <w:abstractNumId w:val="10"/>
  </w:num>
  <w:num w:numId="36">
    <w:abstractNumId w:val="2"/>
  </w:num>
  <w:num w:numId="37">
    <w:abstractNumId w:val="3"/>
  </w:num>
  <w:num w:numId="38">
    <w:abstractNumId w:val="10"/>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112BE"/>
    <w:rsid w:val="00017B02"/>
    <w:rsid w:val="00021BA2"/>
    <w:rsid w:val="000231B5"/>
    <w:rsid w:val="000353CE"/>
    <w:rsid w:val="000357F6"/>
    <w:rsid w:val="00044373"/>
    <w:rsid w:val="0004765F"/>
    <w:rsid w:val="0005214C"/>
    <w:rsid w:val="000541A2"/>
    <w:rsid w:val="00056183"/>
    <w:rsid w:val="00064502"/>
    <w:rsid w:val="00071D5A"/>
    <w:rsid w:val="000941EA"/>
    <w:rsid w:val="000A705E"/>
    <w:rsid w:val="000B15A7"/>
    <w:rsid w:val="000B6801"/>
    <w:rsid w:val="000C059B"/>
    <w:rsid w:val="000C16B8"/>
    <w:rsid w:val="000C355B"/>
    <w:rsid w:val="000C4D3B"/>
    <w:rsid w:val="000C591C"/>
    <w:rsid w:val="000C64D4"/>
    <w:rsid w:val="000C6824"/>
    <w:rsid w:val="000D12B3"/>
    <w:rsid w:val="000D5183"/>
    <w:rsid w:val="000D55B8"/>
    <w:rsid w:val="000D6C5A"/>
    <w:rsid w:val="000D6C84"/>
    <w:rsid w:val="000E7B7C"/>
    <w:rsid w:val="0010547C"/>
    <w:rsid w:val="0011499E"/>
    <w:rsid w:val="00114BB4"/>
    <w:rsid w:val="001170FB"/>
    <w:rsid w:val="001239D8"/>
    <w:rsid w:val="001508BE"/>
    <w:rsid w:val="00165BA6"/>
    <w:rsid w:val="001674EF"/>
    <w:rsid w:val="00176C2B"/>
    <w:rsid w:val="001778F6"/>
    <w:rsid w:val="00177B48"/>
    <w:rsid w:val="00187349"/>
    <w:rsid w:val="00187AFE"/>
    <w:rsid w:val="00190FD6"/>
    <w:rsid w:val="00196112"/>
    <w:rsid w:val="0019681F"/>
    <w:rsid w:val="001A45FF"/>
    <w:rsid w:val="001B7340"/>
    <w:rsid w:val="001C02A7"/>
    <w:rsid w:val="001D1171"/>
    <w:rsid w:val="001D5BC5"/>
    <w:rsid w:val="001D6DAC"/>
    <w:rsid w:val="001F0BF8"/>
    <w:rsid w:val="001F135E"/>
    <w:rsid w:val="001F2F5D"/>
    <w:rsid w:val="002008B0"/>
    <w:rsid w:val="00203345"/>
    <w:rsid w:val="00213DA5"/>
    <w:rsid w:val="0021414A"/>
    <w:rsid w:val="00214E94"/>
    <w:rsid w:val="00215F57"/>
    <w:rsid w:val="0021742A"/>
    <w:rsid w:val="00224475"/>
    <w:rsid w:val="002270FD"/>
    <w:rsid w:val="00231289"/>
    <w:rsid w:val="0023373A"/>
    <w:rsid w:val="00234E88"/>
    <w:rsid w:val="002363EA"/>
    <w:rsid w:val="0023653C"/>
    <w:rsid w:val="00251F9A"/>
    <w:rsid w:val="00263D9A"/>
    <w:rsid w:val="00265C54"/>
    <w:rsid w:val="002662A5"/>
    <w:rsid w:val="00270E97"/>
    <w:rsid w:val="00292CDA"/>
    <w:rsid w:val="002A7D45"/>
    <w:rsid w:val="002B1209"/>
    <w:rsid w:val="002B1E71"/>
    <w:rsid w:val="002C07CF"/>
    <w:rsid w:val="002C3E8F"/>
    <w:rsid w:val="002C6723"/>
    <w:rsid w:val="002C77BD"/>
    <w:rsid w:val="002E189B"/>
    <w:rsid w:val="002E5ADA"/>
    <w:rsid w:val="002F1E6A"/>
    <w:rsid w:val="002F6752"/>
    <w:rsid w:val="00300D60"/>
    <w:rsid w:val="00301F85"/>
    <w:rsid w:val="003122FE"/>
    <w:rsid w:val="00314BF6"/>
    <w:rsid w:val="00320E74"/>
    <w:rsid w:val="00325EDB"/>
    <w:rsid w:val="0033662C"/>
    <w:rsid w:val="0033776F"/>
    <w:rsid w:val="00340AB4"/>
    <w:rsid w:val="00353601"/>
    <w:rsid w:val="003562F6"/>
    <w:rsid w:val="003566F2"/>
    <w:rsid w:val="0036525E"/>
    <w:rsid w:val="00367BE8"/>
    <w:rsid w:val="00371436"/>
    <w:rsid w:val="00375F8D"/>
    <w:rsid w:val="00385DFC"/>
    <w:rsid w:val="003A0308"/>
    <w:rsid w:val="003A4E6E"/>
    <w:rsid w:val="003C192F"/>
    <w:rsid w:val="003F7F67"/>
    <w:rsid w:val="004003EF"/>
    <w:rsid w:val="00404771"/>
    <w:rsid w:val="00412BA6"/>
    <w:rsid w:val="00412FBC"/>
    <w:rsid w:val="0041633F"/>
    <w:rsid w:val="00422121"/>
    <w:rsid w:val="00427FC4"/>
    <w:rsid w:val="00430C77"/>
    <w:rsid w:val="0043353E"/>
    <w:rsid w:val="00436BD3"/>
    <w:rsid w:val="00443DF5"/>
    <w:rsid w:val="00446765"/>
    <w:rsid w:val="004502D8"/>
    <w:rsid w:val="00463A10"/>
    <w:rsid w:val="00467FEE"/>
    <w:rsid w:val="00475384"/>
    <w:rsid w:val="00476B42"/>
    <w:rsid w:val="00482B73"/>
    <w:rsid w:val="004844AD"/>
    <w:rsid w:val="004A13A5"/>
    <w:rsid w:val="004A4BC3"/>
    <w:rsid w:val="004B4FA2"/>
    <w:rsid w:val="004B669F"/>
    <w:rsid w:val="004B6FC1"/>
    <w:rsid w:val="004C6FED"/>
    <w:rsid w:val="004D7345"/>
    <w:rsid w:val="004D741A"/>
    <w:rsid w:val="004E26B6"/>
    <w:rsid w:val="004E6EC9"/>
    <w:rsid w:val="004F021B"/>
    <w:rsid w:val="004F4510"/>
    <w:rsid w:val="00507A63"/>
    <w:rsid w:val="0051536F"/>
    <w:rsid w:val="00520B18"/>
    <w:rsid w:val="005318E7"/>
    <w:rsid w:val="00531A67"/>
    <w:rsid w:val="00541227"/>
    <w:rsid w:val="00542B75"/>
    <w:rsid w:val="00547FFE"/>
    <w:rsid w:val="00555590"/>
    <w:rsid w:val="00572E45"/>
    <w:rsid w:val="00573948"/>
    <w:rsid w:val="00574641"/>
    <w:rsid w:val="00575A11"/>
    <w:rsid w:val="0058075F"/>
    <w:rsid w:val="00594500"/>
    <w:rsid w:val="005A00E1"/>
    <w:rsid w:val="005A1A2F"/>
    <w:rsid w:val="005A2AC6"/>
    <w:rsid w:val="005A6F39"/>
    <w:rsid w:val="005B2E5F"/>
    <w:rsid w:val="005B77B5"/>
    <w:rsid w:val="005D681C"/>
    <w:rsid w:val="005E76E5"/>
    <w:rsid w:val="005E7FEF"/>
    <w:rsid w:val="0060060E"/>
    <w:rsid w:val="0060300C"/>
    <w:rsid w:val="00610213"/>
    <w:rsid w:val="00613E42"/>
    <w:rsid w:val="006140BC"/>
    <w:rsid w:val="00627F8B"/>
    <w:rsid w:val="006330CE"/>
    <w:rsid w:val="006349D8"/>
    <w:rsid w:val="00637617"/>
    <w:rsid w:val="006454A2"/>
    <w:rsid w:val="00647178"/>
    <w:rsid w:val="00656702"/>
    <w:rsid w:val="00657F2A"/>
    <w:rsid w:val="006627E6"/>
    <w:rsid w:val="006669B9"/>
    <w:rsid w:val="00686A73"/>
    <w:rsid w:val="006B2547"/>
    <w:rsid w:val="006C1548"/>
    <w:rsid w:val="006C3D1F"/>
    <w:rsid w:val="006D3CFA"/>
    <w:rsid w:val="006D460D"/>
    <w:rsid w:val="006E3065"/>
    <w:rsid w:val="006E3AE3"/>
    <w:rsid w:val="006E5321"/>
    <w:rsid w:val="006F576A"/>
    <w:rsid w:val="00702BB4"/>
    <w:rsid w:val="00710AB5"/>
    <w:rsid w:val="00712048"/>
    <w:rsid w:val="007168D3"/>
    <w:rsid w:val="0071784C"/>
    <w:rsid w:val="00732F76"/>
    <w:rsid w:val="00733828"/>
    <w:rsid w:val="00745301"/>
    <w:rsid w:val="00746A64"/>
    <w:rsid w:val="007542F7"/>
    <w:rsid w:val="00754CAD"/>
    <w:rsid w:val="00754E9B"/>
    <w:rsid w:val="0077186B"/>
    <w:rsid w:val="00772335"/>
    <w:rsid w:val="00774482"/>
    <w:rsid w:val="007752C0"/>
    <w:rsid w:val="0078071C"/>
    <w:rsid w:val="007816F2"/>
    <w:rsid w:val="0078177B"/>
    <w:rsid w:val="00784FA7"/>
    <w:rsid w:val="007853A5"/>
    <w:rsid w:val="007933F0"/>
    <w:rsid w:val="00795F11"/>
    <w:rsid w:val="007A792D"/>
    <w:rsid w:val="007B1655"/>
    <w:rsid w:val="007B5F74"/>
    <w:rsid w:val="007C0CB5"/>
    <w:rsid w:val="007C3350"/>
    <w:rsid w:val="007C3864"/>
    <w:rsid w:val="007C7BC1"/>
    <w:rsid w:val="007D29DC"/>
    <w:rsid w:val="007D4D50"/>
    <w:rsid w:val="007D593F"/>
    <w:rsid w:val="007D7139"/>
    <w:rsid w:val="007F6A11"/>
    <w:rsid w:val="0080544D"/>
    <w:rsid w:val="00821FBC"/>
    <w:rsid w:val="008269A9"/>
    <w:rsid w:val="0083601E"/>
    <w:rsid w:val="008402D0"/>
    <w:rsid w:val="008440A2"/>
    <w:rsid w:val="00850253"/>
    <w:rsid w:val="00853237"/>
    <w:rsid w:val="00865283"/>
    <w:rsid w:val="008841CD"/>
    <w:rsid w:val="008870CC"/>
    <w:rsid w:val="008912D3"/>
    <w:rsid w:val="008A176D"/>
    <w:rsid w:val="008B5963"/>
    <w:rsid w:val="008B5D53"/>
    <w:rsid w:val="008C0E0F"/>
    <w:rsid w:val="008C301E"/>
    <w:rsid w:val="008D47F5"/>
    <w:rsid w:val="008D5AC8"/>
    <w:rsid w:val="008D697D"/>
    <w:rsid w:val="008E34E1"/>
    <w:rsid w:val="008F30D8"/>
    <w:rsid w:val="008F4F38"/>
    <w:rsid w:val="00904B1B"/>
    <w:rsid w:val="00906E12"/>
    <w:rsid w:val="00907F57"/>
    <w:rsid w:val="00917A92"/>
    <w:rsid w:val="009342E8"/>
    <w:rsid w:val="009369BC"/>
    <w:rsid w:val="009534E1"/>
    <w:rsid w:val="00957E1C"/>
    <w:rsid w:val="00964A10"/>
    <w:rsid w:val="00971DFF"/>
    <w:rsid w:val="00974BE8"/>
    <w:rsid w:val="00975451"/>
    <w:rsid w:val="0097721E"/>
    <w:rsid w:val="00991879"/>
    <w:rsid w:val="00994CB4"/>
    <w:rsid w:val="0099513A"/>
    <w:rsid w:val="0099798A"/>
    <w:rsid w:val="009A7175"/>
    <w:rsid w:val="009A7305"/>
    <w:rsid w:val="009A7310"/>
    <w:rsid w:val="009B28E6"/>
    <w:rsid w:val="009C04EE"/>
    <w:rsid w:val="009C215E"/>
    <w:rsid w:val="009C229E"/>
    <w:rsid w:val="009D2FC3"/>
    <w:rsid w:val="009D35A1"/>
    <w:rsid w:val="009E2A60"/>
    <w:rsid w:val="009F5CAB"/>
    <w:rsid w:val="009F7402"/>
    <w:rsid w:val="00A02689"/>
    <w:rsid w:val="00A05240"/>
    <w:rsid w:val="00A175BA"/>
    <w:rsid w:val="00A263CC"/>
    <w:rsid w:val="00A2684E"/>
    <w:rsid w:val="00A54DC9"/>
    <w:rsid w:val="00A54F02"/>
    <w:rsid w:val="00A577E8"/>
    <w:rsid w:val="00A6506A"/>
    <w:rsid w:val="00A71FE3"/>
    <w:rsid w:val="00A75F7C"/>
    <w:rsid w:val="00A84908"/>
    <w:rsid w:val="00AA0641"/>
    <w:rsid w:val="00AA6B26"/>
    <w:rsid w:val="00AB00C9"/>
    <w:rsid w:val="00AB0551"/>
    <w:rsid w:val="00AD052C"/>
    <w:rsid w:val="00AD47F2"/>
    <w:rsid w:val="00AE2252"/>
    <w:rsid w:val="00AF4ED4"/>
    <w:rsid w:val="00AF5ED9"/>
    <w:rsid w:val="00B03BC5"/>
    <w:rsid w:val="00B10FF8"/>
    <w:rsid w:val="00B232CE"/>
    <w:rsid w:val="00B40CED"/>
    <w:rsid w:val="00B448C4"/>
    <w:rsid w:val="00B45164"/>
    <w:rsid w:val="00B468AE"/>
    <w:rsid w:val="00B553EC"/>
    <w:rsid w:val="00B55785"/>
    <w:rsid w:val="00B56943"/>
    <w:rsid w:val="00B6514B"/>
    <w:rsid w:val="00B67D3C"/>
    <w:rsid w:val="00B71F18"/>
    <w:rsid w:val="00B72835"/>
    <w:rsid w:val="00B7450B"/>
    <w:rsid w:val="00B80814"/>
    <w:rsid w:val="00B84367"/>
    <w:rsid w:val="00B8487D"/>
    <w:rsid w:val="00B95063"/>
    <w:rsid w:val="00BA2123"/>
    <w:rsid w:val="00BB2F21"/>
    <w:rsid w:val="00BB34CA"/>
    <w:rsid w:val="00BB4A54"/>
    <w:rsid w:val="00BB59F7"/>
    <w:rsid w:val="00BC0B30"/>
    <w:rsid w:val="00BC2758"/>
    <w:rsid w:val="00BD0086"/>
    <w:rsid w:val="00BD0AB0"/>
    <w:rsid w:val="00BE03B0"/>
    <w:rsid w:val="00BE317E"/>
    <w:rsid w:val="00BF05B6"/>
    <w:rsid w:val="00BF2929"/>
    <w:rsid w:val="00C1509C"/>
    <w:rsid w:val="00C210F8"/>
    <w:rsid w:val="00C22560"/>
    <w:rsid w:val="00C3106E"/>
    <w:rsid w:val="00C33296"/>
    <w:rsid w:val="00C378AC"/>
    <w:rsid w:val="00C4115F"/>
    <w:rsid w:val="00C41189"/>
    <w:rsid w:val="00C45369"/>
    <w:rsid w:val="00C45759"/>
    <w:rsid w:val="00C5260D"/>
    <w:rsid w:val="00C62D73"/>
    <w:rsid w:val="00C71964"/>
    <w:rsid w:val="00C7215A"/>
    <w:rsid w:val="00C74597"/>
    <w:rsid w:val="00C771FB"/>
    <w:rsid w:val="00CA7C11"/>
    <w:rsid w:val="00CC03D2"/>
    <w:rsid w:val="00CC0B19"/>
    <w:rsid w:val="00CC0C63"/>
    <w:rsid w:val="00CC391E"/>
    <w:rsid w:val="00CC3DF9"/>
    <w:rsid w:val="00CC4FE4"/>
    <w:rsid w:val="00CE067C"/>
    <w:rsid w:val="00CE2617"/>
    <w:rsid w:val="00CF0E11"/>
    <w:rsid w:val="00CF5D53"/>
    <w:rsid w:val="00D0503A"/>
    <w:rsid w:val="00D20048"/>
    <w:rsid w:val="00D2036C"/>
    <w:rsid w:val="00D2052D"/>
    <w:rsid w:val="00D2111A"/>
    <w:rsid w:val="00D234B0"/>
    <w:rsid w:val="00D234D3"/>
    <w:rsid w:val="00D46D25"/>
    <w:rsid w:val="00D61BE4"/>
    <w:rsid w:val="00D61DB8"/>
    <w:rsid w:val="00D63600"/>
    <w:rsid w:val="00D66B5E"/>
    <w:rsid w:val="00D75054"/>
    <w:rsid w:val="00D83ED9"/>
    <w:rsid w:val="00D96BD1"/>
    <w:rsid w:val="00DA0953"/>
    <w:rsid w:val="00DB4844"/>
    <w:rsid w:val="00DD0215"/>
    <w:rsid w:val="00DD4206"/>
    <w:rsid w:val="00DD6AC3"/>
    <w:rsid w:val="00DD785F"/>
    <w:rsid w:val="00DE0884"/>
    <w:rsid w:val="00DF48B1"/>
    <w:rsid w:val="00E00950"/>
    <w:rsid w:val="00E13181"/>
    <w:rsid w:val="00E13493"/>
    <w:rsid w:val="00E17228"/>
    <w:rsid w:val="00E21B71"/>
    <w:rsid w:val="00E32AA5"/>
    <w:rsid w:val="00E34E25"/>
    <w:rsid w:val="00E45EE2"/>
    <w:rsid w:val="00E4782D"/>
    <w:rsid w:val="00E51961"/>
    <w:rsid w:val="00E57653"/>
    <w:rsid w:val="00E718C9"/>
    <w:rsid w:val="00E82124"/>
    <w:rsid w:val="00E84F14"/>
    <w:rsid w:val="00E92440"/>
    <w:rsid w:val="00E973EF"/>
    <w:rsid w:val="00EC0CDD"/>
    <w:rsid w:val="00EC1A40"/>
    <w:rsid w:val="00EC6328"/>
    <w:rsid w:val="00EC69DD"/>
    <w:rsid w:val="00ED3AF4"/>
    <w:rsid w:val="00EF7B1E"/>
    <w:rsid w:val="00F00FEB"/>
    <w:rsid w:val="00F0567A"/>
    <w:rsid w:val="00F05FA1"/>
    <w:rsid w:val="00F102DA"/>
    <w:rsid w:val="00F1379C"/>
    <w:rsid w:val="00F15A16"/>
    <w:rsid w:val="00F17327"/>
    <w:rsid w:val="00F239E8"/>
    <w:rsid w:val="00F336E8"/>
    <w:rsid w:val="00F44C26"/>
    <w:rsid w:val="00F4503F"/>
    <w:rsid w:val="00F63CBF"/>
    <w:rsid w:val="00F64B81"/>
    <w:rsid w:val="00F662D1"/>
    <w:rsid w:val="00F66B5C"/>
    <w:rsid w:val="00F71F51"/>
    <w:rsid w:val="00F739DD"/>
    <w:rsid w:val="00F937C4"/>
    <w:rsid w:val="00FB4079"/>
    <w:rsid w:val="00FB4B8C"/>
    <w:rsid w:val="00FC42AF"/>
    <w:rsid w:val="00FD0685"/>
    <w:rsid w:val="00FD11EE"/>
    <w:rsid w:val="00FD2463"/>
    <w:rsid w:val="00FD686A"/>
    <w:rsid w:val="00FE2B60"/>
    <w:rsid w:val="00FE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21"/>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uiPriority w:val="34"/>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27"/>
      </w:numPr>
    </w:pPr>
  </w:style>
  <w:style w:type="paragraph" w:styleId="FootnoteText">
    <w:name w:val="footnote text"/>
    <w:basedOn w:val="Normal"/>
    <w:link w:val="FootnoteTextChar"/>
    <w:uiPriority w:val="99"/>
    <w:semiHidden/>
    <w:unhideWhenUsed/>
    <w:rsid w:val="00EC0CDD"/>
    <w:rPr>
      <w:sz w:val="20"/>
      <w:szCs w:val="20"/>
    </w:rPr>
  </w:style>
  <w:style w:type="character" w:customStyle="1" w:styleId="FootnoteTextChar">
    <w:name w:val="Footnote Text Char"/>
    <w:basedOn w:val="DefaultParagraphFont"/>
    <w:link w:val="FootnoteText"/>
    <w:uiPriority w:val="99"/>
    <w:semiHidden/>
    <w:rsid w:val="00EC0C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0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67013550">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16903387">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488783568">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29553526">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744330960">
      <w:bodyDiv w:val="1"/>
      <w:marLeft w:val="0"/>
      <w:marRight w:val="0"/>
      <w:marTop w:val="0"/>
      <w:marBottom w:val="0"/>
      <w:divBdr>
        <w:top w:val="none" w:sz="0" w:space="0" w:color="auto"/>
        <w:left w:val="none" w:sz="0" w:space="0" w:color="auto"/>
        <w:bottom w:val="none" w:sz="0" w:space="0" w:color="auto"/>
        <w:right w:val="none" w:sz="0" w:space="0" w:color="auto"/>
      </w:divBdr>
    </w:div>
    <w:div w:id="1758475422">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62158766">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 w:id="210668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finance.yahoo.com/quote/H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northeastern.blackboard.com/webapps/blackboard/content/listContent.jsp?course_id=_2608793_1&amp;content_id=_22434671_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Danielle Mauro</Abstract>
  <CompanyAddress/>
  <CompanyPhone/>
  <CompanyFax/>
  <CompanyEmail>Jun 06,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3: 
Price Predictions Project</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Price Predictions Project</dc:title>
  <dc:subject>ALY 6050_Introduction to Enterprise Analytics</dc:subject>
  <dc:creator>Yuyi Zhang</dc:creator>
  <cp:keywords/>
  <dc:description/>
  <cp:lastModifiedBy>Yuyi Zhang</cp:lastModifiedBy>
  <cp:revision>32</cp:revision>
  <dcterms:created xsi:type="dcterms:W3CDTF">2020-06-05T06:03:00Z</dcterms:created>
  <dcterms:modified xsi:type="dcterms:W3CDTF">2020-06-07T07:02:00Z</dcterms:modified>
</cp:coreProperties>
</file>