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28"/>
        </w:rPr>
        <w:t>ChemIP: An Open-Source Web Platform for Unified Chemical Safety Data Retrieval across Korean and International Regulatory Sources</w:t>
      </w:r>
    </w:p>
    <w:p>
      <w:pPr>
        <w:spacing w:line="480" w:lineRule="auto"/>
        <w:jc w:val="center"/>
      </w:pPr>
      <w:r>
        <w:rPr>
          <w:rFonts w:ascii="Times New Roman" w:hAnsi="Times New Roman"/>
          <w:sz w:val="24"/>
        </w:rPr>
        <w:t>Yu Yong Kim</w:t>
      </w:r>
    </w:p>
    <w:p>
      <w:pPr>
        <w:spacing w:line="480" w:lineRule="auto"/>
        <w:jc w:val="center"/>
      </w:pPr>
      <w:r>
        <w:rPr>
          <w:rFonts w:ascii="Times New Roman" w:hAnsi="Times New Roman"/>
          <w:sz w:val="24"/>
        </w:rPr>
        <w:t>University of Wisconsin-Madison, United States</w:t>
      </w:r>
    </w:p>
    <w:p>
      <w:pPr>
        <w:spacing w:line="480" w:lineRule="auto"/>
        <w:jc w:val="center"/>
      </w:pPr>
      <w:r>
        <w:rPr>
          <w:rFonts w:ascii="Times New Roman" w:hAnsi="Times New Roman"/>
          <w:sz w:val="24"/>
        </w:rPr>
        <w:t>Email: ykim288@wisc.edu</w:t>
      </w:r>
    </w:p>
    <w:p>
      <w:pPr>
        <w:spacing w:line="480" w:lineRule="auto"/>
        <w:jc w:val="center"/>
      </w:pPr>
      <w:r>
        <w:rPr>
          <w:rFonts w:ascii="Times New Roman" w:hAnsi="Times New Roman"/>
          <w:sz w:val="24"/>
        </w:rPr>
        <w:t>ORCID: 0009-0006-4842-666X</w:t>
      </w:r>
    </w:p>
    <w:p>
      <w:pPr>
        <w:pStyle w:val="Heading2"/>
      </w:pPr>
      <w:r>
        <w:rPr>
          <w:rFonts w:ascii="Times New Roman" w:hAnsi="Times New Roman"/>
          <w:color w:val="000000"/>
        </w:rPr>
        <w:t>Abstract</w:t>
      </w:r>
    </w:p>
    <w:p>
      <w:pPr>
        <w:spacing w:line="480" w:lineRule="auto"/>
      </w:pPr>
      <w:r>
        <w:rPr>
          <w:rFonts w:ascii="Times New Roman" w:hAnsi="Times New Roman"/>
        </w:rPr>
        <w:t>Chemical safety practitioners evaluating a substance for regulatory compliance must consult multiple disconnected government portals, each with its own interface, query syntax, and response format. In the Republic of Korea, hazard data, substance classifications, patent status, and pharmaceutical registrations are managed by separate agencies with no cross-portal integration. This fragmented workflow increases investigation time, introduces risks of information omission, and creates inconsistent evaluation quality across practitioners. ChemIP is an open-source, self-hostable web platform that integrates Korean and international safety, regulatory, and patent data sources into a single-query workflow. Its core functionality spans Material Safety Data Sheet (MSDS) retrieval with GHS classifications, Korean substance regulatory lookup, patent landscape search for freedom-to-operate analysis, pharmaceutical cross-reference, and AI-assisted safety synthesis. The platform employs an adapter-based architecture with graceful degradation, ensuring continued operation when individual data sources are unavailable. A preliminary workflow analysis suggests that per-substance investigation time may be reduced from approximately 150 min to 35 min by eliminating redundant authentication and manual data compilation across portals. The source code, automated tests, and CI/CD configuration are hosted in a public GitHub repository (https://github.com/yuyongkim/chemIP), and an archived snapshot of the software is deposited on Zenodo (DOI: 10.5281/zenodo.19447588).</w:t>
      </w:r>
    </w:p>
    <w:p>
      <w:pPr>
        <w:pStyle w:val="Heading2"/>
      </w:pPr>
      <w:r>
        <w:rPr>
          <w:rFonts w:ascii="Times New Roman" w:hAnsi="Times New Roman"/>
          <w:color w:val="000000"/>
        </w:rPr>
        <w:t>Introduction</w:t>
      </w:r>
    </w:p>
    <w:p>
      <w:pPr>
        <w:spacing w:line="480" w:lineRule="auto"/>
      </w:pPr>
      <w:r>
        <w:rPr>
          <w:rFonts w:ascii="Times New Roman" w:hAnsi="Times New Roman"/>
        </w:rPr>
        <w:t>The safe handling, transport, and trade of chemical substances requires practitioners to cross-reference multiple categories of regulatory and safety information. For a single substance, this typically includes (1) hazard classifications from Material Safety Data Sheets (MSDS), including GHS pictograms, signal words, and H-statements; (2) substance-specific regulatory classifications such as toxicity designations and accident-preparedness requirements; (3) patent status for freedom-to-operate analysis; and (4) pharmaceutical regulatory status when chemicals overlap with drug formulations.</w:t>
      </w:r>
    </w:p>
    <w:p>
      <w:pPr>
        <w:spacing w:line="480" w:lineRule="auto"/>
      </w:pPr>
      <w:r>
        <w:rPr>
          <w:rFonts w:ascii="Times New Roman" w:hAnsi="Times New Roman"/>
        </w:rPr>
        <w:t>The global chemical industry involves a large number of commercially circulated substances. The International Council of Chemical Associations reports that there are on the order of tens of thousands of chemical products in active commercial use worldwide.</w:t>
      </w:r>
      <w:r>
        <w:rPr>
          <w:rFonts w:ascii="Times New Roman" w:hAnsi="Times New Roman"/>
          <w:sz w:val="18"/>
          <w:vertAlign w:val="superscript"/>
        </w:rPr>
        <w:t>1</w:t>
      </w:r>
      <w:r>
        <w:rPr>
          <w:rFonts w:ascii="Times New Roman" w:hAnsi="Times New Roman"/>
        </w:rPr>
        <w:t xml:space="preserve"> Eurostat trade statistics report that EU exports of chemicals and related products were on the order of €560 billion in the most recent available year.</w:t>
      </w:r>
      <w:r>
        <w:rPr>
          <w:rFonts w:ascii="Times New Roman" w:hAnsi="Times New Roman"/>
          <w:sz w:val="18"/>
          <w:vertAlign w:val="superscript"/>
        </w:rPr>
        <w:t>2</w:t>
      </w:r>
      <w:r>
        <w:rPr>
          <w:rFonts w:ascii="Times New Roman" w:hAnsi="Times New Roman"/>
        </w:rPr>
        <w:t xml:space="preserve"> The scale of this industry underscores the need for efficient safety data retrieval tools.</w:t>
      </w:r>
    </w:p>
    <w:p>
      <w:pPr>
        <w:spacing w:line="480" w:lineRule="auto"/>
      </w:pPr>
      <w:r>
        <w:rPr>
          <w:rFonts w:ascii="Times New Roman" w:hAnsi="Times New Roman"/>
        </w:rPr>
        <w:t>In the Republic of Korea, the Chemical Substances Control Act</w:t>
      </w:r>
      <w:r>
        <w:rPr>
          <w:rFonts w:ascii="Times New Roman" w:hAnsi="Times New Roman"/>
          <w:sz w:val="18"/>
          <w:vertAlign w:val="superscript"/>
        </w:rPr>
        <w:t>16</w:t>
      </w:r>
      <w:r>
        <w:rPr>
          <w:rFonts w:ascii="Times New Roman" w:hAnsi="Times New Roman"/>
        </w:rPr>
        <w:t xml:space="preserve"> and the Occupational Safety and Health Act</w:t>
      </w:r>
      <w:r>
        <w:rPr>
          <w:rFonts w:ascii="Times New Roman" w:hAnsi="Times New Roman"/>
          <w:sz w:val="18"/>
          <w:vertAlign w:val="superscript"/>
        </w:rPr>
        <w:t>17</w:t>
      </w:r>
      <w:r>
        <w:rPr>
          <w:rFonts w:ascii="Times New Roman" w:hAnsi="Times New Roman"/>
        </w:rPr>
        <w:t xml:space="preserve"> distribute chemical safety responsibilities across six agencies: the Korea Occupational Safety and Health Agency (KOSHA) for MSDS and occupational exposure data; the Korea Intellectual Property Rights Information Service (KIPRIS) for patent search; the Korea Trade-Investment Promotion Agency (KOTRA) for trade intelligence; the Ministry of Food and Drug Safety (MFDS) for pharmaceutical registrations; and the Korea Information System for Chemical Safety (KISCHEM) and the National Chemical Information System (NCIS), both operated by the National Institute of Chemical Safety (NICS) under the Ministry of Environment, for substance classification and exposure data. Each agency maintains an independent web portal with its own query interface and response format.</w:t>
      </w:r>
    </w:p>
    <w:p>
      <w:pPr>
        <w:spacing w:line="480" w:lineRule="auto"/>
      </w:pPr>
      <w:r>
        <w:rPr>
          <w:rFonts w:ascii="Times New Roman" w:hAnsi="Times New Roman"/>
        </w:rPr>
        <w:t>A typical substance evaluation requires a practitioner to sequentially access each portal, re-enter search queries, and manually compile results into a working document. An internal deployment plan documented four systemic inefficiencies in this workflow:</w:t>
      </w:r>
      <w:r>
        <w:rPr>
          <w:rFonts w:ascii="Times New Roman" w:hAnsi="Times New Roman"/>
          <w:sz w:val="18"/>
          <w:vertAlign w:val="superscript"/>
        </w:rPr>
        <w:t>3</w:t>
      </w:r>
      <w:r>
        <w:rPr>
          <w:rFonts w:ascii="Times New Roman" w:hAnsi="Times New Roman"/>
        </w:rPr>
        <w:t xml:space="preserve"> (1) fragmented query channels with no cross-portal linking; (2) process delays dominated by repetitive manual lookups; (3) inconsistent results due to variable practitioner expertise; and (4) broken follow-up workflows where patent and market investigation is interrupted after initial MSDS review.</w:t>
      </w:r>
    </w:p>
    <w:p>
      <w:pPr>
        <w:spacing w:line="480" w:lineRule="auto"/>
      </w:pPr>
      <w:r>
        <w:rPr>
          <w:rFonts w:ascii="Times New Roman" w:hAnsi="Times New Roman"/>
        </w:rPr>
        <w:t>This cross-referencing burden falls disproportionately on two groups: Korean small and medium-sized enterprises (SMEs) preparing chemical exports, which must verify that target substances meet destination-country regulations and do not infringe existing patents; and foreign companies entering the Korean market, which must navigate Korea-specific safety classifications and substance restrictions before domestic distribution.</w:t>
      </w:r>
    </w:p>
    <w:p>
      <w:pPr>
        <w:spacing w:line="480" w:lineRule="auto"/>
      </w:pPr>
      <w:r>
        <w:rPr>
          <w:rFonts w:ascii="Times New Roman" w:hAnsi="Times New Roman"/>
        </w:rPr>
        <w:t>The core problem is not a lack of public data — the information exists across well-maintained government services — but workflow fragmentation: no open tool integrates these sources into a unified lookup process. Existing platforms address parts of this problem: PubChem</w:t>
      </w:r>
      <w:r>
        <w:rPr>
          <w:rFonts w:ascii="Times New Roman" w:hAnsi="Times New Roman"/>
          <w:sz w:val="18"/>
          <w:vertAlign w:val="superscript"/>
        </w:rPr>
        <w:t>4</w:t>
      </w:r>
      <w:r>
        <w:rPr>
          <w:rFonts w:ascii="Times New Roman" w:hAnsi="Times New Roman"/>
        </w:rPr>
        <w:t xml:space="preserve"> provides comprehensive chemical properties, GHS hazard classification summaries, and patent-extracted chemical structures, but does not provide full 16-section MSDS documents or multi-source orchestration across Korean regulatory portals; SciFinder</w:t>
      </w:r>
      <w:r>
        <w:rPr>
          <w:rFonts w:ascii="Times New Roman" w:hAnsi="Times New Roman"/>
          <w:sz w:val="18"/>
          <w:vertAlign w:val="superscript"/>
        </w:rPr>
        <w:t>5</w:t>
      </w:r>
      <w:r>
        <w:rPr>
          <w:rFonts w:ascii="Times New Roman" w:hAnsi="Times New Roman"/>
        </w:rPr>
        <w:t xml:space="preserve"> and Reaxys</w:t>
      </w:r>
      <w:r>
        <w:rPr>
          <w:rFonts w:ascii="Times New Roman" w:hAnsi="Times New Roman"/>
          <w:sz w:val="18"/>
          <w:vertAlign w:val="superscript"/>
        </w:rPr>
        <w:t>6</w:t>
      </w:r>
      <w:r>
        <w:rPr>
          <w:rFonts w:ascii="Times New Roman" w:hAnsi="Times New Roman"/>
        </w:rPr>
        <w:t xml:space="preserve"> offer patent-integrated molecular search but are commercial products that do not cover Korean regulatory data; OpenFDA</w:t>
      </w:r>
      <w:r>
        <w:rPr>
          <w:rFonts w:ascii="Times New Roman" w:hAnsi="Times New Roman"/>
          <w:sz w:val="18"/>
          <w:vertAlign w:val="superscript"/>
        </w:rPr>
        <w:t>7</w:t>
      </w:r>
      <w:r>
        <w:rPr>
          <w:rFonts w:ascii="Times New Roman" w:hAnsi="Times New Roman"/>
        </w:rPr>
        <w:t xml:space="preserve"> covers US drug safety without cross-domain integration. While PubChem provides GHS classification data and patent search capabilities, and SciFinder and Reaxys offer drug cross-referencing, none of these platforms integrate Korean-specific regulatory data sources (KOSHA full MSDS, KISCHEM, NCIS) with patent search in a unified safety evaluation workflow. To our knowledge, there is no publicly documented open-source, self-hostable platform that orchestrates live queries across these Korean regulatory portals alongside international sources in a single workflow, based on a literature and product documentation review conducted in early 2026.</w:t>
      </w:r>
      <w:r>
        <w:rPr>
          <w:rFonts w:ascii="Times New Roman" w:hAnsi="Times New Roman"/>
          <w:sz w:val="18"/>
          <w:vertAlign w:val="superscript"/>
        </w:rPr>
        <w:t>4-7</w:t>
      </w:r>
    </w:p>
    <w:p>
      <w:pPr>
        <w:spacing w:line="480" w:lineRule="auto"/>
      </w:pPr>
      <w:r>
        <w:rPr>
          <w:rFonts w:ascii="Times New Roman" w:hAnsi="Times New Roman"/>
        </w:rPr>
        <w:t>In contrast to prior tools that focus primarily on chemical structure or property search, ChemIP is designed explicitly around the end-to-end workflow of regulatory safety evaluation for export-bound and imported substances in the Korean context. This article presents ChemIP, an open-source web platform that integrates safety, regulatory, and patent data sources into a single-query chemical safety investigation workflow, and describes its architecture, safety-relevant functionalities, and preliminary deployment experience.</w:t>
      </w:r>
    </w:p>
    <w:p>
      <w:pPr>
        <w:pStyle w:val="Heading2"/>
      </w:pPr>
      <w:r>
        <w:rPr>
          <w:rFonts w:ascii="Times New Roman" w:hAnsi="Times New Roman"/>
          <w:color w:val="000000"/>
        </w:rPr>
        <w:t>Platform Design</w:t>
      </w:r>
    </w:p>
    <w:p>
      <w:pPr>
        <w:spacing w:line="480" w:lineRule="auto"/>
      </w:pPr>
      <w:r>
        <w:rPr>
          <w:rFonts w:ascii="Times New Roman" w:hAnsi="Times New Roman"/>
          <w:b/>
        </w:rPr>
        <w:t>Architecture.</w:t>
      </w:r>
      <w:r>
        <w:rPr>
          <w:rFonts w:ascii="Times New Roman" w:hAnsi="Times New Roman"/>
        </w:rPr>
        <w:t xml:space="preserve"> ChemIP follows a three-tier architecture (Figure 1): a browser-based interface,</w:t>
      </w:r>
      <w:r>
        <w:rPr>
          <w:rFonts w:ascii="Times New Roman" w:hAnsi="Times New Roman"/>
          <w:sz w:val="18"/>
          <w:vertAlign w:val="superscript"/>
        </w:rPr>
        <w:t>13</w:t>
      </w:r>
      <w:r>
        <w:rPr>
          <w:rFonts w:ascii="Times New Roman" w:hAnsi="Times New Roman"/>
        </w:rPr>
        <w:t xml:space="preserve"> a Python server layer (FastAPI</w:t>
      </w:r>
      <w:r>
        <w:rPr>
          <w:rFonts w:ascii="Times New Roman" w:hAnsi="Times New Roman"/>
          <w:sz w:val="18"/>
          <w:vertAlign w:val="superscript"/>
        </w:rPr>
        <w:t>12</w:t>
      </w:r>
      <w:r>
        <w:rPr>
          <w:rFonts w:ascii="Times New Roman" w:hAnsi="Times New Roman"/>
        </w:rPr>
        <w:t>) handling queries to multiple safety, regulatory, and patent data sources, and a local data cache for offline access. The server orchestrates external data sources, local databases, and an optional local language model (Ollama</w:t>
      </w:r>
      <w:r>
        <w:rPr>
          <w:rFonts w:ascii="Times New Roman" w:hAnsi="Times New Roman"/>
          <w:sz w:val="18"/>
          <w:vertAlign w:val="superscript"/>
        </w:rPr>
        <w:t>10</w:t>
      </w:r>
      <w:r>
        <w:rPr>
          <w:rFonts w:ascii="Times New Roman" w:hAnsi="Times New Roman"/>
        </w:rPr>
        <w:t>) for safety report generation. Hazard classifications follow the Globally Harmonized System (GHS Rev. 10).</w:t>
      </w:r>
      <w:r>
        <w:rPr>
          <w:rFonts w:ascii="Times New Roman" w:hAnsi="Times New Roman"/>
          <w:sz w:val="18"/>
          <w:vertAlign w:val="superscript"/>
        </w:rPr>
        <w:t>11</w:t>
      </w:r>
    </w:p>
    <w:p>
      <w:pPr>
        <w:spacing w:before="240" w:after="80"/>
        <w:jc w:val="center"/>
      </w:pPr>
      <w:r>
        <w:drawing>
          <wp:inline xmlns:a="http://schemas.openxmlformats.org/drawingml/2006/main" xmlns:pic="http://schemas.openxmlformats.org/drawingml/2006/picture">
            <wp:extent cx="5029200" cy="3272425"/>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029200" cy="3272425"/>
                    </a:xfrm>
                    <a:prstGeom prst="rect"/>
                  </pic:spPr>
                </pic:pic>
              </a:graphicData>
            </a:graphic>
          </wp:inline>
        </w:drawing>
      </w:r>
    </w:p>
    <w:p>
      <w:pPr>
        <w:spacing w:after="240"/>
        <w:jc w:val="center"/>
      </w:pPr>
      <w:r>
        <w:rPr>
          <w:rFonts w:ascii="Times New Roman" w:hAnsi="Times New Roman"/>
          <w:i/>
          <w:sz w:val="20"/>
        </w:rPr>
        <w:t>Figure 1. Three-tier architecture of the ChemIP platform showing the browser-based presentation layer, FastAPI server with adapter modules, and external data sources.</w:t>
      </w:r>
    </w:p>
    <w:p>
      <w:pPr>
        <w:spacing w:line="480" w:lineRule="auto"/>
      </w:pPr>
      <w:r>
        <w:rPr>
          <w:rFonts w:ascii="Times New Roman" w:hAnsi="Times New Roman"/>
          <w:b/>
        </w:rPr>
        <w:t>Adapter-based integration.</w:t>
      </w:r>
      <w:r>
        <w:rPr>
          <w:rFonts w:ascii="Times New Roman" w:hAnsi="Times New Roman"/>
        </w:rPr>
        <w:t xml:space="preserve"> Each external data source is wrapped in a dedicated adapter module (Table 1) that handles authentication, request construction, response parsing (XML or JSON), and error normalization. All adapters share a communication layer with automatic retry and failover when government portals experience temporary outages, ensuring reliable safety data retrieval. For deployments requiring large-scale patent analysis, ChemIP supports an optional pre-built patent index using efficient multi-keyword search</w:t>
      </w:r>
      <w:r>
        <w:rPr>
          <w:rFonts w:ascii="Times New Roman" w:hAnsi="Times New Roman"/>
          <w:sz w:val="18"/>
          <w:vertAlign w:val="superscript"/>
        </w:rPr>
        <w:t>8</w:t>
      </w:r>
      <w:r>
        <w:rPr>
          <w:rFonts w:ascii="Times New Roman" w:hAnsi="Times New Roman"/>
        </w:rPr>
        <w:t xml:space="preserve"> over a locally cached patent corpus.</w:t>
      </w:r>
      <w:r>
        <w:rPr>
          <w:rFonts w:ascii="Times New Roman" w:hAnsi="Times New Roman"/>
          <w:sz w:val="18"/>
          <w:vertAlign w:val="superscript"/>
        </w:rPr>
        <w:t>9</w:t>
      </w:r>
    </w:p>
    <w:p>
      <w:pPr>
        <w:spacing w:line="480" w:lineRule="auto"/>
      </w:pPr>
      <w:r>
        <w:rPr>
          <w:b/>
        </w:rPr>
        <w:t>Table 1.</w:t>
      </w:r>
      <w:r>
        <w:t xml:space="preserve"> Integrated data sources and adapter characteristics as of ChemIP v1.1.1.</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rFonts w:ascii="Times New Roman" w:hAnsi="Times New Roman"/>
                <w:b/>
                <w:sz w:val="20"/>
              </w:rPr>
            </w:r>
            <w:r>
              <w:rPr>
                <w:rFonts w:ascii="Times New Roman" w:hAnsi="Times New Roman"/>
                <w:b/>
                <w:sz w:val="20"/>
              </w:rPr>
              <w:t>Source</w:t>
            </w:r>
          </w:p>
        </w:tc>
        <w:tc>
          <w:tcPr>
            <w:tcW w:type="dxa" w:w="3120"/>
          </w:tcPr>
          <w:p>
            <w:pPr>
              <w:spacing w:line="240" w:lineRule="auto" w:before="40" w:after="40"/>
            </w:pPr>
            <w:r>
              <w:rPr>
                <w:rFonts w:ascii="Times New Roman" w:hAnsi="Times New Roman"/>
                <w:b/>
                <w:sz w:val="20"/>
              </w:rPr>
            </w:r>
            <w:r>
              <w:rPr>
                <w:rFonts w:ascii="Times New Roman" w:hAnsi="Times New Roman"/>
                <w:b/>
                <w:sz w:val="20"/>
              </w:rPr>
              <w:t>Format</w:t>
            </w:r>
          </w:p>
        </w:tc>
        <w:tc>
          <w:tcPr>
            <w:tcW w:type="dxa" w:w="3120"/>
          </w:tcPr>
          <w:p>
            <w:pPr>
              <w:spacing w:line="240" w:lineRule="auto" w:before="40" w:after="40"/>
            </w:pPr>
            <w:r>
              <w:rPr>
                <w:rFonts w:ascii="Times New Roman" w:hAnsi="Times New Roman"/>
                <w:b/>
                <w:sz w:val="20"/>
              </w:rPr>
            </w:r>
            <w:r>
              <w:rPr>
                <w:rFonts w:ascii="Times New Roman" w:hAnsi="Times New Roman"/>
                <w:b/>
                <w:sz w:val="20"/>
              </w:rPr>
              <w:t>Scope</w:t>
            </w:r>
          </w:p>
        </w:tc>
      </w:tr>
      <w:tr>
        <w:tc>
          <w:tcPr>
            <w:tcW w:type="dxa" w:w="3120"/>
          </w:tcPr>
          <w:p>
            <w:pPr>
              <w:spacing w:line="240" w:lineRule="auto" w:before="40" w:after="40"/>
            </w:pPr>
            <w:r>
              <w:rPr>
                <w:rFonts w:ascii="Times New Roman" w:hAnsi="Times New Roman"/>
                <w:sz w:val="20"/>
              </w:rPr>
            </w:r>
            <w:r>
              <w:rPr>
                <w:rFonts w:ascii="Times New Roman" w:hAnsi="Times New Roman"/>
                <w:sz w:val="20"/>
              </w:rPr>
              <w:t>KOSHA MSDS</w:t>
            </w:r>
            <w:r>
              <w:rPr>
                <w:rFonts w:ascii="Times New Roman" w:hAnsi="Times New Roman"/>
                <w:sz w:val="20"/>
                <w:vertAlign w:val="superscript"/>
              </w:rPr>
              <w:t>14</w:t>
            </w:r>
          </w:p>
        </w:tc>
        <w:tc>
          <w:tcPr>
            <w:tcW w:type="dxa" w:w="3120"/>
          </w:tcPr>
          <w:p>
            <w:pPr>
              <w:spacing w:line="240" w:lineRule="auto" w:before="40" w:after="40"/>
            </w:pPr>
            <w:r>
              <w:rPr>
                <w:rFonts w:ascii="Times New Roman" w:hAnsi="Times New Roman"/>
                <w:sz w:val="20"/>
              </w:rPr>
            </w:r>
            <w:r>
              <w:rPr>
                <w:rFonts w:ascii="Times New Roman" w:hAnsi="Times New Roman"/>
                <w:sz w:val="20"/>
              </w:rPr>
              <w:t>XML</w:t>
            </w:r>
          </w:p>
        </w:tc>
        <w:tc>
          <w:tcPr>
            <w:tcW w:type="dxa" w:w="3120"/>
          </w:tcPr>
          <w:p>
            <w:pPr>
              <w:spacing w:line="240" w:lineRule="auto" w:before="40" w:after="40"/>
            </w:pPr>
            <w:r>
              <w:rPr>
                <w:rFonts w:ascii="Times New Roman" w:hAnsi="Times New Roman"/>
                <w:sz w:val="20"/>
              </w:rPr>
            </w:r>
            <w:r>
              <w:rPr>
                <w:rFonts w:ascii="Times New Roman" w:hAnsi="Times New Roman"/>
                <w:sz w:val="20"/>
              </w:rPr>
              <w:t>16-section safety data with GHS classifications (with data.go.kr fallback</w:t>
            </w:r>
            <w:r>
              <w:rPr>
                <w:rFonts w:ascii="Times New Roman" w:hAnsi="Times New Roman"/>
                <w:sz w:val="20"/>
                <w:vertAlign w:val="superscript"/>
              </w:rPr>
              <w:t>15</w:t>
            </w:r>
            <w:r>
              <w:rPr>
                <w:rFonts w:ascii="Times New Roman" w:hAnsi="Times New Roman"/>
                <w:sz w:val="20"/>
              </w:rPr>
              <w:t>)</w:t>
            </w:r>
          </w:p>
        </w:tc>
      </w:tr>
      <w:tr>
        <w:tc>
          <w:tcPr>
            <w:tcW w:type="dxa" w:w="3120"/>
          </w:tcPr>
          <w:p>
            <w:pPr>
              <w:spacing w:line="240" w:lineRule="auto" w:before="40" w:after="40"/>
            </w:pPr>
            <w:r>
              <w:rPr>
                <w:rFonts w:ascii="Times New Roman" w:hAnsi="Times New Roman"/>
                <w:sz w:val="20"/>
              </w:rPr>
            </w:r>
            <w:r>
              <w:rPr>
                <w:rFonts w:ascii="Times New Roman" w:hAnsi="Times New Roman"/>
                <w:sz w:val="20"/>
              </w:rPr>
              <w:t>KIPRIS Patents</w:t>
            </w:r>
          </w:p>
        </w:tc>
        <w:tc>
          <w:tcPr>
            <w:tcW w:type="dxa" w:w="3120"/>
          </w:tcPr>
          <w:p>
            <w:pPr>
              <w:spacing w:line="240" w:lineRule="auto" w:before="40" w:after="40"/>
            </w:pPr>
            <w:r>
              <w:rPr>
                <w:rFonts w:ascii="Times New Roman" w:hAnsi="Times New Roman"/>
                <w:sz w:val="20"/>
              </w:rPr>
            </w:r>
            <w:r>
              <w:rPr>
                <w:rFonts w:ascii="Times New Roman" w:hAnsi="Times New Roman"/>
                <w:sz w:val="20"/>
              </w:rPr>
              <w:t>XML</w:t>
            </w:r>
          </w:p>
        </w:tc>
        <w:tc>
          <w:tcPr>
            <w:tcW w:type="dxa" w:w="3120"/>
          </w:tcPr>
          <w:p>
            <w:pPr>
              <w:spacing w:line="240" w:lineRule="auto" w:before="40" w:after="40"/>
            </w:pPr>
            <w:r>
              <w:rPr>
                <w:rFonts w:ascii="Times New Roman" w:hAnsi="Times New Roman"/>
                <w:sz w:val="20"/>
              </w:rPr>
            </w:r>
            <w:r>
              <w:rPr>
                <w:rFonts w:ascii="Times New Roman" w:hAnsi="Times New Roman"/>
                <w:sz w:val="20"/>
              </w:rPr>
              <w:t>Korean patent search and detail retrieval</w:t>
            </w:r>
          </w:p>
        </w:tc>
      </w:tr>
      <w:tr>
        <w:tc>
          <w:tcPr>
            <w:tcW w:type="dxa" w:w="3120"/>
          </w:tcPr>
          <w:p>
            <w:pPr>
              <w:spacing w:line="240" w:lineRule="auto" w:before="40" w:after="40"/>
            </w:pPr>
            <w:r>
              <w:rPr>
                <w:rFonts w:ascii="Times New Roman" w:hAnsi="Times New Roman"/>
                <w:sz w:val="20"/>
              </w:rPr>
            </w:r>
            <w:r>
              <w:rPr>
                <w:rFonts w:ascii="Times New Roman" w:hAnsi="Times New Roman"/>
                <w:sz w:val="20"/>
              </w:rPr>
              <w:t>KOTRA (7 sub-APIs)</w:t>
            </w:r>
          </w:p>
        </w:tc>
        <w:tc>
          <w:tcPr>
            <w:tcW w:type="dxa" w:w="3120"/>
          </w:tcPr>
          <w:p>
            <w:pPr>
              <w:spacing w:line="240" w:lineRule="auto" w:before="40" w:after="40"/>
            </w:pPr>
            <w:r>
              <w:rPr>
                <w:rFonts w:ascii="Times New Roman" w:hAnsi="Times New Roman"/>
                <w:sz w:val="20"/>
              </w:rPr>
            </w:r>
            <w:r>
              <w:rPr>
                <w:rFonts w:ascii="Times New Roman" w:hAnsi="Times New Roman"/>
                <w:sz w:val="20"/>
              </w:rPr>
              <w:t>JSON/XML</w:t>
            </w:r>
          </w:p>
        </w:tc>
        <w:tc>
          <w:tcPr>
            <w:tcW w:type="dxa" w:w="3120"/>
          </w:tcPr>
          <w:p>
            <w:pPr>
              <w:spacing w:line="240" w:lineRule="auto" w:before="40" w:after="40"/>
            </w:pPr>
            <w:r>
              <w:rPr>
                <w:rFonts w:ascii="Times New Roman" w:hAnsi="Times New Roman"/>
                <w:sz w:val="20"/>
              </w:rPr>
            </w:r>
            <w:r>
              <w:rPr>
                <w:rFonts w:ascii="Times New Roman" w:hAnsi="Times New Roman"/>
                <w:sz w:val="20"/>
              </w:rPr>
              <w:t>Market news, entry strategy, price info, fraud cases, import restrictions</w:t>
            </w:r>
          </w:p>
        </w:tc>
      </w:tr>
      <w:tr>
        <w:tc>
          <w:tcPr>
            <w:tcW w:type="dxa" w:w="3120"/>
          </w:tcPr>
          <w:p>
            <w:pPr>
              <w:spacing w:line="240" w:lineRule="auto" w:before="40" w:after="40"/>
            </w:pPr>
            <w:r>
              <w:rPr>
                <w:rFonts w:ascii="Times New Roman" w:hAnsi="Times New Roman"/>
                <w:sz w:val="20"/>
              </w:rPr>
            </w:r>
            <w:r>
              <w:rPr>
                <w:rFonts w:ascii="Times New Roman" w:hAnsi="Times New Roman"/>
                <w:sz w:val="20"/>
              </w:rPr>
              <w:t>MFDS</w:t>
            </w:r>
          </w:p>
        </w:tc>
        <w:tc>
          <w:tcPr>
            <w:tcW w:type="dxa" w:w="3120"/>
          </w:tcPr>
          <w:p>
            <w:pPr>
              <w:spacing w:line="240" w:lineRule="auto" w:before="40" w:after="40"/>
            </w:pPr>
            <w:r>
              <w:rPr>
                <w:rFonts w:ascii="Times New Roman" w:hAnsi="Times New Roman"/>
                <w:sz w:val="20"/>
              </w:rPr>
            </w:r>
            <w:r>
              <w:rPr>
                <w:rFonts w:ascii="Times New Roman" w:hAnsi="Times New Roman"/>
                <w:sz w:val="20"/>
              </w:rPr>
              <w:t>JSON</w:t>
            </w:r>
          </w:p>
        </w:tc>
        <w:tc>
          <w:tcPr>
            <w:tcW w:type="dxa" w:w="3120"/>
          </w:tcPr>
          <w:p>
            <w:pPr>
              <w:spacing w:line="240" w:lineRule="auto" w:before="40" w:after="40"/>
            </w:pPr>
            <w:r>
              <w:rPr>
                <w:rFonts w:ascii="Times New Roman" w:hAnsi="Times New Roman"/>
                <w:sz w:val="20"/>
              </w:rPr>
            </w:r>
            <w:r>
              <w:rPr>
                <w:rFonts w:ascii="Times New Roman" w:hAnsi="Times New Roman"/>
                <w:sz w:val="20"/>
              </w:rPr>
              <w:t>Korean drug approval data</w:t>
            </w:r>
          </w:p>
        </w:tc>
      </w:tr>
      <w:tr>
        <w:tc>
          <w:tcPr>
            <w:tcW w:type="dxa" w:w="3120"/>
          </w:tcPr>
          <w:p>
            <w:pPr>
              <w:spacing w:line="240" w:lineRule="auto" w:before="40" w:after="40"/>
            </w:pPr>
            <w:r>
              <w:rPr>
                <w:rFonts w:ascii="Times New Roman" w:hAnsi="Times New Roman"/>
                <w:sz w:val="20"/>
              </w:rPr>
            </w:r>
            <w:r>
              <w:rPr>
                <w:rFonts w:ascii="Times New Roman" w:hAnsi="Times New Roman"/>
                <w:sz w:val="20"/>
              </w:rPr>
              <w:t>OpenFDA</w:t>
            </w:r>
            <w:r>
              <w:rPr>
                <w:rFonts w:ascii="Times New Roman" w:hAnsi="Times New Roman"/>
                <w:sz w:val="20"/>
                <w:vertAlign w:val="superscript"/>
              </w:rPr>
              <w:t>7</w:t>
            </w:r>
          </w:p>
        </w:tc>
        <w:tc>
          <w:tcPr>
            <w:tcW w:type="dxa" w:w="3120"/>
          </w:tcPr>
          <w:p>
            <w:pPr>
              <w:spacing w:line="240" w:lineRule="auto" w:before="40" w:after="40"/>
            </w:pPr>
            <w:r>
              <w:rPr>
                <w:rFonts w:ascii="Times New Roman" w:hAnsi="Times New Roman"/>
                <w:sz w:val="20"/>
              </w:rPr>
            </w:r>
            <w:r>
              <w:rPr>
                <w:rFonts w:ascii="Times New Roman" w:hAnsi="Times New Roman"/>
                <w:sz w:val="20"/>
              </w:rPr>
              <w:t>JSON</w:t>
            </w:r>
          </w:p>
        </w:tc>
        <w:tc>
          <w:tcPr>
            <w:tcW w:type="dxa" w:w="3120"/>
          </w:tcPr>
          <w:p>
            <w:pPr>
              <w:spacing w:line="240" w:lineRule="auto" w:before="40" w:after="40"/>
            </w:pPr>
            <w:r>
              <w:rPr>
                <w:rFonts w:ascii="Times New Roman" w:hAnsi="Times New Roman"/>
                <w:sz w:val="20"/>
              </w:rPr>
            </w:r>
            <w:r>
              <w:rPr>
                <w:rFonts w:ascii="Times New Roman" w:hAnsi="Times New Roman"/>
                <w:sz w:val="20"/>
              </w:rPr>
              <w:t>US drug labels and adverse event data</w:t>
            </w:r>
          </w:p>
        </w:tc>
      </w:tr>
      <w:tr>
        <w:tc>
          <w:tcPr>
            <w:tcW w:type="dxa" w:w="3120"/>
          </w:tcPr>
          <w:p>
            <w:pPr>
              <w:spacing w:line="240" w:lineRule="auto" w:before="40" w:after="40"/>
            </w:pPr>
            <w:r>
              <w:rPr>
                <w:rFonts w:ascii="Times New Roman" w:hAnsi="Times New Roman"/>
                <w:sz w:val="20"/>
              </w:rPr>
            </w:r>
            <w:r>
              <w:rPr>
                <w:rFonts w:ascii="Times New Roman" w:hAnsi="Times New Roman"/>
                <w:sz w:val="20"/>
              </w:rPr>
              <w:t>PubMed</w:t>
            </w:r>
          </w:p>
        </w:tc>
        <w:tc>
          <w:tcPr>
            <w:tcW w:type="dxa" w:w="3120"/>
          </w:tcPr>
          <w:p>
            <w:pPr>
              <w:spacing w:line="240" w:lineRule="auto" w:before="40" w:after="40"/>
            </w:pPr>
            <w:r>
              <w:rPr>
                <w:rFonts w:ascii="Times New Roman" w:hAnsi="Times New Roman"/>
                <w:sz w:val="20"/>
              </w:rPr>
            </w:r>
            <w:r>
              <w:rPr>
                <w:rFonts w:ascii="Times New Roman" w:hAnsi="Times New Roman"/>
                <w:sz w:val="20"/>
              </w:rPr>
              <w:t>JSON</w:t>
            </w:r>
          </w:p>
        </w:tc>
        <w:tc>
          <w:tcPr>
            <w:tcW w:type="dxa" w:w="3120"/>
          </w:tcPr>
          <w:p>
            <w:pPr>
              <w:spacing w:line="240" w:lineRule="auto" w:before="40" w:after="40"/>
            </w:pPr>
            <w:r>
              <w:rPr>
                <w:rFonts w:ascii="Times New Roman" w:hAnsi="Times New Roman"/>
                <w:sz w:val="20"/>
              </w:rPr>
            </w:r>
            <w:r>
              <w:rPr>
                <w:rFonts w:ascii="Times New Roman" w:hAnsi="Times New Roman"/>
                <w:sz w:val="20"/>
              </w:rPr>
              <w:t>Biomedical literature search</w:t>
            </w:r>
          </w:p>
        </w:tc>
      </w:tr>
      <w:tr>
        <w:tc>
          <w:tcPr>
            <w:tcW w:type="dxa" w:w="3120"/>
          </w:tcPr>
          <w:p>
            <w:pPr>
              <w:spacing w:line="240" w:lineRule="auto" w:before="40" w:after="40"/>
            </w:pPr>
            <w:r>
              <w:rPr>
                <w:rFonts w:ascii="Times New Roman" w:hAnsi="Times New Roman"/>
                <w:sz w:val="20"/>
              </w:rPr>
            </w:r>
            <w:r>
              <w:rPr>
                <w:rFonts w:ascii="Times New Roman" w:hAnsi="Times New Roman"/>
                <w:sz w:val="20"/>
              </w:rPr>
              <w:t>Naver</w:t>
            </w:r>
          </w:p>
        </w:tc>
        <w:tc>
          <w:tcPr>
            <w:tcW w:type="dxa" w:w="3120"/>
          </w:tcPr>
          <w:p>
            <w:pPr>
              <w:spacing w:line="240" w:lineRule="auto" w:before="40" w:after="40"/>
            </w:pPr>
            <w:r>
              <w:rPr>
                <w:rFonts w:ascii="Times New Roman" w:hAnsi="Times New Roman"/>
                <w:sz w:val="20"/>
              </w:rPr>
            </w:r>
            <w:r>
              <w:rPr>
                <w:rFonts w:ascii="Times New Roman" w:hAnsi="Times New Roman"/>
                <w:sz w:val="20"/>
              </w:rPr>
              <w:t>JSON</w:t>
            </w:r>
          </w:p>
        </w:tc>
        <w:tc>
          <w:tcPr>
            <w:tcW w:type="dxa" w:w="3120"/>
          </w:tcPr>
          <w:p>
            <w:pPr>
              <w:spacing w:line="240" w:lineRule="auto" w:before="40" w:after="40"/>
            </w:pPr>
            <w:r>
              <w:rPr>
                <w:rFonts w:ascii="Times New Roman" w:hAnsi="Times New Roman"/>
                <w:sz w:val="20"/>
              </w:rPr>
            </w:r>
            <w:r>
              <w:rPr>
                <w:rFonts w:ascii="Times New Roman" w:hAnsi="Times New Roman"/>
                <w:sz w:val="20"/>
              </w:rPr>
              <w:t>Korean news search</w:t>
            </w:r>
          </w:p>
        </w:tc>
      </w:tr>
      <w:tr>
        <w:tc>
          <w:tcPr>
            <w:tcW w:type="dxa" w:w="3120"/>
          </w:tcPr>
          <w:p>
            <w:pPr>
              <w:spacing w:line="240" w:lineRule="auto" w:before="40" w:after="40"/>
            </w:pPr>
            <w:r>
              <w:rPr>
                <w:rFonts w:ascii="Times New Roman" w:hAnsi="Times New Roman"/>
                <w:sz w:val="20"/>
              </w:rPr>
            </w:r>
            <w:r>
              <w:rPr>
                <w:rFonts w:ascii="Times New Roman" w:hAnsi="Times New Roman"/>
                <w:sz w:val="20"/>
              </w:rPr>
              <w:t>KISCHEM</w:t>
            </w:r>
          </w:p>
        </w:tc>
        <w:tc>
          <w:tcPr>
            <w:tcW w:type="dxa" w:w="3120"/>
          </w:tcPr>
          <w:p>
            <w:pPr>
              <w:spacing w:line="240" w:lineRule="auto" w:before="40" w:after="40"/>
            </w:pPr>
            <w:r>
              <w:rPr>
                <w:rFonts w:ascii="Times New Roman" w:hAnsi="Times New Roman"/>
                <w:sz w:val="20"/>
              </w:rPr>
            </w:r>
            <w:r>
              <w:rPr>
                <w:rFonts w:ascii="Times New Roman" w:hAnsi="Times New Roman"/>
                <w:sz w:val="20"/>
              </w:rPr>
              <w:t>XML</w:t>
            </w:r>
          </w:p>
        </w:tc>
        <w:tc>
          <w:tcPr>
            <w:tcW w:type="dxa" w:w="3120"/>
          </w:tcPr>
          <w:p>
            <w:pPr>
              <w:spacing w:line="240" w:lineRule="auto" w:before="40" w:after="40"/>
            </w:pPr>
            <w:r>
              <w:rPr>
                <w:rFonts w:ascii="Times New Roman" w:hAnsi="Times New Roman"/>
                <w:sz w:val="20"/>
              </w:rPr>
            </w:r>
            <w:r>
              <w:rPr>
                <w:rFonts w:ascii="Times New Roman" w:hAnsi="Times New Roman"/>
                <w:sz w:val="20"/>
              </w:rPr>
              <w:t>Exposure symptoms and first-aid data</w:t>
            </w:r>
          </w:p>
        </w:tc>
      </w:tr>
      <w:tr>
        <w:tc>
          <w:tcPr>
            <w:tcW w:type="dxa" w:w="3120"/>
          </w:tcPr>
          <w:p>
            <w:pPr>
              <w:spacing w:line="240" w:lineRule="auto" w:before="40" w:after="40"/>
            </w:pPr>
            <w:r>
              <w:rPr>
                <w:rFonts w:ascii="Times New Roman" w:hAnsi="Times New Roman"/>
                <w:sz w:val="20"/>
              </w:rPr>
            </w:r>
            <w:r>
              <w:rPr>
                <w:rFonts w:ascii="Times New Roman" w:hAnsi="Times New Roman"/>
                <w:sz w:val="20"/>
              </w:rPr>
              <w:t>NCIS</w:t>
            </w:r>
          </w:p>
        </w:tc>
        <w:tc>
          <w:tcPr>
            <w:tcW w:type="dxa" w:w="3120"/>
          </w:tcPr>
          <w:p>
            <w:pPr>
              <w:spacing w:line="240" w:lineRule="auto" w:before="40" w:after="40"/>
            </w:pPr>
            <w:r>
              <w:rPr>
                <w:rFonts w:ascii="Times New Roman" w:hAnsi="Times New Roman"/>
                <w:sz w:val="20"/>
              </w:rPr>
            </w:r>
            <w:r>
              <w:rPr>
                <w:rFonts w:ascii="Times New Roman" w:hAnsi="Times New Roman"/>
                <w:sz w:val="20"/>
              </w:rPr>
              <w:t>JSON</w:t>
            </w:r>
          </w:p>
        </w:tc>
        <w:tc>
          <w:tcPr>
            <w:tcW w:type="dxa" w:w="3120"/>
          </w:tcPr>
          <w:p>
            <w:pPr>
              <w:spacing w:line="240" w:lineRule="auto" w:before="40" w:after="40"/>
            </w:pPr>
            <w:r>
              <w:rPr>
                <w:rFonts w:ascii="Times New Roman" w:hAnsi="Times New Roman"/>
                <w:sz w:val="20"/>
              </w:rPr>
            </w:r>
            <w:r>
              <w:rPr>
                <w:rFonts w:ascii="Times New Roman" w:hAnsi="Times New Roman"/>
                <w:sz w:val="20"/>
              </w:rPr>
              <w:t>Substance classification (toxic, restricted, accident-preparedness)</w:t>
            </w:r>
          </w:p>
        </w:tc>
      </w:tr>
    </w:tbl>
    <w:p>
      <w:pPr>
        <w:spacing w:line="480" w:lineRule="auto"/>
      </w:pPr>
      <w:r>
        <w:rPr>
          <w:rFonts w:ascii="Times New Roman" w:hAnsi="Times New Roman"/>
          <w:b/>
        </w:rPr>
        <w:t>Graceful degradation.</w:t>
      </w:r>
      <w:r>
        <w:rPr>
          <w:rFonts w:ascii="Times New Roman" w:hAnsi="Times New Roman"/>
        </w:rPr>
        <w:t xml:space="preserve"> The system is designed to function when individual components are unavailable, which is important for reliable safety information retrieval. If the KOSHA API is down, cached MSDS data is served from the local database. The KOSHA MSDS adapter implements a fallback mechanism: when the primary API endpoint (msds.kosha.or.kr)</w:t>
      </w:r>
      <w:r>
        <w:rPr>
          <w:rFonts w:ascii="Times New Roman" w:hAnsi="Times New Roman"/>
          <w:sz w:val="18"/>
          <w:vertAlign w:val="superscript"/>
        </w:rPr>
        <w:t>14</w:t>
      </w:r>
      <w:r>
        <w:rPr>
          <w:rFonts w:ascii="Times New Roman" w:hAnsi="Times New Roman"/>
        </w:rPr>
        <w:t xml:space="preserve"> is unreachable, requests are automatically rerouted to the data.go.kr public data portal proxy endpoint,</w:t>
      </w:r>
      <w:r>
        <w:rPr>
          <w:rFonts w:ascii="Times New Roman" w:hAnsi="Times New Roman"/>
          <w:sz w:val="18"/>
          <w:vertAlign w:val="superscript"/>
        </w:rPr>
        <w:t>15</w:t>
      </w:r>
      <w:r>
        <w:rPr>
          <w:rFonts w:ascii="Times New Roman" w:hAnsi="Times New Roman"/>
        </w:rPr>
        <w:t xml:space="preserve"> as described in the official KOSHA MSDS Open API documentation. If the optional patent index database is not installed, patent search falls back to live KIPRIS API queries. If the LLM server (Ollama) is offline, a deterministic rule-based report builder generates structured safety summaries with source attribution.</w:t>
      </w:r>
    </w:p>
    <w:p>
      <w:pPr>
        <w:spacing w:line="480" w:lineRule="auto"/>
      </w:pPr>
      <w:r>
        <w:rPr>
          <w:rFonts w:ascii="Times New Roman" w:hAnsi="Times New Roman"/>
          <w:b/>
        </w:rPr>
        <w:t>Self-hosted deployment for chemical safety confidentiality.</w:t>
      </w:r>
      <w:r>
        <w:rPr>
          <w:rFonts w:ascii="Times New Roman" w:hAnsi="Times New Roman"/>
        </w:rPr>
        <w:t xml:space="preserve"> The platform supports local deployment, ensuring that chemical inquiry patterns — which may reveal proprietary formulations or pending patent strategies — remain within the organization's network. This is particularly relevant for SMEs evaluating export candidates and companies conducting pre-entry compliance reviews, where substance evaluation patterns constitute trade-sensitive information. A step-by-step installation guide and example configuration files are provided in the public repository README, enabling practitioners to reproduce the deployment in their own environments.</w:t>
      </w:r>
    </w:p>
    <w:p>
      <w:pPr>
        <w:pStyle w:val="Heading2"/>
      </w:pPr>
      <w:r>
        <w:rPr>
          <w:rFonts w:ascii="Times New Roman" w:hAnsi="Times New Roman"/>
          <w:color w:val="000000"/>
        </w:rPr>
        <w:t>Safety-Relevant Functionalities</w:t>
      </w:r>
    </w:p>
    <w:p>
      <w:pPr>
        <w:spacing w:line="480" w:lineRule="auto"/>
      </w:pPr>
      <w:r>
        <w:rPr>
          <w:rFonts w:ascii="Times New Roman" w:hAnsi="Times New Roman"/>
        </w:rPr>
        <w:t>ChemIP provides five core safety workflows through a tabbed interface (Figure 2):</w:t>
      </w:r>
    </w:p>
    <w:p>
      <w:pPr>
        <w:spacing w:before="240" w:after="80"/>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cap_main.png"/>
                    <pic:cNvPicPr/>
                  </pic:nvPicPr>
                  <pic:blipFill>
                    <a:blip r:embed="rId11"/>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i/>
          <w:sz w:val="20"/>
        </w:rPr>
        <w:t>Figure 2. ChemIP main interface with tabbed navigation for safety, regulatory, patent, pharmaceutical, and AI synthesis workflows.</w:t>
      </w:r>
    </w:p>
    <w:p>
      <w:pPr>
        <w:spacing w:line="480" w:lineRule="auto"/>
      </w:pPr>
      <w:r>
        <w:rPr>
          <w:rFonts w:ascii="Times New Roman" w:hAnsi="Times New Roman"/>
        </w:rPr>
        <w:t xml:space="preserve">(1) </w:t>
      </w:r>
      <w:r>
        <w:rPr>
          <w:rFonts w:ascii="Times New Roman" w:hAnsi="Times New Roman"/>
          <w:b/>
        </w:rPr>
        <w:t>Substance safety lookup.</w:t>
      </w:r>
      <w:r>
        <w:rPr>
          <w:rFonts w:ascii="Times New Roman" w:hAnsi="Times New Roman"/>
        </w:rPr>
        <w:t xml:space="preserve"> A single query (chemical name, CAS number, or English name) retrieves all 16 MSDS sections with GHS pictograms, hazard statements (H-codes), precautionary statements (P-codes), and signal words, cached locally after first retrieval (Figure 3).</w:t>
      </w:r>
    </w:p>
    <w:p>
      <w:pPr>
        <w:spacing w:before="240" w:after="80"/>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cap_chemical.png"/>
                    <pic:cNvPicPr/>
                  </pic:nvPicPr>
                  <pic:blipFill>
                    <a:blip r:embed="rId12"/>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i/>
          <w:sz w:val="20"/>
        </w:rPr>
        <w:t>Figure 3. Substance safety lookup showing MSDS data with GHS classifications, hazard statements, and precautionary information.</w:t>
      </w:r>
    </w:p>
    <w:p>
      <w:pPr>
        <w:spacing w:line="480" w:lineRule="auto"/>
      </w:pPr>
      <w:r>
        <w:rPr>
          <w:rFonts w:ascii="Times New Roman" w:hAnsi="Times New Roman"/>
        </w:rPr>
        <w:t xml:space="preserve">(2) </w:t>
      </w:r>
      <w:r>
        <w:rPr>
          <w:rFonts w:ascii="Times New Roman" w:hAnsi="Times New Roman"/>
          <w:b/>
        </w:rPr>
        <w:t>Korean regulatory classification.</w:t>
      </w:r>
      <w:r>
        <w:rPr>
          <w:rFonts w:ascii="Times New Roman" w:hAnsi="Times New Roman"/>
        </w:rPr>
        <w:t xml:space="preserve"> Aggregates KISCHEM exposure symptom and first-aid data with NCIS substance classification (toxic substance, restricted substance, accident-preparedness substance) and molecular data. This consolidates information that Korean regulations require before market entry.</w:t>
      </w:r>
    </w:p>
    <w:p>
      <w:pPr>
        <w:spacing w:line="480" w:lineRule="auto"/>
      </w:pPr>
      <w:r>
        <w:rPr>
          <w:rFonts w:ascii="Times New Roman" w:hAnsi="Times New Roman"/>
        </w:rPr>
        <w:t xml:space="preserve">(3) </w:t>
      </w:r>
      <w:r>
        <w:rPr>
          <w:rFonts w:ascii="Times New Roman" w:hAnsi="Times New Roman"/>
          <w:b/>
        </w:rPr>
        <w:t>Patent landscape.</w:t>
      </w:r>
      <w:r>
        <w:rPr>
          <w:rFonts w:ascii="Times New Roman" w:hAnsi="Times New Roman"/>
        </w:rPr>
        <w:t xml:space="preserve"> Dual-track search combining real-time KIPRIS API queries with optional local index lookups, supporting freedom-to-operate analysis for export-bound substances (Figure 4). Linking regulatory safety data with patent status in a single workflow enables practitioners to identify both compliance requirements and intellectual property constraints without switching between portals.</w:t>
      </w:r>
    </w:p>
    <w:p>
      <w:pPr>
        <w:spacing w:before="240" w:after="80"/>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cap_patents.png"/>
                    <pic:cNvPicPr/>
                  </pic:nvPicPr>
                  <pic:blipFill>
                    <a:blip r:embed="rId13"/>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i/>
          <w:sz w:val="20"/>
        </w:rPr>
        <w:t>Figure 4. Patent landscape search interface combining KIPRIS API results with optional local index lookups.</w:t>
      </w:r>
    </w:p>
    <w:p>
      <w:pPr>
        <w:spacing w:line="480" w:lineRule="auto"/>
      </w:pPr>
      <w:r>
        <w:rPr>
          <w:rFonts w:ascii="Times New Roman" w:hAnsi="Times New Roman"/>
        </w:rPr>
        <w:t xml:space="preserve">(4) </w:t>
      </w:r>
      <w:r>
        <w:rPr>
          <w:rFonts w:ascii="Times New Roman" w:hAnsi="Times New Roman"/>
          <w:b/>
        </w:rPr>
        <w:t>Pharmaceutical cross-reference.</w:t>
      </w:r>
      <w:r>
        <w:rPr>
          <w:rFonts w:ascii="Times New Roman" w:hAnsi="Times New Roman"/>
        </w:rPr>
        <w:t xml:space="preserve"> Aggregates Korean drug approvals (MFDS), US drug labels (OpenFDA), and biomedical literature (PubMed) for substances that overlap with pharmaceutical formulations (Figure 5).</w:t>
      </w:r>
    </w:p>
    <w:p>
      <w:pPr>
        <w:spacing w:before="240" w:after="80"/>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cap_drugs.png"/>
                    <pic:cNvPicPr/>
                  </pic:nvPicPr>
                  <pic:blipFill>
                    <a:blip r:embed="rId14"/>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i/>
          <w:sz w:val="20"/>
        </w:rPr>
        <w:t>Figure 5. Pharmaceutical cross-reference aggregating Korean drug approvals (MFDS), US drug labels (OpenFDA), and biomedical literature (PubMed).</w:t>
      </w:r>
    </w:p>
    <w:p>
      <w:pPr>
        <w:spacing w:line="480" w:lineRule="auto"/>
      </w:pPr>
      <w:r>
        <w:rPr>
          <w:rFonts w:ascii="Times New Roman" w:hAnsi="Times New Roman"/>
        </w:rPr>
        <w:t xml:space="preserve">(5) </w:t>
      </w:r>
      <w:r>
        <w:rPr>
          <w:rFonts w:ascii="Times New Roman" w:hAnsi="Times New Roman"/>
          <w:b/>
        </w:rPr>
        <w:t>AI-assisted safety synthesis.</w:t>
      </w:r>
      <w:r>
        <w:rPr>
          <w:rFonts w:ascii="Times New Roman" w:hAnsi="Times New Roman"/>
        </w:rPr>
        <w:t xml:space="preserve"> Collects evidence across safety, regulatory, and patent domains and generates a natural-language safety summary. When the LLM is unavailable, a rule-based fallback produces a structured report with source attribution and a confidence score.</w:t>
      </w:r>
    </w:p>
    <w:p>
      <w:pPr>
        <w:spacing w:line="480" w:lineRule="auto"/>
      </w:pPr>
      <w:r>
        <w:rPr>
          <w:rFonts w:ascii="Times New Roman" w:hAnsi="Times New Roman"/>
        </w:rPr>
        <w:t>The platform also provides supplementary trade intelligence (market news, entry strategy, import restrictions via KOTRA APIs) and Korean news search, which support broader export pre-screening workflows beyond the core safety evaluation.</w:t>
      </w:r>
    </w:p>
    <w:p>
      <w:pPr>
        <w:spacing w:line="480" w:lineRule="auto"/>
      </w:pPr>
      <w:r>
        <w:rPr>
          <w:rFonts w:ascii="Times New Roman" w:hAnsi="Times New Roman"/>
          <w:b/>
        </w:rPr>
        <w:t>Safety guide recommendation.</w:t>
      </w:r>
      <w:r>
        <w:rPr>
          <w:rFonts w:ascii="Times New Roman" w:hAnsi="Times New Roman"/>
        </w:rPr>
        <w:t xml:space="preserve"> A multi-criteria engine scores chemical–guide matches using weighted exact-match scoring across CAS numbers, title keywords, and document body text, with deterministic ranking for reproducible ordering of KOSHA safety guide recommendations.</w:t>
      </w:r>
    </w:p>
    <w:p>
      <w:pPr>
        <w:pStyle w:val="Heading2"/>
      </w:pPr>
      <w:r>
        <w:rPr>
          <w:rFonts w:ascii="Times New Roman" w:hAnsi="Times New Roman"/>
          <w:color w:val="000000"/>
        </w:rPr>
        <w:t>Use Cases for Chemical Safety Practice</w:t>
      </w:r>
    </w:p>
    <w:p>
      <w:pPr>
        <w:spacing w:line="480" w:lineRule="auto"/>
      </w:pPr>
      <w:r>
        <w:rPr>
          <w:rFonts w:ascii="Times New Roman" w:hAnsi="Times New Roman"/>
        </w:rPr>
        <w:t>The following scenarios illustrate how ChemIP consolidates multi-portal workflows into unified queries, drawn from documented use cases in an internal deployment plan.</w:t>
      </w:r>
      <w:r>
        <w:rPr>
          <w:rFonts w:ascii="Times New Roman" w:hAnsi="Times New Roman"/>
          <w:sz w:val="18"/>
          <w:vertAlign w:val="superscript"/>
        </w:rPr>
        <w:t>3</w:t>
      </w:r>
      <w:r>
        <w:rPr>
          <w:rFonts w:ascii="Times New Roman" w:hAnsi="Times New Roman"/>
        </w:rPr>
        <w:t xml:space="preserve"> These are representative usage examples, not formal evaluations.</w:t>
      </w:r>
    </w:p>
    <w:p>
      <w:pPr>
        <w:spacing w:line="480" w:lineRule="auto"/>
      </w:pPr>
      <w:r>
        <w:rPr>
          <w:rFonts w:ascii="Times New Roman" w:hAnsi="Times New Roman"/>
          <w:b/>
        </w:rPr>
        <w:t>SME export pre-screening.</w:t>
      </w:r>
      <w:r>
        <w:rPr>
          <w:rFonts w:ascii="Times New Roman" w:hAnsi="Times New Roman"/>
        </w:rPr>
        <w:t xml:space="preserve"> A Korean SME plans to export toluene (CAS: 108-88-3) as an industrial solvent to Vietnam. Before shipment, the compliance officer must verify hazard classification (GHS pictograms GHS02, GHS07, GHS08; TWA: 50 ppm) and patent freedom-to-operate — information spread across KOSHA and KIPRIS portals. A single ChemIP query retrieves the full 16-section MSDS with GHS classifications, KIPRIS patent results for freedom-to-operate analysis, NCIS regulatory classification, and three matched KOSHA safety guides. Supplementary trade data (import restrictions, entry strategy) is available in an additional tab. The conventional workflow requires accessing multiple portals with separate authentication; ChemIP consolidates safety, regulatory, and patent data into one interface.</w:t>
      </w:r>
    </w:p>
    <w:p>
      <w:pPr>
        <w:spacing w:line="480" w:lineRule="auto"/>
      </w:pPr>
      <w:r>
        <w:rPr>
          <w:rFonts w:ascii="Times New Roman" w:hAnsi="Times New Roman"/>
          <w:b/>
        </w:rPr>
        <w:t>Foreign company Korean market entry.</w:t>
      </w:r>
      <w:r>
        <w:rPr>
          <w:rFonts w:ascii="Times New Roman" w:hAnsi="Times New Roman"/>
        </w:rPr>
        <w:t xml:space="preserve"> A multinational chemical distributor evaluates methanol (CAS: 67-56-1) for domestic distribution in Korea. Korean regulations require substance-specific safety classification (NCIS), exposure symptom data (KISCHEM), and MSDS compliance (KOSHA) before market entry — each managed by a different agency. One ChemIP query retrieves NCIS classification (toxic substance, accident-preparedness chemical), KISCHEM first-aid and exposure data, the full KOSHA MSDS, and MFDS pharmaceutical cross-references, enabling the compliance team to identify all Korea-specific safety requirements in a single session.</w:t>
      </w:r>
    </w:p>
    <w:p>
      <w:pPr>
        <w:spacing w:line="480" w:lineRule="auto"/>
      </w:pPr>
      <w:r>
        <w:rPr>
          <w:rFonts w:ascii="Times New Roman" w:hAnsi="Times New Roman"/>
          <w:b/>
        </w:rPr>
        <w:t>Pharmaceutical ingredient safety cross-reference.</w:t>
      </w:r>
      <w:r>
        <w:rPr>
          <w:rFonts w:ascii="Times New Roman" w:hAnsi="Times New Roman"/>
        </w:rPr>
        <w:t xml:space="preserve"> A raw material supplier investigates salicylic acid (CAS: 69-72-7) after a client reports regulatory concerns. The drug workflow aggregates MFDS-approved products, OpenFDA labels with relevant warnings, and recent PubMed articles, alongside the MSDS irritant classification — consolidating Korean and US regulatory databases that would otherwise require three separate searches.</w:t>
      </w:r>
    </w:p>
    <w:p>
      <w:pPr>
        <w:pStyle w:val="Heading2"/>
      </w:pPr>
      <w:r>
        <w:rPr>
          <w:rFonts w:ascii="Times New Roman" w:hAnsi="Times New Roman"/>
          <w:color w:val="000000"/>
        </w:rPr>
        <w:t>Results and Discussion</w:t>
      </w:r>
    </w:p>
    <w:p>
      <w:pPr>
        <w:spacing w:line="480" w:lineRule="auto"/>
      </w:pPr>
      <w:r>
        <w:rPr>
          <w:rFonts w:ascii="Times New Roman" w:hAnsi="Times New Roman"/>
          <w:b/>
        </w:rPr>
        <w:t>Preliminary workflow analysis.</w:t>
      </w:r>
      <w:r>
        <w:rPr>
          <w:rFonts w:ascii="Times New Roman" w:hAnsi="Times New Roman"/>
        </w:rPr>
        <w:t xml:space="preserve"> An internal workflow analysis based on three standard evaluation scenarios (toluene export screening, methanol market entry, salicylic acid cross-reference) estimates that per-substance investigation time may decrease from approximately 150 min (sequential multi-portal access with separate authentication) to approximately 35 min (single-query consolidated retrieval), suggesting a potential reduction of roughly 76% (Figure 6).</w:t>
      </w:r>
      <w:r>
        <w:rPr>
          <w:rFonts w:ascii="Times New Roman" w:hAnsi="Times New Roman"/>
          <w:sz w:val="18"/>
          <w:vertAlign w:val="superscript"/>
        </w:rPr>
        <w:t>3</w:t>
      </w:r>
      <w:r>
        <w:rPr>
          <w:rFonts w:ascii="Times New Roman" w:hAnsi="Times New Roman"/>
        </w:rPr>
        <w:t xml:space="preserve"> In terms of discrete workflow steps, the number of separate portal accesses is reduced from at least four (with separate authentication for each) to one, and manual result compilation across portals is eliminated entirely. These figures are based on scripted scenario walkthroughs by the author using these three representative cases, not on controlled time-and-motion studies, and should therefore be interpreted as indicative rather than definitive. We emphasize that these values are rough, order-of-magnitude estimates intended to illustrate potential time savings, rather than statistically validated performance metrics. A formal time-motion study with domain practitioners is planned as future work.</w:t>
      </w:r>
    </w:p>
    <w:p>
      <w:pPr>
        <w:spacing w:before="240" w:after="80"/>
        <w:jc w:val="center"/>
      </w:pPr>
      <w:r>
        <w:drawing>
          <wp:inline xmlns:a="http://schemas.openxmlformats.org/drawingml/2006/main" xmlns:pic="http://schemas.openxmlformats.org/drawingml/2006/picture">
            <wp:extent cx="5029200" cy="3010631"/>
            <wp:docPr id="6" name="Picture 6"/>
            <wp:cNvGraphicFramePr>
              <a:graphicFrameLocks noChangeAspect="1"/>
            </wp:cNvGraphicFramePr>
            <a:graphic>
              <a:graphicData uri="http://schemas.openxmlformats.org/drawingml/2006/picture">
                <pic:pic>
                  <pic:nvPicPr>
                    <pic:cNvPr id="0" name="fig6_workflow_comparison.png"/>
                    <pic:cNvPicPr/>
                  </pic:nvPicPr>
                  <pic:blipFill>
                    <a:blip r:embed="rId15"/>
                    <a:stretch>
                      <a:fillRect/>
                    </a:stretch>
                  </pic:blipFill>
                  <pic:spPr>
                    <a:xfrm>
                      <a:off x="0" y="0"/>
                      <a:ext cx="5029200" cy="3010631"/>
                    </a:xfrm>
                    <a:prstGeom prst="rect"/>
                  </pic:spPr>
                </pic:pic>
              </a:graphicData>
            </a:graphic>
          </wp:inline>
        </w:drawing>
      </w:r>
    </w:p>
    <w:p>
      <w:pPr>
        <w:spacing w:after="240"/>
        <w:jc w:val="center"/>
      </w:pPr>
      <w:r>
        <w:rPr>
          <w:rFonts w:ascii="Times New Roman" w:hAnsi="Times New Roman"/>
          <w:i/>
          <w:sz w:val="20"/>
        </w:rPr>
        <w:t>Figure 6. Comparison of conventional multi-portal workflow (left, ~150 min) and ChemIP single-query workflow (right, ~35 min) for per-substance safety evaluation.</w:t>
      </w:r>
    </w:p>
    <w:p>
      <w:pPr>
        <w:spacing w:line="480" w:lineRule="auto"/>
      </w:pPr>
      <w:r>
        <w:rPr>
          <w:rFonts w:ascii="Times New Roman" w:hAnsi="Times New Roman"/>
          <w:b/>
        </w:rPr>
        <w:t>Deployment experience.</w:t>
      </w:r>
      <w:r>
        <w:rPr>
          <w:rFonts w:ascii="Times New Roman" w:hAnsi="Times New Roman"/>
        </w:rPr>
        <w:t xml:space="preserve"> During a two-day internal deployment exercise (February 2026), several issues were identified and resolved, including: (1) GHS hazard statement collection was converted to a batch pipeline to improve coverage beyond English-name matching; (2) KOSHA MSDS fallback logic was refined for edge cases where the primary endpoint returned incomplete data; and (3) NCIS classification display was restructured to clearly distinguish toxic, restricted, and accident-preparedness substance categories.</w:t>
      </w:r>
      <w:r>
        <w:rPr>
          <w:rFonts w:ascii="Times New Roman" w:hAnsi="Times New Roman"/>
          <w:sz w:val="18"/>
          <w:vertAlign w:val="superscript"/>
        </w:rPr>
        <w:t>3</w:t>
      </w:r>
      <w:r>
        <w:rPr>
          <w:rFonts w:ascii="Times New Roman" w:hAnsi="Times New Roman"/>
        </w:rPr>
        <w:t xml:space="preserve"> These refinements demonstrate that the adapter-based architecture supports rapid iteration in response to real-world data quality issues encountered in safety information retrieval. These observations are consistent with broader ACS guidance emphasizing systematic hazard recognition and risk assessment as foundational to chemical safety practice.</w:t>
      </w:r>
      <w:r>
        <w:rPr>
          <w:rFonts w:ascii="Times New Roman" w:hAnsi="Times New Roman"/>
          <w:sz w:val="18"/>
          <w:vertAlign w:val="superscript"/>
        </w:rPr>
        <w:t>18</w:t>
      </w:r>
    </w:p>
    <w:p>
      <w:pPr>
        <w:spacing w:line="480" w:lineRule="auto"/>
      </w:pPr>
      <w:r>
        <w:rPr>
          <w:rFonts w:ascii="Times New Roman" w:hAnsi="Times New Roman"/>
          <w:b/>
        </w:rPr>
        <w:t>Software quality.</w:t>
      </w:r>
      <w:r>
        <w:rPr>
          <w:rFonts w:ascii="Times New Roman" w:hAnsi="Times New Roman"/>
        </w:rPr>
        <w:t xml:space="preserve"> The repository includes unit-level smoke tests with mocked external dependencies, covering all API endpoint categories. The test suite runs in an isolated environment that does not contact external services, and the full suite passes as of ChemIP v1.1.1. Automated quality checks run on every code update. API endpoint documentation is available via the platform's built-in documentation interface.</w:t>
      </w:r>
    </w:p>
    <w:p>
      <w:pPr>
        <w:spacing w:line="480" w:lineRule="auto"/>
      </w:pPr>
      <w:r>
        <w:rPr>
          <w:rFonts w:ascii="Times New Roman" w:hAnsi="Times New Roman"/>
          <w:b/>
        </w:rPr>
        <w:t>Deployment modes.</w:t>
      </w:r>
      <w:r>
        <w:rPr>
          <w:rFonts w:ascii="Times New Roman" w:hAnsi="Times New Roman"/>
        </w:rPr>
        <w:t xml:space="preserve"> ChemIP supports three deployment configurations: (1) Minimal — core search and MSDS lookup using the terminology database and live API calls, requiring only API keys from data.go.kr; (2) Standard — adds cached MSDS data, guide recommendations, drug cross-reference, and Korean regulatory lookups; and (3) Full — adds the optional local patent index and LLM-assisted analysis.</w:t>
      </w:r>
    </w:p>
    <w:p>
      <w:pPr>
        <w:spacing w:line="480" w:lineRule="auto"/>
      </w:pPr>
      <w:r>
        <w:rPr>
          <w:rFonts w:ascii="Times New Roman" w:hAnsi="Times New Roman"/>
          <w:b/>
        </w:rPr>
        <w:t>Comparison with existing tools.</w:t>
      </w:r>
      <w:r>
        <w:rPr>
          <w:rFonts w:ascii="Times New Roman" w:hAnsi="Times New Roman"/>
        </w:rPr>
        <w:t xml:space="preserve"> Table 2 compares ChemIP with existing platforms based on publicly available product documentation as of early 2026. The comparison should be interpreted as an indicative rather than exhaustive survey.</w:t>
      </w:r>
    </w:p>
    <w:p>
      <w:pPr>
        <w:spacing w:line="480" w:lineRule="auto"/>
      </w:pPr>
      <w:r>
        <w:rPr>
          <w:b/>
        </w:rPr>
        <w:t>Table 2.</w:t>
      </w:r>
      <w:r>
        <w:t xml:space="preserve"> Feature comparison of chemical safety information platforms. Y = supported, partial = limited support, -- = not available. "Full MSDS" refers to structured 16-section MSDS documents per GHS/OSHA format; "GHS classification data" refers to hazard pictograms, H-codes, and signal words. Comparison based on publicly available product documentation as of early 2026.</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before="40" w:after="40"/>
            </w:pPr>
            <w:r>
              <w:rPr>
                <w:rFonts w:ascii="Times New Roman" w:hAnsi="Times New Roman"/>
                <w:b/>
                <w:sz w:val="20"/>
              </w:rPr>
            </w:r>
            <w:r>
              <w:rPr>
                <w:rFonts w:ascii="Times New Roman" w:hAnsi="Times New Roman"/>
                <w:b/>
                <w:sz w:val="20"/>
              </w:rPr>
              <w:t>Feature</w:t>
            </w:r>
          </w:p>
        </w:tc>
        <w:tc>
          <w:tcPr>
            <w:tcW w:type="dxa" w:w="1337"/>
          </w:tcPr>
          <w:p>
            <w:pPr>
              <w:spacing w:line="240" w:lineRule="auto" w:before="40" w:after="40"/>
            </w:pPr>
            <w:r>
              <w:rPr>
                <w:rFonts w:ascii="Times New Roman" w:hAnsi="Times New Roman"/>
                <w:b/>
                <w:sz w:val="20"/>
              </w:rPr>
            </w:r>
            <w:r>
              <w:rPr>
                <w:rFonts w:ascii="Times New Roman" w:hAnsi="Times New Roman"/>
                <w:b/>
                <w:sz w:val="20"/>
              </w:rPr>
              <w:t>ChemIP</w:t>
            </w:r>
          </w:p>
        </w:tc>
        <w:tc>
          <w:tcPr>
            <w:tcW w:type="dxa" w:w="1337"/>
          </w:tcPr>
          <w:p>
            <w:pPr>
              <w:spacing w:line="240" w:lineRule="auto" w:before="40" w:after="40"/>
            </w:pPr>
            <w:r>
              <w:rPr>
                <w:rFonts w:ascii="Times New Roman" w:hAnsi="Times New Roman"/>
                <w:b/>
                <w:sz w:val="20"/>
              </w:rPr>
            </w:r>
            <w:r>
              <w:rPr>
                <w:rFonts w:ascii="Times New Roman" w:hAnsi="Times New Roman"/>
                <w:b/>
                <w:sz w:val="20"/>
              </w:rPr>
              <w:t>PubChem</w:t>
            </w:r>
          </w:p>
        </w:tc>
        <w:tc>
          <w:tcPr>
            <w:tcW w:type="dxa" w:w="1337"/>
          </w:tcPr>
          <w:p>
            <w:pPr>
              <w:spacing w:line="240" w:lineRule="auto" w:before="40" w:after="40"/>
            </w:pPr>
            <w:r>
              <w:rPr>
                <w:rFonts w:ascii="Times New Roman" w:hAnsi="Times New Roman"/>
                <w:b/>
                <w:sz w:val="20"/>
              </w:rPr>
            </w:r>
            <w:r>
              <w:rPr>
                <w:rFonts w:ascii="Times New Roman" w:hAnsi="Times New Roman"/>
                <w:b/>
                <w:sz w:val="20"/>
              </w:rPr>
              <w:t>SciFinder</w:t>
            </w:r>
          </w:p>
        </w:tc>
        <w:tc>
          <w:tcPr>
            <w:tcW w:type="dxa" w:w="1337"/>
          </w:tcPr>
          <w:p>
            <w:pPr>
              <w:spacing w:line="240" w:lineRule="auto" w:before="40" w:after="40"/>
            </w:pPr>
            <w:r>
              <w:rPr>
                <w:rFonts w:ascii="Times New Roman" w:hAnsi="Times New Roman"/>
                <w:b/>
                <w:sz w:val="20"/>
              </w:rPr>
            </w:r>
            <w:r>
              <w:rPr>
                <w:rFonts w:ascii="Times New Roman" w:hAnsi="Times New Roman"/>
                <w:b/>
                <w:sz w:val="20"/>
              </w:rPr>
              <w:t>Reaxys</w:t>
            </w:r>
          </w:p>
        </w:tc>
        <w:tc>
          <w:tcPr>
            <w:tcW w:type="dxa" w:w="1337"/>
          </w:tcPr>
          <w:p>
            <w:pPr>
              <w:spacing w:line="240" w:lineRule="auto" w:before="40" w:after="40"/>
            </w:pPr>
            <w:r>
              <w:rPr>
                <w:rFonts w:ascii="Times New Roman" w:hAnsi="Times New Roman"/>
                <w:b/>
                <w:sz w:val="20"/>
              </w:rPr>
            </w:r>
            <w:r>
              <w:rPr>
                <w:rFonts w:ascii="Times New Roman" w:hAnsi="Times New Roman"/>
                <w:b/>
                <w:sz w:val="20"/>
              </w:rPr>
              <w:t>OpenFDA</w:t>
            </w:r>
          </w:p>
        </w:tc>
        <w:tc>
          <w:tcPr>
            <w:tcW w:type="dxa" w:w="1337"/>
          </w:tcPr>
          <w:p>
            <w:pPr>
              <w:spacing w:line="240" w:lineRule="auto" w:before="40" w:after="40"/>
            </w:pPr>
            <w:r>
              <w:rPr>
                <w:rFonts w:ascii="Times New Roman" w:hAnsi="Times New Roman"/>
                <w:b/>
                <w:sz w:val="20"/>
              </w:rPr>
            </w:r>
            <w:r>
              <w:rPr>
                <w:rFonts w:ascii="Times New Roman" w:hAnsi="Times New Roman"/>
                <w:b/>
                <w:sz w:val="20"/>
              </w:rPr>
              <w:t>KOSHA Web</w:t>
            </w:r>
          </w:p>
        </w:tc>
      </w:tr>
      <w:tr>
        <w:tc>
          <w:tcPr>
            <w:tcW w:type="dxa" w:w="1337"/>
          </w:tcPr>
          <w:p>
            <w:pPr>
              <w:spacing w:line="240" w:lineRule="auto" w:before="40" w:after="40"/>
            </w:pPr>
            <w:r>
              <w:rPr>
                <w:rFonts w:ascii="Times New Roman" w:hAnsi="Times New Roman"/>
                <w:sz w:val="20"/>
              </w:rPr>
            </w:r>
            <w:r>
              <w:rPr>
                <w:rFonts w:ascii="Times New Roman" w:hAnsi="Times New Roman"/>
                <w:sz w:val="20"/>
              </w:rPr>
              <w:t>Open-source</w:t>
            </w:r>
          </w:p>
        </w:tc>
        <w:tc>
          <w:tcPr>
            <w:tcW w:type="dxa" w:w="1337"/>
          </w:tcPr>
          <w:p>
            <w:pPr>
              <w:spacing w:line="240" w:lineRule="auto" w:before="40" w:after="40"/>
            </w:pPr>
            <w:r>
              <w:rPr>
                <w:rFonts w:ascii="Times New Roman" w:hAnsi="Times New Roman"/>
                <w:sz w:val="20"/>
              </w:rPr>
            </w:r>
            <w:r>
              <w:rPr>
                <w:rFonts w:ascii="Times New Roman" w:hAnsi="Times New Roman"/>
                <w:sz w:val="20"/>
              </w:rPr>
              <w:t>Y</w:t>
            </w:r>
          </w:p>
        </w:tc>
        <w:tc>
          <w:tcPr>
            <w:tcW w:type="dxa" w:w="1337"/>
          </w:tcPr>
          <w:p>
            <w:pPr>
              <w:spacing w:line="240" w:lineRule="auto" w:before="40" w:after="40"/>
            </w:pPr>
            <w:r>
              <w:rPr>
                <w:rFonts w:ascii="Times New Roman" w:hAnsi="Times New Roman"/>
                <w:sz w:val="20"/>
              </w:rPr>
            </w:r>
            <w:r>
              <w:rPr>
                <w:rFonts w:ascii="Times New Roman" w:hAnsi="Times New Roman"/>
                <w:sz w:val="20"/>
              </w:rPr>
              <w:t>--</w:t>
            </w:r>
            <w:r>
              <w:rPr>
                <w:rFonts w:ascii="Times New Roman" w:hAnsi="Times New Roman"/>
                <w:sz w:val="20"/>
                <w:vertAlign w:val="superscript"/>
              </w:rPr>
              <w:t>a</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c>
          <w:tcPr>
            <w:tcW w:type="dxa" w:w="1337"/>
          </w:tcPr>
          <w:p>
            <w:pPr>
              <w:spacing w:line="240" w:lineRule="auto" w:before="40" w:after="40"/>
            </w:pPr>
            <w:r>
              <w:rPr>
                <w:rFonts w:ascii="Times New Roman" w:hAnsi="Times New Roman"/>
                <w:sz w:val="20"/>
              </w:rPr>
            </w:r>
            <w:r>
              <w:rPr>
                <w:rFonts w:ascii="Times New Roman" w:hAnsi="Times New Roman"/>
                <w:sz w:val="20"/>
              </w:rPr>
              <w:t>partial</w:t>
            </w:r>
            <w:r>
              <w:rPr>
                <w:rFonts w:ascii="Times New Roman" w:hAnsi="Times New Roman"/>
                <w:sz w:val="20"/>
                <w:vertAlign w:val="superscript"/>
              </w:rPr>
              <w:t>b</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r>
      <w:tr>
        <w:tc>
          <w:tcPr>
            <w:tcW w:type="dxa" w:w="1337"/>
          </w:tcPr>
          <w:p>
            <w:pPr>
              <w:spacing w:line="240" w:lineRule="auto" w:before="40" w:after="40"/>
            </w:pPr>
            <w:r>
              <w:rPr>
                <w:rFonts w:ascii="Times New Roman" w:hAnsi="Times New Roman"/>
                <w:sz w:val="20"/>
              </w:rPr>
            </w:r>
            <w:r>
              <w:rPr>
                <w:rFonts w:ascii="Times New Roman" w:hAnsi="Times New Roman"/>
                <w:sz w:val="20"/>
              </w:rPr>
              <w:t>Full MSDS (16 sections)</w:t>
            </w:r>
          </w:p>
        </w:tc>
        <w:tc>
          <w:tcPr>
            <w:tcW w:type="dxa" w:w="1337"/>
          </w:tcPr>
          <w:p>
            <w:pPr>
              <w:spacing w:line="240" w:lineRule="auto" w:before="40" w:after="40"/>
            </w:pPr>
            <w:r>
              <w:rPr>
                <w:rFonts w:ascii="Times New Roman" w:hAnsi="Times New Roman"/>
                <w:sz w:val="20"/>
              </w:rPr>
            </w:r>
            <w:r>
              <w:rPr>
                <w:rFonts w:ascii="Times New Roman" w:hAnsi="Times New Roman"/>
                <w:sz w:val="20"/>
              </w:rPr>
              <w:t>Y</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c>
          <w:tcPr>
            <w:tcW w:type="dxa" w:w="1337"/>
          </w:tcPr>
          <w:p>
            <w:pPr>
              <w:spacing w:line="240" w:lineRule="auto" w:before="40" w:after="40"/>
            </w:pPr>
            <w:r>
              <w:rPr>
                <w:rFonts w:ascii="Times New Roman" w:hAnsi="Times New Roman"/>
                <w:sz w:val="20"/>
              </w:rPr>
            </w:r>
            <w:r>
              <w:rPr>
                <w:rFonts w:ascii="Times New Roman" w:hAnsi="Times New Roman"/>
                <w:sz w:val="20"/>
              </w:rPr>
              <w:t>Y</w:t>
            </w:r>
          </w:p>
        </w:tc>
      </w:tr>
      <w:tr>
        <w:tc>
          <w:tcPr>
            <w:tcW w:type="dxa" w:w="1337"/>
          </w:tcPr>
          <w:p>
            <w:pPr>
              <w:spacing w:line="240" w:lineRule="auto" w:before="40" w:after="40"/>
            </w:pPr>
            <w:r>
              <w:rPr>
                <w:rFonts w:ascii="Times New Roman" w:hAnsi="Times New Roman"/>
                <w:sz w:val="20"/>
              </w:rPr>
            </w:r>
            <w:r>
              <w:rPr>
                <w:rFonts w:ascii="Times New Roman" w:hAnsi="Times New Roman"/>
                <w:sz w:val="20"/>
              </w:rPr>
              <w:t>GHS classification data</w:t>
            </w:r>
          </w:p>
        </w:tc>
        <w:tc>
          <w:tcPr>
            <w:tcW w:type="dxa" w:w="1337"/>
          </w:tcPr>
          <w:p>
            <w:pPr>
              <w:spacing w:line="240" w:lineRule="auto" w:before="40" w:after="40"/>
            </w:pPr>
            <w:r>
              <w:rPr>
                <w:rFonts w:ascii="Times New Roman" w:hAnsi="Times New Roman"/>
                <w:sz w:val="20"/>
              </w:rPr>
            </w:r>
            <w:r>
              <w:rPr>
                <w:rFonts w:ascii="Times New Roman" w:hAnsi="Times New Roman"/>
                <w:sz w:val="20"/>
              </w:rPr>
              <w:t>Y</w:t>
            </w:r>
          </w:p>
        </w:tc>
        <w:tc>
          <w:tcPr>
            <w:tcW w:type="dxa" w:w="1337"/>
          </w:tcPr>
          <w:p>
            <w:pPr>
              <w:spacing w:line="240" w:lineRule="auto" w:before="40" w:after="40"/>
            </w:pPr>
            <w:r>
              <w:rPr>
                <w:rFonts w:ascii="Times New Roman" w:hAnsi="Times New Roman"/>
                <w:sz w:val="20"/>
              </w:rPr>
            </w:r>
            <w:r>
              <w:rPr>
                <w:rFonts w:ascii="Times New Roman" w:hAnsi="Times New Roman"/>
                <w:sz w:val="20"/>
              </w:rPr>
              <w:t>Y</w:t>
            </w:r>
          </w:p>
        </w:tc>
        <w:tc>
          <w:tcPr>
            <w:tcW w:type="dxa" w:w="1337"/>
          </w:tcPr>
          <w:p>
            <w:pPr>
              <w:spacing w:line="240" w:lineRule="auto" w:before="40" w:after="40"/>
            </w:pPr>
            <w:r>
              <w:rPr>
                <w:rFonts w:ascii="Times New Roman" w:hAnsi="Times New Roman"/>
                <w:sz w:val="20"/>
              </w:rPr>
            </w:r>
            <w:r>
              <w:rPr>
                <w:rFonts w:ascii="Times New Roman" w:hAnsi="Times New Roman"/>
                <w:sz w:val="20"/>
              </w:rPr>
              <w:t>partial</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c>
          <w:tcPr>
            <w:tcW w:type="dxa" w:w="1337"/>
          </w:tcPr>
          <w:p>
            <w:pPr>
              <w:spacing w:line="240" w:lineRule="auto" w:before="40" w:after="40"/>
            </w:pPr>
            <w:r>
              <w:rPr>
                <w:rFonts w:ascii="Times New Roman" w:hAnsi="Times New Roman"/>
                <w:sz w:val="20"/>
              </w:rPr>
            </w:r>
            <w:r>
              <w:rPr>
                <w:rFonts w:ascii="Times New Roman" w:hAnsi="Times New Roman"/>
                <w:sz w:val="20"/>
              </w:rPr>
              <w:t>Y</w:t>
            </w:r>
          </w:p>
        </w:tc>
      </w:tr>
      <w:tr>
        <w:tc>
          <w:tcPr>
            <w:tcW w:type="dxa" w:w="1337"/>
          </w:tcPr>
          <w:p>
            <w:pPr>
              <w:spacing w:line="240" w:lineRule="auto" w:before="40" w:after="40"/>
            </w:pPr>
            <w:r>
              <w:rPr>
                <w:rFonts w:ascii="Times New Roman" w:hAnsi="Times New Roman"/>
                <w:sz w:val="20"/>
              </w:rPr>
            </w:r>
            <w:r>
              <w:rPr>
                <w:rFonts w:ascii="Times New Roman" w:hAnsi="Times New Roman"/>
                <w:sz w:val="20"/>
              </w:rPr>
              <w:t>Patent search</w:t>
            </w:r>
          </w:p>
        </w:tc>
        <w:tc>
          <w:tcPr>
            <w:tcW w:type="dxa" w:w="1337"/>
          </w:tcPr>
          <w:p>
            <w:pPr>
              <w:spacing w:line="240" w:lineRule="auto" w:before="40" w:after="40"/>
            </w:pPr>
            <w:r>
              <w:rPr>
                <w:rFonts w:ascii="Times New Roman" w:hAnsi="Times New Roman"/>
                <w:sz w:val="20"/>
              </w:rPr>
            </w:r>
            <w:r>
              <w:rPr>
                <w:rFonts w:ascii="Times New Roman" w:hAnsi="Times New Roman"/>
                <w:sz w:val="20"/>
              </w:rPr>
              <w:t>Y</w:t>
            </w:r>
          </w:p>
        </w:tc>
        <w:tc>
          <w:tcPr>
            <w:tcW w:type="dxa" w:w="1337"/>
          </w:tcPr>
          <w:p>
            <w:pPr>
              <w:spacing w:line="240" w:lineRule="auto" w:before="40" w:after="40"/>
            </w:pPr>
            <w:r>
              <w:rPr>
                <w:rFonts w:ascii="Times New Roman" w:hAnsi="Times New Roman"/>
                <w:sz w:val="20"/>
              </w:rPr>
            </w:r>
            <w:r>
              <w:rPr>
                <w:rFonts w:ascii="Times New Roman" w:hAnsi="Times New Roman"/>
                <w:sz w:val="20"/>
              </w:rPr>
              <w:t>Y</w:t>
            </w:r>
          </w:p>
        </w:tc>
        <w:tc>
          <w:tcPr>
            <w:tcW w:type="dxa" w:w="1337"/>
          </w:tcPr>
          <w:p>
            <w:pPr>
              <w:spacing w:line="240" w:lineRule="auto" w:before="40" w:after="40"/>
            </w:pPr>
            <w:r>
              <w:rPr>
                <w:rFonts w:ascii="Times New Roman" w:hAnsi="Times New Roman"/>
                <w:sz w:val="20"/>
              </w:rPr>
            </w:r>
            <w:r>
              <w:rPr>
                <w:rFonts w:ascii="Times New Roman" w:hAnsi="Times New Roman"/>
                <w:sz w:val="20"/>
              </w:rPr>
              <w:t>Y</w:t>
            </w:r>
          </w:p>
        </w:tc>
        <w:tc>
          <w:tcPr>
            <w:tcW w:type="dxa" w:w="1337"/>
          </w:tcPr>
          <w:p>
            <w:pPr>
              <w:spacing w:line="240" w:lineRule="auto" w:before="40" w:after="40"/>
            </w:pPr>
            <w:r>
              <w:rPr>
                <w:rFonts w:ascii="Times New Roman" w:hAnsi="Times New Roman"/>
                <w:sz w:val="20"/>
              </w:rPr>
            </w:r>
            <w:r>
              <w:rPr>
                <w:rFonts w:ascii="Times New Roman" w:hAnsi="Times New Roman"/>
                <w:sz w:val="20"/>
              </w:rPr>
              <w:t>Y</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r>
      <w:tr>
        <w:tc>
          <w:tcPr>
            <w:tcW w:type="dxa" w:w="1337"/>
          </w:tcPr>
          <w:p>
            <w:pPr>
              <w:spacing w:line="240" w:lineRule="auto" w:before="40" w:after="40"/>
            </w:pPr>
            <w:r>
              <w:rPr>
                <w:rFonts w:ascii="Times New Roman" w:hAnsi="Times New Roman"/>
                <w:sz w:val="20"/>
              </w:rPr>
            </w:r>
            <w:r>
              <w:rPr>
                <w:rFonts w:ascii="Times New Roman" w:hAnsi="Times New Roman"/>
                <w:sz w:val="20"/>
              </w:rPr>
              <w:t>Drug cross-ref</w:t>
            </w:r>
          </w:p>
        </w:tc>
        <w:tc>
          <w:tcPr>
            <w:tcW w:type="dxa" w:w="1337"/>
          </w:tcPr>
          <w:p>
            <w:pPr>
              <w:spacing w:line="240" w:lineRule="auto" w:before="40" w:after="40"/>
            </w:pPr>
            <w:r>
              <w:rPr>
                <w:rFonts w:ascii="Times New Roman" w:hAnsi="Times New Roman"/>
                <w:sz w:val="20"/>
              </w:rPr>
            </w:r>
            <w:r>
              <w:rPr>
                <w:rFonts w:ascii="Times New Roman" w:hAnsi="Times New Roman"/>
                <w:sz w:val="20"/>
              </w:rPr>
              <w:t>Y</w:t>
            </w:r>
          </w:p>
        </w:tc>
        <w:tc>
          <w:tcPr>
            <w:tcW w:type="dxa" w:w="1337"/>
          </w:tcPr>
          <w:p>
            <w:pPr>
              <w:spacing w:line="240" w:lineRule="auto" w:before="40" w:after="40"/>
            </w:pPr>
            <w:r>
              <w:rPr>
                <w:rFonts w:ascii="Times New Roman" w:hAnsi="Times New Roman"/>
                <w:sz w:val="20"/>
              </w:rPr>
            </w:r>
            <w:r>
              <w:rPr>
                <w:rFonts w:ascii="Times New Roman" w:hAnsi="Times New Roman"/>
                <w:sz w:val="20"/>
              </w:rPr>
              <w:t>Y</w:t>
            </w:r>
          </w:p>
        </w:tc>
        <w:tc>
          <w:tcPr>
            <w:tcW w:type="dxa" w:w="1337"/>
          </w:tcPr>
          <w:p>
            <w:pPr>
              <w:spacing w:line="240" w:lineRule="auto" w:before="40" w:after="40"/>
            </w:pPr>
            <w:r>
              <w:rPr>
                <w:rFonts w:ascii="Times New Roman" w:hAnsi="Times New Roman"/>
                <w:sz w:val="20"/>
              </w:rPr>
            </w:r>
            <w:r>
              <w:rPr>
                <w:rFonts w:ascii="Times New Roman" w:hAnsi="Times New Roman"/>
                <w:sz w:val="20"/>
              </w:rPr>
              <w:t>partial</w:t>
            </w:r>
          </w:p>
        </w:tc>
        <w:tc>
          <w:tcPr>
            <w:tcW w:type="dxa" w:w="1337"/>
          </w:tcPr>
          <w:p>
            <w:pPr>
              <w:spacing w:line="240" w:lineRule="auto" w:before="40" w:after="40"/>
            </w:pPr>
            <w:r>
              <w:rPr>
                <w:rFonts w:ascii="Times New Roman" w:hAnsi="Times New Roman"/>
                <w:sz w:val="20"/>
              </w:rPr>
            </w:r>
            <w:r>
              <w:rPr>
                <w:rFonts w:ascii="Times New Roman" w:hAnsi="Times New Roman"/>
                <w:sz w:val="20"/>
              </w:rPr>
              <w:t>partial</w:t>
            </w:r>
          </w:p>
        </w:tc>
        <w:tc>
          <w:tcPr>
            <w:tcW w:type="dxa" w:w="1337"/>
          </w:tcPr>
          <w:p>
            <w:pPr>
              <w:spacing w:line="240" w:lineRule="auto" w:before="40" w:after="40"/>
            </w:pPr>
            <w:r>
              <w:rPr>
                <w:rFonts w:ascii="Times New Roman" w:hAnsi="Times New Roman"/>
                <w:sz w:val="20"/>
              </w:rPr>
            </w:r>
            <w:r>
              <w:rPr>
                <w:rFonts w:ascii="Times New Roman" w:hAnsi="Times New Roman"/>
                <w:sz w:val="20"/>
              </w:rPr>
              <w:t>Y</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r>
      <w:tr>
        <w:tc>
          <w:tcPr>
            <w:tcW w:type="dxa" w:w="1337"/>
          </w:tcPr>
          <w:p>
            <w:pPr>
              <w:spacing w:line="240" w:lineRule="auto" w:before="40" w:after="40"/>
            </w:pPr>
            <w:r>
              <w:rPr>
                <w:rFonts w:ascii="Times New Roman" w:hAnsi="Times New Roman"/>
                <w:sz w:val="20"/>
              </w:rPr>
            </w:r>
            <w:r>
              <w:rPr>
                <w:rFonts w:ascii="Times New Roman" w:hAnsi="Times New Roman"/>
                <w:sz w:val="20"/>
              </w:rPr>
              <w:t>Substance classification</w:t>
            </w:r>
          </w:p>
        </w:tc>
        <w:tc>
          <w:tcPr>
            <w:tcW w:type="dxa" w:w="1337"/>
          </w:tcPr>
          <w:p>
            <w:pPr>
              <w:spacing w:line="240" w:lineRule="auto" w:before="40" w:after="40"/>
            </w:pPr>
            <w:r>
              <w:rPr>
                <w:rFonts w:ascii="Times New Roman" w:hAnsi="Times New Roman"/>
                <w:sz w:val="20"/>
              </w:rPr>
            </w:r>
            <w:r>
              <w:rPr>
                <w:rFonts w:ascii="Times New Roman" w:hAnsi="Times New Roman"/>
                <w:sz w:val="20"/>
              </w:rPr>
              <w:t>Y</w:t>
            </w:r>
          </w:p>
        </w:tc>
        <w:tc>
          <w:tcPr>
            <w:tcW w:type="dxa" w:w="1337"/>
          </w:tcPr>
          <w:p>
            <w:pPr>
              <w:spacing w:line="240" w:lineRule="auto" w:before="40" w:after="40"/>
            </w:pPr>
            <w:r>
              <w:rPr>
                <w:rFonts w:ascii="Times New Roman" w:hAnsi="Times New Roman"/>
                <w:sz w:val="20"/>
              </w:rPr>
            </w:r>
            <w:r>
              <w:rPr>
                <w:rFonts w:ascii="Times New Roman" w:hAnsi="Times New Roman"/>
                <w:sz w:val="20"/>
              </w:rPr>
              <w:t>partial</w:t>
            </w:r>
          </w:p>
        </w:tc>
        <w:tc>
          <w:tcPr>
            <w:tcW w:type="dxa" w:w="1337"/>
          </w:tcPr>
          <w:p>
            <w:pPr>
              <w:spacing w:line="240" w:lineRule="auto" w:before="40" w:after="40"/>
            </w:pPr>
            <w:r>
              <w:rPr>
                <w:rFonts w:ascii="Times New Roman" w:hAnsi="Times New Roman"/>
                <w:sz w:val="20"/>
              </w:rPr>
            </w:r>
            <w:r>
              <w:rPr>
                <w:rFonts w:ascii="Times New Roman" w:hAnsi="Times New Roman"/>
                <w:sz w:val="20"/>
              </w:rPr>
              <w:t>partial</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c>
          <w:tcPr>
            <w:tcW w:type="dxa" w:w="1337"/>
          </w:tcPr>
          <w:p>
            <w:pPr>
              <w:spacing w:line="240" w:lineRule="auto" w:before="40" w:after="40"/>
            </w:pPr>
            <w:r>
              <w:rPr>
                <w:rFonts w:ascii="Times New Roman" w:hAnsi="Times New Roman"/>
                <w:sz w:val="20"/>
              </w:rPr>
            </w:r>
            <w:r>
              <w:rPr>
                <w:rFonts w:ascii="Times New Roman" w:hAnsi="Times New Roman"/>
                <w:sz w:val="20"/>
              </w:rPr>
              <w:t>partial</w:t>
            </w:r>
          </w:p>
        </w:tc>
      </w:tr>
      <w:tr>
        <w:tc>
          <w:tcPr>
            <w:tcW w:type="dxa" w:w="1337"/>
          </w:tcPr>
          <w:p>
            <w:pPr>
              <w:spacing w:line="240" w:lineRule="auto" w:before="40" w:after="40"/>
            </w:pPr>
            <w:r>
              <w:rPr>
                <w:rFonts w:ascii="Times New Roman" w:hAnsi="Times New Roman"/>
                <w:sz w:val="20"/>
              </w:rPr>
            </w:r>
            <w:r>
              <w:rPr>
                <w:rFonts w:ascii="Times New Roman" w:hAnsi="Times New Roman"/>
                <w:sz w:val="20"/>
              </w:rPr>
              <w:t>Multi-source orchestration</w:t>
            </w:r>
          </w:p>
        </w:tc>
        <w:tc>
          <w:tcPr>
            <w:tcW w:type="dxa" w:w="1337"/>
          </w:tcPr>
          <w:p>
            <w:pPr>
              <w:spacing w:line="240" w:lineRule="auto" w:before="40" w:after="40"/>
            </w:pPr>
            <w:r>
              <w:rPr>
                <w:rFonts w:ascii="Times New Roman" w:hAnsi="Times New Roman"/>
                <w:sz w:val="20"/>
              </w:rPr>
            </w:r>
            <w:r>
              <w:rPr>
                <w:rFonts w:ascii="Times New Roman" w:hAnsi="Times New Roman"/>
                <w:sz w:val="20"/>
              </w:rPr>
              <w:t>Y</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r>
      <w:tr>
        <w:tc>
          <w:tcPr>
            <w:tcW w:type="dxa" w:w="1337"/>
          </w:tcPr>
          <w:p>
            <w:pPr>
              <w:spacing w:line="240" w:lineRule="auto" w:before="40" w:after="40"/>
            </w:pPr>
            <w:r>
              <w:rPr>
                <w:rFonts w:ascii="Times New Roman" w:hAnsi="Times New Roman"/>
                <w:sz w:val="20"/>
              </w:rPr>
            </w:r>
            <w:r>
              <w:rPr>
                <w:rFonts w:ascii="Times New Roman" w:hAnsi="Times New Roman"/>
                <w:sz w:val="20"/>
              </w:rPr>
              <w:t>Self-hosted deployment</w:t>
            </w:r>
          </w:p>
        </w:tc>
        <w:tc>
          <w:tcPr>
            <w:tcW w:type="dxa" w:w="1337"/>
          </w:tcPr>
          <w:p>
            <w:pPr>
              <w:spacing w:line="240" w:lineRule="auto" w:before="40" w:after="40"/>
            </w:pPr>
            <w:r>
              <w:rPr>
                <w:rFonts w:ascii="Times New Roman" w:hAnsi="Times New Roman"/>
                <w:sz w:val="20"/>
              </w:rPr>
            </w:r>
            <w:r>
              <w:rPr>
                <w:rFonts w:ascii="Times New Roman" w:hAnsi="Times New Roman"/>
                <w:sz w:val="20"/>
              </w:rPr>
              <w:t>Y</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c>
          <w:tcPr>
            <w:tcW w:type="dxa" w:w="1337"/>
          </w:tcPr>
          <w:p>
            <w:pPr>
              <w:spacing w:line="240" w:lineRule="auto" w:before="40" w:after="40"/>
            </w:pPr>
            <w:r>
              <w:rPr>
                <w:rFonts w:ascii="Times New Roman" w:hAnsi="Times New Roman"/>
                <w:sz w:val="20"/>
              </w:rPr>
            </w:r>
            <w:r>
              <w:rPr>
                <w:rFonts w:ascii="Times New Roman" w:hAnsi="Times New Roman"/>
                <w:sz w:val="20"/>
              </w:rPr>
              <w:t>--</w:t>
            </w:r>
          </w:p>
        </w:tc>
      </w:tr>
    </w:tbl>
    <w:p>
      <w:pPr>
        <w:spacing w:line="480" w:lineRule="auto"/>
      </w:pPr>
      <w:r>
        <w:rPr>
          <w:rFonts w:ascii="Times New Roman" w:hAnsi="Times New Roman"/>
          <w:sz w:val="18"/>
          <w:vertAlign w:val="superscript"/>
        </w:rPr>
        <w:t>a</w:t>
      </w:r>
      <w:r>
        <w:rPr>
          <w:rFonts w:ascii="Times New Roman" w:hAnsi="Times New Roman"/>
          <w:sz w:val="20"/>
        </w:rPr>
        <w:t xml:space="preserve"> PubChem data is open-access, but the platform software is not open-source. </w:t>
      </w:r>
      <w:r>
        <w:rPr>
          <w:rFonts w:ascii="Times New Roman" w:hAnsi="Times New Roman"/>
          <w:sz w:val="18"/>
          <w:vertAlign w:val="superscript"/>
        </w:rPr>
        <w:t>b</w:t>
      </w:r>
      <w:r>
        <w:rPr>
          <w:rFonts w:ascii="Times New Roman" w:hAnsi="Times New Roman"/>
          <w:sz w:val="20"/>
        </w:rPr>
        <w:t xml:space="preserve"> OpenFDA API client libraries are open-source, but the backend infrastructure is government-hosted and not redistributable. </w:t>
      </w:r>
    </w:p>
    <w:p>
      <w:pPr>
        <w:spacing w:line="480" w:lineRule="auto"/>
      </w:pPr>
      <w:r>
        <w:rPr>
          <w:rFonts w:ascii="Times New Roman" w:hAnsi="Times New Roman"/>
          <w:b/>
        </w:rPr>
        <w:t>Limitations.</w:t>
      </w:r>
      <w:r>
        <w:rPr>
          <w:rFonts w:ascii="Times New Roman" w:hAnsi="Times New Roman"/>
        </w:rPr>
        <w:t xml:space="preserve"> No formal user study has been conducted; usability evaluation with domain practitioners is planned. Some workflows depend on external government APIs that may change specifications or experience outages, as observed with intermittent KOSHA service interruptions during development; the adapter-based design mitigates this through fallback mechanisms. Locally cached MSDS data may become stale if upstream agencies update their records; the current implementation does not include an automatic cache invalidation mechanism, and users should be aware that cached safety data may not reflect the most recent regulatory changes. The Korean regulatory data sources (KOSHA, KISCHEM, NCIS) return data primarily in Korean; while the platform provides bilingual display for some MSDS fields, non-Korean-speaking users may find limited utility in the Korean regulatory classification modules. The LLM component (Qwen3:8b via Ollama) is a general-purpose model; domain-specific fine-tuning could improve relevance of generated safety analyses. Full deployment requires API keys from Korean government data portals (data.go.kr), though the platform operates in degraded mode without them. The platform aggregates and displays data from government open APIs under their respective terms of service; users should consult each agency's data usage policies for redistribution or commercial use.</w:t>
      </w:r>
    </w:p>
    <w:p>
      <w:pPr>
        <w:pStyle w:val="Heading2"/>
      </w:pPr>
      <w:r>
        <w:rPr>
          <w:rFonts w:ascii="Times New Roman" w:hAnsi="Times New Roman"/>
          <w:color w:val="000000"/>
        </w:rPr>
        <w:t>Conclusions</w:t>
      </w:r>
    </w:p>
    <w:p>
      <w:pPr>
        <w:spacing w:line="480" w:lineRule="auto"/>
      </w:pPr>
      <w:r>
        <w:rPr>
          <w:rFonts w:ascii="Times New Roman" w:hAnsi="Times New Roman"/>
        </w:rPr>
        <w:t>ChemIP provides an open-source, adapter-based integration platform that unifies safety, regulatory, patent, and pharmaceutical data sources into a single-query workflow for chemical safety practitioners. The platform addresses the workflow fragmentation that currently requires Korean SMEs and foreign market entrants to navigate multiple disconnected government portals for substance evaluation. The self-hosted architecture preserves confidentiality of chemical inquiry patterns, and the graceful degradation design ensures continued operation when individual data sources are unavailable. Future work includes a formal usability study with domain practitioners, expansion to additional regulatory jurisdictions, and exploration of domain-specific LLM fine-tuning for safety analysis. The source code is available at https://github.com/yuyongkim/chemIP under the AGPL-3.0 license, and an archived snapshot is deposited on Zenodo (DOI: 10.5281/zenodo.19447588).</w:t>
      </w:r>
    </w:p>
    <w:p>
      <w:pPr>
        <w:pStyle w:val="Heading2"/>
      </w:pPr>
      <w:r>
        <w:rPr>
          <w:rFonts w:ascii="Times New Roman" w:hAnsi="Times New Roman"/>
          <w:color w:val="000000"/>
        </w:rPr>
        <w:t>Associated Content</w:t>
      </w:r>
    </w:p>
    <w:p>
      <w:pPr>
        <w:spacing w:line="480" w:lineRule="auto"/>
      </w:pPr>
      <w:r>
        <w:rPr>
          <w:rFonts w:ascii="Times New Roman" w:hAnsi="Times New Roman"/>
          <w:b/>
        </w:rPr>
        <w:t>Supporting Information.</w:t>
      </w:r>
      <w:r>
        <w:rPr>
          <w:rFonts w:ascii="Times New Roman" w:hAnsi="Times New Roman"/>
        </w:rPr>
        <w:t xml:space="preserve"> Platform installation instructions, API endpoint documentation, and additional screenshots are available in the project repository README (https://github.com/yuyongkim/chemIP).</w:t>
      </w:r>
    </w:p>
    <w:p>
      <w:pPr>
        <w:pStyle w:val="Heading2"/>
      </w:pPr>
      <w:r>
        <w:rPr>
          <w:rFonts w:ascii="Times New Roman" w:hAnsi="Times New Roman"/>
          <w:color w:val="000000"/>
        </w:rPr>
        <w:t>Author Information</w:t>
      </w:r>
    </w:p>
    <w:p>
      <w:pPr>
        <w:spacing w:line="480" w:lineRule="auto"/>
      </w:pPr>
      <w:r>
        <w:rPr>
          <w:rFonts w:ascii="Times New Roman" w:hAnsi="Times New Roman"/>
          <w:b/>
        </w:rPr>
        <w:t>Corresponding Author:</w:t>
      </w:r>
      <w:r>
        <w:rPr>
          <w:rFonts w:ascii="Times New Roman" w:hAnsi="Times New Roman"/>
        </w:rPr>
        <w:t xml:space="preserve"> Yu Yong Kim — University of Wisconsin-Madison, United States; orcid.org/0009-0006-4842-666X; Email: ykim288@wisc.edu</w:t>
      </w:r>
    </w:p>
    <w:p>
      <w:pPr>
        <w:spacing w:line="480" w:lineRule="auto"/>
      </w:pPr>
      <w:r>
        <w:rPr>
          <w:rFonts w:ascii="Times New Roman" w:hAnsi="Times New Roman"/>
          <w:b/>
        </w:rPr>
        <w:t>Notes:</w:t>
      </w:r>
      <w:r>
        <w:rPr>
          <w:rFonts w:ascii="Times New Roman" w:hAnsi="Times New Roman"/>
        </w:rPr>
        <w:t xml:space="preserve"> The author declares no competing financial interest.</w:t>
      </w:r>
    </w:p>
    <w:p>
      <w:pPr>
        <w:pStyle w:val="Heading2"/>
      </w:pPr>
      <w:r>
        <w:rPr>
          <w:rFonts w:ascii="Times New Roman" w:hAnsi="Times New Roman"/>
          <w:color w:val="000000"/>
        </w:rPr>
        <w:t>Acknowledgments</w:t>
      </w:r>
    </w:p>
    <w:p>
      <w:pPr>
        <w:spacing w:line="480" w:lineRule="auto"/>
      </w:pPr>
      <w:r>
        <w:rPr>
          <w:rFonts w:ascii="Times New Roman" w:hAnsi="Times New Roman"/>
        </w:rPr>
        <w:t>This work utilized public APIs provided by the Korea Occupational Safety and Health Agency (KOSHA), Korea Intellectual Property Rights Information Service (KIPRIS), Korea Trade-Investment Promotion Agency (KOTRA), Ministry of Food and Drug Safety (MFDS), and the National Institute of Chemical Safety (NICS), which operates the KISCHEM and NCIS services under the Ministry of Environment of the Republic of Korea. The author thanks the respective agencies for maintaining open data services that enable third-party integration. This manuscript was prepared with the assistance of Claude (Anthropic), which was used for drafting, editing, and code review.</w:t>
      </w:r>
    </w:p>
    <w:p>
      <w:pPr>
        <w:pStyle w:val="Heading2"/>
      </w:pPr>
      <w:r>
        <w:rPr>
          <w:rFonts w:ascii="Times New Roman" w:hAnsi="Times New Roman"/>
          <w:color w:val="000000"/>
        </w:rPr>
        <w:t>References</w:t>
      </w:r>
    </w:p>
    <w:p>
      <w:pPr>
        <w:spacing w:line="480" w:lineRule="auto"/>
      </w:pPr>
      <w:r>
        <w:rPr>
          <w:rFonts w:ascii="Times New Roman" w:hAnsi="Times New Roman"/>
        </w:rPr>
        <w:t xml:space="preserve">(1) </w:t>
      </w:r>
      <w:r>
        <w:rPr>
          <w:rFonts w:ascii="Times New Roman" w:hAnsi="Times New Roman"/>
        </w:rPr>
        <w:t>International Council of Chemical Associations (ICCA). Global Chemical Industry Overview, 2024. https://www.icca-chem.org/global-chemical-industry-overview (accessed March 2026).</w:t>
      </w:r>
    </w:p>
    <w:p>
      <w:pPr>
        <w:spacing w:line="480" w:lineRule="auto"/>
      </w:pPr>
      <w:r>
        <w:rPr>
          <w:rFonts w:ascii="Times New Roman" w:hAnsi="Times New Roman"/>
        </w:rPr>
        <w:t xml:space="preserve">(2) </w:t>
      </w:r>
      <w:r>
        <w:rPr>
          <w:rFonts w:ascii="Times New Roman" w:hAnsi="Times New Roman"/>
        </w:rPr>
        <w:t>Eurostat. International Trade in Chemicals and Related Products (SITC 5). Eurostat Statistics Explained, updated January 2025. https://ec.europa.eu/eurostat/statistics-explained/index.php?title=International_trade_in_chemicals_and_related_products (accessed March 2026).</w:t>
      </w:r>
    </w:p>
    <w:p>
      <w:pPr>
        <w:spacing w:line="480" w:lineRule="auto"/>
      </w:pPr>
      <w:r>
        <w:rPr>
          <w:rFonts w:ascii="Times New Roman" w:hAnsi="Times New Roman"/>
        </w:rPr>
        <w:t xml:space="preserve">(3) </w:t>
      </w:r>
      <w:r>
        <w:rPr>
          <w:rFonts w:ascii="Times New Roman" w:hAnsi="Times New Roman"/>
        </w:rPr>
        <w:t>Kim, Y. Y. ChemIP Platform Adoption Playbook (Internal Deployment Plan), 2026. Available in project repository: docs/API_ADOPTION_PLAYBOOK.md.</w:t>
      </w:r>
    </w:p>
    <w:p>
      <w:pPr>
        <w:spacing w:line="480" w:lineRule="auto"/>
      </w:pPr>
      <w:r>
        <w:rPr>
          <w:rFonts w:ascii="Times New Roman" w:hAnsi="Times New Roman"/>
        </w:rPr>
        <w:t xml:space="preserve">(4) </w:t>
      </w:r>
      <w:r>
        <w:rPr>
          <w:rFonts w:ascii="Times New Roman" w:hAnsi="Times New Roman"/>
        </w:rPr>
        <w:t xml:space="preserve">Kim, S.; Chen, J.; Cheng, T.; et al. PubChem 2023 Update. </w:t>
      </w:r>
      <w:r>
        <w:rPr>
          <w:rFonts w:ascii="Times New Roman" w:hAnsi="Times New Roman"/>
          <w:i/>
        </w:rPr>
        <w:t>Nucleic Acids Res.</w:t>
      </w:r>
      <w:r>
        <w:rPr>
          <w:rFonts w:ascii="Times New Roman" w:hAnsi="Times New Roman"/>
        </w:rPr>
        <w:t xml:space="preserve"> </w:t>
      </w:r>
      <w:r>
        <w:rPr>
          <w:rFonts w:ascii="Times New Roman" w:hAnsi="Times New Roman"/>
          <w:b/>
        </w:rPr>
        <w:t>2023</w:t>
      </w:r>
      <w:r>
        <w:rPr>
          <w:rFonts w:ascii="Times New Roman" w:hAnsi="Times New Roman"/>
        </w:rPr>
        <w:t xml:space="preserve">, </w:t>
      </w:r>
      <w:r>
        <w:rPr>
          <w:rFonts w:ascii="Times New Roman" w:hAnsi="Times New Roman"/>
          <w:i/>
        </w:rPr>
        <w:t>51</w:t>
      </w:r>
      <w:r>
        <w:rPr>
          <w:rFonts w:ascii="Times New Roman" w:hAnsi="Times New Roman"/>
        </w:rPr>
        <w:t xml:space="preserve"> (D1), D1373–D1380. DOI: 10.1093/nar/gkac956.</w:t>
      </w:r>
    </w:p>
    <w:p>
      <w:pPr>
        <w:spacing w:line="480" w:lineRule="auto"/>
      </w:pPr>
      <w:r>
        <w:rPr>
          <w:rFonts w:ascii="Times New Roman" w:hAnsi="Times New Roman"/>
        </w:rPr>
        <w:t xml:space="preserve">(5) </w:t>
      </w:r>
      <w:r>
        <w:rPr>
          <w:rFonts w:ascii="Times New Roman" w:hAnsi="Times New Roman"/>
        </w:rPr>
        <w:t>Chemical Abstracts Service. SciFinder-n: Chemical Research Platform, 2024. https://scifinder-n.cas.org (accessed March 2026).</w:t>
      </w:r>
    </w:p>
    <w:p>
      <w:pPr>
        <w:spacing w:line="480" w:lineRule="auto"/>
      </w:pPr>
      <w:r>
        <w:rPr>
          <w:rFonts w:ascii="Times New Roman" w:hAnsi="Times New Roman"/>
        </w:rPr>
        <w:t xml:space="preserve">(6) </w:t>
      </w:r>
      <w:r>
        <w:rPr>
          <w:rFonts w:ascii="Times New Roman" w:hAnsi="Times New Roman"/>
        </w:rPr>
        <w:t>Elsevier. Reaxys: Chemistry Research Platform, 2024. https://www.reaxys.com (accessed March 2026).</w:t>
      </w:r>
    </w:p>
    <w:p>
      <w:pPr>
        <w:spacing w:line="480" w:lineRule="auto"/>
      </w:pPr>
      <w:r>
        <w:rPr>
          <w:rFonts w:ascii="Times New Roman" w:hAnsi="Times New Roman"/>
        </w:rPr>
        <w:t xml:space="preserve">(7) </w:t>
      </w:r>
      <w:r>
        <w:rPr>
          <w:rFonts w:ascii="Times New Roman" w:hAnsi="Times New Roman"/>
        </w:rPr>
        <w:t>U.S. Food and Drug Administration. openFDA API Documentation, 2024. https://open.fda.gov (accessed March 2026).</w:t>
      </w:r>
    </w:p>
    <w:p>
      <w:pPr>
        <w:spacing w:line="480" w:lineRule="auto"/>
      </w:pPr>
      <w:r>
        <w:rPr>
          <w:rFonts w:ascii="Times New Roman" w:hAnsi="Times New Roman"/>
        </w:rPr>
        <w:t xml:space="preserve">(8) </w:t>
      </w:r>
      <w:r>
        <w:rPr>
          <w:rFonts w:ascii="Times New Roman" w:hAnsi="Times New Roman"/>
        </w:rPr>
        <w:t xml:space="preserve">Aho, A. V.; Corasick, M. J. Efficient String Matching: An Aid to Bibliographic Search. </w:t>
      </w:r>
      <w:r>
        <w:rPr>
          <w:rFonts w:ascii="Times New Roman" w:hAnsi="Times New Roman"/>
          <w:i/>
        </w:rPr>
        <w:t>Commun. ACM</w:t>
      </w:r>
      <w:r>
        <w:rPr>
          <w:rFonts w:ascii="Times New Roman" w:hAnsi="Times New Roman"/>
        </w:rPr>
        <w:t xml:space="preserve"> </w:t>
      </w:r>
      <w:r>
        <w:rPr>
          <w:rFonts w:ascii="Times New Roman" w:hAnsi="Times New Roman"/>
          <w:b/>
        </w:rPr>
        <w:t>1975</w:t>
      </w:r>
      <w:r>
        <w:rPr>
          <w:rFonts w:ascii="Times New Roman" w:hAnsi="Times New Roman"/>
        </w:rPr>
        <w:t xml:space="preserve">, </w:t>
      </w:r>
      <w:r>
        <w:rPr>
          <w:rFonts w:ascii="Times New Roman" w:hAnsi="Times New Roman"/>
          <w:i/>
        </w:rPr>
        <w:t>18</w:t>
      </w:r>
      <w:r>
        <w:rPr>
          <w:rFonts w:ascii="Times New Roman" w:hAnsi="Times New Roman"/>
        </w:rPr>
        <w:t xml:space="preserve"> (6), 333–340. DOI: 10.1145/360825.360855.</w:t>
      </w:r>
    </w:p>
    <w:p>
      <w:pPr>
        <w:spacing w:line="480" w:lineRule="auto"/>
      </w:pPr>
      <w:r>
        <w:rPr>
          <w:rFonts w:ascii="Times New Roman" w:hAnsi="Times New Roman"/>
        </w:rPr>
        <w:t xml:space="preserve">(9) </w:t>
      </w:r>
      <w:r>
        <w:rPr>
          <w:rFonts w:ascii="Times New Roman" w:hAnsi="Times New Roman"/>
        </w:rPr>
        <w:t>Hipp, D. R. SQLite FTS5 Extension Documentation, 2024. https://www.sqlite.org/fts5.html (accessed March 2026).</w:t>
      </w:r>
    </w:p>
    <w:p>
      <w:pPr>
        <w:spacing w:line="480" w:lineRule="auto"/>
      </w:pPr>
      <w:r>
        <w:rPr>
          <w:rFonts w:ascii="Times New Roman" w:hAnsi="Times New Roman"/>
        </w:rPr>
        <w:t xml:space="preserve">(10) </w:t>
      </w:r>
      <w:r>
        <w:rPr>
          <w:rFonts w:ascii="Times New Roman" w:hAnsi="Times New Roman"/>
        </w:rPr>
        <w:t>Ollama. Run Large Language Models Locally, 2024. https://ollama.com (accessed March 2026).</w:t>
      </w:r>
    </w:p>
    <w:p>
      <w:pPr>
        <w:spacing w:line="480" w:lineRule="auto"/>
      </w:pPr>
      <w:r>
        <w:rPr>
          <w:rFonts w:ascii="Times New Roman" w:hAnsi="Times New Roman"/>
        </w:rPr>
        <w:t xml:space="preserve">(11) </w:t>
      </w:r>
      <w:r>
        <w:rPr>
          <w:rFonts w:ascii="Times New Roman" w:hAnsi="Times New Roman"/>
        </w:rPr>
        <w:t>United Nations Economic Commission for Europe. Globally Harmonized System of Classification and Labelling of Chemicals (GHS Rev. 10), ST/SG/AC.10/30/Rev.10, 2023.</w:t>
      </w:r>
    </w:p>
    <w:p>
      <w:pPr>
        <w:spacing w:line="480" w:lineRule="auto"/>
      </w:pPr>
      <w:r>
        <w:rPr>
          <w:rFonts w:ascii="Times New Roman" w:hAnsi="Times New Roman"/>
        </w:rPr>
        <w:t xml:space="preserve">(12) </w:t>
      </w:r>
      <w:r>
        <w:rPr>
          <w:rFonts w:ascii="Times New Roman" w:hAnsi="Times New Roman"/>
        </w:rPr>
        <w:t>Ramirez, S. FastAPI: Modern, Fast Web Framework for Building APIs with Python, 2024. https://fastapi.tiangolo.com (accessed March 2026).</w:t>
      </w:r>
    </w:p>
    <w:p>
      <w:pPr>
        <w:spacing w:line="480" w:lineRule="auto"/>
      </w:pPr>
      <w:r>
        <w:rPr>
          <w:rFonts w:ascii="Times New Roman" w:hAnsi="Times New Roman"/>
        </w:rPr>
        <w:t xml:space="preserve">(13) </w:t>
      </w:r>
      <w:r>
        <w:rPr>
          <w:rFonts w:ascii="Times New Roman" w:hAnsi="Times New Roman"/>
        </w:rPr>
        <w:t>Vercel. Next.js: The React Framework for the Web, 2025. https://nextjs.org (accessed March 2026).</w:t>
      </w:r>
    </w:p>
    <w:p>
      <w:pPr>
        <w:spacing w:line="480" w:lineRule="auto"/>
      </w:pPr>
      <w:r>
        <w:rPr>
          <w:rFonts w:ascii="Times New Roman" w:hAnsi="Times New Roman"/>
        </w:rPr>
        <w:t xml:space="preserve">(14) </w:t>
      </w:r>
      <w:r>
        <w:rPr>
          <w:rFonts w:ascii="Times New Roman" w:hAnsi="Times New Roman"/>
        </w:rPr>
        <w:t>Korea Occupational Safety and Health Agency (KOSHA). MSDS Open API Service, 2024. https://msds.kosha.or.kr/MSDSInfo/kcic/openapikosha.do (accessed March 2026).</w:t>
      </w:r>
    </w:p>
    <w:p>
      <w:pPr>
        <w:spacing w:line="480" w:lineRule="auto"/>
      </w:pPr>
      <w:r>
        <w:rPr>
          <w:rFonts w:ascii="Times New Roman" w:hAnsi="Times New Roman"/>
        </w:rPr>
        <w:t xml:space="preserve">(15) </w:t>
      </w:r>
      <w:r>
        <w:rPr>
          <w:rFonts w:ascii="Times New Roman" w:hAnsi="Times New Roman"/>
        </w:rPr>
        <w:t>Korea Public Data Portal (data.go.kr). KOSHA Material Safety Data Sheet Inquiry Service, Service No. 15157612, 2024. https://www.data.go.kr/data/15157612/openapi.do (accessed March 2026).</w:t>
      </w:r>
    </w:p>
    <w:p>
      <w:pPr>
        <w:spacing w:line="480" w:lineRule="auto"/>
      </w:pPr>
      <w:r>
        <w:rPr>
          <w:rFonts w:ascii="Times New Roman" w:hAnsi="Times New Roman"/>
        </w:rPr>
        <w:t xml:space="preserve">(16) </w:t>
      </w:r>
      <w:r>
        <w:rPr>
          <w:rFonts w:ascii="Times New Roman" w:hAnsi="Times New Roman"/>
        </w:rPr>
        <w:t>Republic of Korea. Chemical Substances Control Act (화학물질관리법), Act No. 16084, 2018.</w:t>
      </w:r>
    </w:p>
    <w:p>
      <w:pPr>
        <w:spacing w:line="480" w:lineRule="auto"/>
      </w:pPr>
      <w:r>
        <w:rPr>
          <w:rFonts w:ascii="Times New Roman" w:hAnsi="Times New Roman"/>
        </w:rPr>
        <w:t xml:space="preserve">(17) </w:t>
      </w:r>
      <w:r>
        <w:rPr>
          <w:rFonts w:ascii="Times New Roman" w:hAnsi="Times New Roman"/>
        </w:rPr>
        <w:t>Republic of Korea. Occupational Safety and Health Act (산업안전보건법), Act No. 16272, 2019.</w:t>
      </w:r>
    </w:p>
    <w:p>
      <w:pPr>
        <w:spacing w:line="480" w:lineRule="auto"/>
      </w:pPr>
      <w:r>
        <w:rPr>
          <w:rFonts w:ascii="Times New Roman" w:hAnsi="Times New Roman"/>
        </w:rPr>
        <w:t xml:space="preserve">(18) </w:t>
      </w:r>
      <w:r>
        <w:rPr>
          <w:rFonts w:ascii="Times New Roman" w:hAnsi="Times New Roman"/>
        </w:rPr>
        <w:t>American Chemical Society Committee on Chemical Safety. Identifying and Evaluating Hazards in Research Laboratories; ACS: Washington, DC, 2015.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