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</w:rPr>
        <w:t>ChemIP Platform</w:t>
      </w:r>
    </w:p>
    <w:p>
      <w:pPr>
        <w:pStyle w:val="Heading1"/>
      </w:pPr>
      <w:r>
        <w:rPr>
          <w:rFonts w:ascii="맑은 고딕" w:hAnsi="맑은 고딕" w:eastAsia="맑은 고딕" w:cs="맑은 고딕"/>
        </w:rPr>
        <w:t>MSDS OpenAPI 활용사례 제출서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문서 정보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문서명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ChemIP Platform MSDS OpenAPI 활용사례 제출서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제출처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MSDS OpenAPI 운영기관(담당 부서)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작성일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2026-02-22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버전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v1.3 (working draft)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제출자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[기관/팀/이름 입력]</w:t>
            </w:r>
          </w:p>
        </w:tc>
      </w:tr>
    </w:tbl>
    <w:p/>
    <w:p/>
    <w:p>
      <w:pPr>
        <w:pStyle w:val="Heading2"/>
      </w:pPr>
      <w:r>
        <w:rPr>
          <w:rFonts w:ascii="맑은 고딕" w:hAnsi="맑은 고딕" w:eastAsia="맑은 고딕" w:cs="맑은 고딕"/>
        </w:rPr>
        <w:t>1. 제출 목적 및 개발 배경</w:t>
      </w:r>
    </w:p>
    <w:p/>
    <w:p>
      <w:r>
        <w:rPr>
          <w:rFonts w:ascii="맑은 고딕" w:hAnsi="맑은 고딕" w:eastAsia="맑은 고딕" w:cs="맑은 고딕"/>
        </w:rPr>
        <w:t>본 문서는 MSDS OpenAPI를 실제 업무형 서비스에 연계한 활용사례 제출용 문서임.</w:t>
      </w:r>
    </w:p>
    <w:p>
      <w:r>
        <w:rPr>
          <w:rFonts w:ascii="맑은 고딕" w:hAnsi="맑은 고딕" w:eastAsia="맑은 고딕" w:cs="맑은 고딕"/>
        </w:rPr>
        <w:t>단순 API 호출 시연이 아니라, 개발 배경/업무 개선 의도/동작 검증 결과를 함께 제시하는 목적임.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1.1 개발 착수 배경</w:t>
      </w:r>
    </w:p>
    <w:p/>
    <w:p>
      <w:r>
        <w:rPr>
          <w:rFonts w:ascii="맑은 고딕" w:hAnsi="맑은 고딕" w:eastAsia="맑은 고딕" w:cs="맑은 고딕"/>
        </w:rPr>
        <w:t>화학물질 문의 처리 과정에서 안전정보(MSDS), 특허, 시장, 의약품 정보를 각각 다른 시스템에서 조회해야 했음.</w:t>
      </w:r>
    </w:p>
    <w:p>
      <w:r>
        <w:rPr>
          <w:rFonts w:ascii="맑은 고딕" w:hAnsi="맑은 고딕" w:eastAsia="맑은 고딕" w:cs="맑은 고딕"/>
        </w:rPr>
        <w:t>실무에서 아래 비효율이 반복됐음.</w:t>
      </w:r>
    </w:p>
    <w:p/>
    <w:p>
      <w:r>
        <w:rPr>
          <w:rFonts w:ascii="맑은 고딕" w:hAnsi="맑은 고딕" w:eastAsia="맑은 고딕" w:cs="맑은 고딕"/>
        </w:rPr>
        <w:t>1. 동일 물질을 여러 사이트에서 중복 검색함</w:t>
      </w:r>
    </w:p>
    <w:p>
      <w:r>
        <w:rPr>
          <w:rFonts w:ascii="맑은 고딕" w:hAnsi="맑은 고딕" w:eastAsia="맑은 고딕" w:cs="맑은 고딕"/>
        </w:rPr>
        <w:t>2. 조회 결과를 수기로 재정리함</w:t>
      </w:r>
    </w:p>
    <w:p>
      <w:r>
        <w:rPr>
          <w:rFonts w:ascii="맑은 고딕" w:hAnsi="맑은 고딕" w:eastAsia="맑은 고딕" w:cs="맑은 고딕"/>
        </w:rPr>
        <w:t>3. 담당자별 조사 범위 편차로 누락 위험 생김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1.2 기존 업무 한계(문제 인식)</w:t>
      </w:r>
    </w:p>
    <w:p/>
    <w:p>
      <w:r>
        <w:rPr>
          <w:rFonts w:ascii="맑은 고딕" w:hAnsi="맑은 고딕" w:eastAsia="맑은 고딕" w:cs="맑은 고딕"/>
        </w:rPr>
        <w:t>1. 조회 채널 분산: 안전/특허/시장 정보를 각각 별도 접근해야 했음</w:t>
      </w:r>
    </w:p>
    <w:p>
      <w:r>
        <w:rPr>
          <w:rFonts w:ascii="맑은 고딕" w:hAnsi="맑은 고딕" w:eastAsia="맑은 고딕" w:cs="맑은 고딕"/>
        </w:rPr>
        <w:t>2. 처리 지연: 건별 조사 시간이 길고 반복 업무 비중이 컸음</w:t>
      </w:r>
    </w:p>
    <w:p>
      <w:r>
        <w:rPr>
          <w:rFonts w:ascii="맑은 고딕" w:hAnsi="맑은 고딕" w:eastAsia="맑은 고딕" w:cs="맑은 고딕"/>
        </w:rPr>
        <w:t>3. 결과 일관성 부족: 담당자 숙련도에 따라 품질 편차 발생했음</w:t>
      </w:r>
    </w:p>
    <w:p>
      <w:r>
        <w:rPr>
          <w:rFonts w:ascii="맑은 고딕" w:hAnsi="맑은 고딕" w:eastAsia="맑은 고딕" w:cs="맑은 고딕"/>
        </w:rPr>
        <w:t>4. 후속 검토 단절: MSDS 확인 후 특허/시장 검토가 끊겨 수행됐음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1.3 왜 이 서비스를 개발했는가</w:t>
      </w:r>
    </w:p>
    <w:p/>
    <w:p>
      <w:r>
        <w:rPr>
          <w:rFonts w:ascii="맑은 고딕" w:hAnsi="맑은 고딕" w:eastAsia="맑은 고딕" w:cs="맑은 고딕"/>
        </w:rPr>
        <w:t>ChemIP Platform 개발 목적은 아래 3가지였음.</w:t>
      </w:r>
    </w:p>
    <w:p/>
    <w:p>
      <w:r>
        <w:rPr>
          <w:rFonts w:ascii="맑은 고딕" w:hAnsi="맑은 고딕" w:eastAsia="맑은 고딕" w:cs="맑은 고딕"/>
        </w:rPr>
        <w:t>1. MSDS 중심 통합 조회 창구 제공</w:t>
      </w:r>
    </w:p>
    <w:p>
      <w:r>
        <w:rPr>
          <w:rFonts w:ascii="맑은 고딕" w:hAnsi="맑은 고딕" w:eastAsia="맑은 고딕" w:cs="맑은 고딕"/>
        </w:rPr>
        <w:t>2. 초기 조사 시간을 줄여 담당자가 판단/검토 업무에 집중하도록 전환</w:t>
      </w:r>
    </w:p>
    <w:p>
      <w:r>
        <w:rPr>
          <w:rFonts w:ascii="맑은 고딕" w:hAnsi="맑은 고딕" w:eastAsia="맑은 고딕" w:cs="맑은 고딕"/>
        </w:rPr>
        <w:t>3. 안전정보 확인 이후 특허/시장 검토까지 하나의 흐름으로 연결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1.4 기존 활용 요구사항 반영 여부</w:t>
      </w:r>
    </w:p>
    <w:p/>
    <w:p>
      <w:r>
        <w:rPr>
          <w:rFonts w:ascii="맑은 고딕" w:hAnsi="맑은 고딕" w:eastAsia="맑은 고딕" w:cs="맑은 고딕"/>
        </w:rPr>
        <w:t>사전에 정리된 실제 활용 맥락을 그대로 반영했음.</w:t>
      </w:r>
    </w:p>
    <w:p/>
    <w:p>
      <w:r>
        <w:rPr>
          <w:rFonts w:ascii="맑은 고딕" w:hAnsi="맑은 고딕" w:eastAsia="맑은 고딕" w:cs="맑은 고딕"/>
        </w:rPr>
        <w:t>1. 신규 원료 도입 전 사전 안전성 검토</w:t>
      </w:r>
    </w:p>
    <w:p>
      <w:r>
        <w:rPr>
          <w:rFonts w:ascii="맑은 고딕" w:hAnsi="맑은 고딕" w:eastAsia="맑은 고딕" w:cs="맑은 고딕"/>
        </w:rPr>
        <w:t>2. 수출 대상국 진입 전 규제 + 특허 동시 검토</w:t>
      </w:r>
    </w:p>
    <w:p>
      <w:r>
        <w:rPr>
          <w:rFonts w:ascii="맑은 고딕" w:hAnsi="맑은 고딕" w:eastAsia="맑은 고딕" w:cs="맑은 고딕"/>
        </w:rPr>
        <w:t>3. 의약품 성분 기반 교차 조사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1.5 주요 용어 해설(비전문가용)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용어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쉬운 설명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본 서비스에서의 의미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API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다른 시스템 데이터를 프로그램으로 조회하는 방식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KOSHA/KIPRIS/KOTRA/식약처 데이터 자동 조회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MSDS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화학물질 안전정보 문서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안전성 검토의 기준 데이터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KIPRIS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국내 특허 정보 서비스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특허 검색/상세 조회 데이터 소스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CAS 번호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화학물질 고유 식별번호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물질 오인 없이 정확 검색하기 위한 키값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API 오케스트레이션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여러 API를 조합해 한 결과로 제공하는 방식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MSDS 중심으로 연관 데이터 통합 조회 구현</w:t>
            </w:r>
          </w:p>
        </w:tc>
      </w:tr>
    </w:tbl>
    <w:p/>
    <w:p/>
    <w:p>
      <w:pPr>
        <w:pStyle w:val="Heading2"/>
      </w:pPr>
      <w:r>
        <w:rPr>
          <w:rFonts w:ascii="맑은 고딕" w:hAnsi="맑은 고딕" w:eastAsia="맑은 고딕" w:cs="맑은 고딕"/>
        </w:rPr>
        <w:t>2. 서비스 개요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2.1 핵심 정의</w:t>
      </w:r>
    </w:p>
    <w:p/>
    <w:p>
      <w:r>
        <w:rPr>
          <w:rFonts w:ascii="맑은 고딕" w:hAnsi="맑은 고딕" w:eastAsia="맑은 고딕" w:cs="맑은 고딕"/>
        </w:rPr>
        <w:t>KOSHA MSDS OpenAPI를 중심으로 다수 공공 API를 연계한 화학물질 통합 조회 플랫폼임.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2.2 통합 데이터 소스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우선순위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연계 API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제공 정보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역할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1순위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KOSHA MSDS OpenAPI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화학물질 안전보건자료(주요 섹션)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핵심 기준 데이터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2순위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KIPRIS OpenAPI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국내 특허 검색/상세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권리 분석 보조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3순위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KOTRA 관련 API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시장/무역 정보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시장 분석 보조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4순위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식약처 의약품 API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허가 정보 및 복약 안내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성분 교차 확인</w:t>
            </w:r>
          </w:p>
        </w:tc>
      </w:tr>
    </w:tbl>
    <w:p/>
    <w:p/>
    <w:p>
      <w:pPr>
        <w:pStyle w:val="Heading3"/>
      </w:pPr>
      <w:r>
        <w:rPr>
          <w:rFonts w:ascii="맑은 고딕" w:hAnsi="맑은 고딕" w:eastAsia="맑은 고딕" w:cs="맑은 고딕"/>
        </w:rPr>
        <w:t>2.3 운영 환경 및 보안 개요</w:t>
      </w:r>
    </w:p>
    <w:p/>
    <w:p>
      <w:r>
        <w:rPr>
          <w:rFonts w:ascii="맑은 고딕" w:hAnsi="맑은 고딕" w:eastAsia="맑은 고딕" w:cs="맑은 고딕"/>
        </w:rPr>
        <w:t>운영 방식:</w:t>
      </w:r>
    </w:p>
    <w:p/>
    <w:p>
      <w:r>
        <w:rPr>
          <w:rFonts w:ascii="맑은 고딕" w:hAnsi="맑은 고딕" w:eastAsia="맑은 고딕" w:cs="맑은 고딕"/>
        </w:rPr>
        <w:t>1. 내부 서버 기반 구동을 기본 원칙으로 함</w:t>
      </w:r>
    </w:p>
    <w:p>
      <w:r>
        <w:rPr>
          <w:rFonts w:ascii="맑은 고딕" w:hAnsi="맑은 고딕" w:eastAsia="맑은 고딕" w:cs="맑은 고딕"/>
        </w:rPr>
        <w:t>2. 웹 브라우저 접속 방식으로 별도 프로그램 설치 불필요함</w:t>
      </w:r>
    </w:p>
    <w:p/>
    <w:p>
      <w:r>
        <w:rPr>
          <w:rFonts w:ascii="맑은 고딕" w:hAnsi="맑은 고딕" w:eastAsia="맑은 고딕" w:cs="맑은 고딕"/>
        </w:rPr>
        <w:t>데이터 보안:</w:t>
      </w:r>
    </w:p>
    <w:p/>
    <w:p>
      <w:r>
        <w:rPr>
          <w:rFonts w:ascii="맑은 고딕" w:hAnsi="맑은 고딕" w:eastAsia="맑은 고딕" w:cs="맑은 고딕"/>
        </w:rPr>
        <w:t>1. 공공 API 데이터 중심으로 활용하며 개인정보를 수집하지 않음</w:t>
      </w:r>
    </w:p>
    <w:p>
      <w:r>
        <w:rPr>
          <w:rFonts w:ascii="맑은 고딕" w:hAnsi="맑은 고딕" w:eastAsia="맑은 고딕" w:cs="맑은 고딕"/>
        </w:rPr>
        <w:t>2. API 키는 환경변수(.env)로 분리 관리함</w:t>
      </w:r>
    </w:p>
    <w:p>
      <w:r>
        <w:rPr>
          <w:rFonts w:ascii="맑은 고딕" w:hAnsi="맑은 고딕" w:eastAsia="맑은 고딕" w:cs="맑은 고딕"/>
        </w:rPr>
        <w:t>3. 기능 검증 로그는 검증 목적 범위 내에서만 사용함</w:t>
      </w:r>
    </w:p>
    <w:p/>
    <w:p>
      <w:r>
        <w:rPr>
          <w:rFonts w:ascii="맑은 고딕" w:hAnsi="맑은 고딕" w:eastAsia="맑은 고딕" w:cs="맑은 고딕"/>
        </w:rPr>
        <w:t>접근 통제:</w:t>
      </w:r>
    </w:p>
    <w:p/>
    <w:p>
      <w:r>
        <w:rPr>
          <w:rFonts w:ascii="맑은 고딕" w:hAnsi="맑은 고딕" w:eastAsia="맑은 고딕" w:cs="맑은 고딕"/>
        </w:rPr>
        <w:t>1. 승인된 사용자 기반 접근 정책 적용 가능함</w:t>
      </w:r>
    </w:p>
    <w:p>
      <w:r>
        <w:rPr>
          <w:rFonts w:ascii="맑은 고딕" w:hAnsi="맑은 고딕" w:eastAsia="맑은 고딕" w:cs="맑은 고딕"/>
        </w:rPr>
        <w:t>2. 파일럿 종료 후 보관/폐기 기준을 별도 운영 정책으로 관리 가능함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3. 업무 프로세스 변화(As-Is vs To-Be)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3.1 기존 방식(As-Is)</w:t>
      </w:r>
    </w:p>
    <w:p/>
    <w:p>
      <w:r>
        <w:rPr>
          <w:rFonts w:ascii="맑은 고딕" w:hAnsi="맑은 고딕" w:eastAsia="맑은 고딕" w:cs="맑은 고딕"/>
        </w:rPr>
        <w:t>1. 문의 접수 후 안전정보/특허/시장 사이트 개별 접속</w:t>
      </w:r>
    </w:p>
    <w:p>
      <w:r>
        <w:rPr>
          <w:rFonts w:ascii="맑은 고딕" w:hAnsi="맑은 고딕" w:eastAsia="맑은 고딕" w:cs="맑은 고딕"/>
        </w:rPr>
        <w:t>2. 결과를 수동 정리</w:t>
      </w:r>
    </w:p>
    <w:p>
      <w:r>
        <w:rPr>
          <w:rFonts w:ascii="맑은 고딕" w:hAnsi="맑은 고딕" w:eastAsia="맑은 고딕" w:cs="맑은 고딕"/>
        </w:rPr>
        <w:t>3. 누락 항목 재조사 후 보고서 작성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3.2 ChemIP 활용 방식(To-Be)</w:t>
      </w:r>
    </w:p>
    <w:p/>
    <w:p>
      <w:r>
        <w:rPr>
          <w:rFonts w:ascii="맑은 고딕" w:hAnsi="맑은 고딕" w:eastAsia="맑은 고딕" w:cs="맑은 고딕"/>
        </w:rPr>
        <w:t>1. 물질명 또는 CAS 1회 검색</w:t>
      </w:r>
    </w:p>
    <w:p>
      <w:r>
        <w:rPr>
          <w:rFonts w:ascii="맑은 고딕" w:hAnsi="맑은 고딕" w:eastAsia="맑은 고딕" w:cs="맑은 고딕"/>
        </w:rPr>
        <w:t>2. MSDS 확인 후 특허/시장/의약품 연계 조회</w:t>
      </w:r>
    </w:p>
    <w:p>
      <w:r>
        <w:rPr>
          <w:rFonts w:ascii="맑은 고딕" w:hAnsi="맑은 고딕" w:eastAsia="맑은 고딕" w:cs="맑은 고딕"/>
        </w:rPr>
        <w:t>3. 추가 검토 필요 항목만 심화 조사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3.3 기대 개선 효과(정성)</w:t>
      </w:r>
    </w:p>
    <w:p/>
    <w:p>
      <w:r>
        <w:rPr>
          <w:rFonts w:ascii="맑은 고딕" w:hAnsi="맑은 고딕" w:eastAsia="맑은 고딕" w:cs="맑은 고딕"/>
        </w:rPr>
        <w:t>1. 반복 조회 작업 감소</w:t>
      </w:r>
    </w:p>
    <w:p>
      <w:r>
        <w:rPr>
          <w:rFonts w:ascii="맑은 고딕" w:hAnsi="맑은 고딕" w:eastAsia="맑은 고딕" w:cs="맑은 고딕"/>
        </w:rPr>
        <w:t>2. 정보 누락 가능성 감소</w:t>
      </w:r>
    </w:p>
    <w:p>
      <w:r>
        <w:rPr>
          <w:rFonts w:ascii="맑은 고딕" w:hAnsi="맑은 고딕" w:eastAsia="맑은 고딕" w:cs="맑은 고딕"/>
        </w:rPr>
        <w:t>3. 담당자 간 조사 절차 표준화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3.4 사전 효율성 분석 결과(파일럿 전)</w:t>
      </w:r>
    </w:p>
    <w:p/>
    <w:p>
      <w:r>
        <w:rPr>
          <w:rFonts w:ascii="맑은 고딕" w:hAnsi="맑은 고딕" w:eastAsia="맑은 고딕" w:cs="맑은 고딕"/>
        </w:rPr>
        <w:t>본 수치는 파일럿 운영 전, 표준 업무 시나리오를 기준으로 산정한 사전 효율성 분석 결과임.</w:t>
      </w:r>
    </w:p>
    <w:p>
      <w:r>
        <w:rPr>
          <w:rFonts w:ascii="맑은 고딕" w:hAnsi="맑은 고딕" w:eastAsia="맑은 고딕" w:cs="맑은 고딕"/>
        </w:rPr>
        <w:t>정식 운영 이후 로그 데이터 기반으로 검증 수치 재산출 예정임.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기존 방식(추정)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ChemIP 활용(추정)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건당 기본 조회 시간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약 120분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약 30분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안전/특허/시장 분산 조회를 통합 조회로 전환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반복 입력/복사 정리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약 30분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약 5분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탭 기반 조회 + 화면 일원화 가정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총 소요시간(1건)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약 150분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약 35분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약 76% 단축 추정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일 10건 처리 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약 25시간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약 5.8시간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단순 환산 추정</w:t>
            </w:r>
          </w:p>
        </w:tc>
      </w:tr>
    </w:tbl>
    <w:p/>
    <w:p/>
    <w:p>
      <w:r>
        <w:rPr>
          <w:rFonts w:ascii="맑은 고딕" w:hAnsi="맑은 고딕" w:eastAsia="맑은 고딕" w:cs="맑은 고딕"/>
        </w:rPr>
        <w:t>정량 검증 계획:</w:t>
      </w:r>
    </w:p>
    <w:p/>
    <w:p>
      <w:r>
        <w:rPr>
          <w:rFonts w:ascii="맑은 고딕" w:hAnsi="맑은 고딕" w:eastAsia="맑은 고딕" w:cs="맑은 고딕"/>
        </w:rPr>
        <w:t>1. 파일럿 기간 중 검색 시작/종료 시각 로그 수집</w:t>
      </w:r>
    </w:p>
    <w:p>
      <w:r>
        <w:rPr>
          <w:rFonts w:ascii="맑은 고딕" w:hAnsi="맑은 고딕" w:eastAsia="맑은 고딕" w:cs="맑은 고딕"/>
        </w:rPr>
        <w:t>2. 기존 방식 대비 건당 평균 처리시간 비교</w:t>
      </w:r>
    </w:p>
    <w:p>
      <w:r>
        <w:rPr>
          <w:rFonts w:ascii="맑은 고딕" w:hAnsi="맑은 고딕" w:eastAsia="맑은 고딕" w:cs="맑은 고딕"/>
        </w:rPr>
        <w:t>3. 파일럿 종료 시 검증 수치로 문서 업데이트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4. MSDS OpenAPI 활용 상세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4.1 검색 단계</w:t>
      </w:r>
    </w:p>
    <w:p/>
    <w:p>
      <w:r>
        <w:rPr>
          <w:rFonts w:ascii="맑은 고딕" w:hAnsi="맑은 고딕" w:eastAsia="맑은 고딕" w:cs="맑은 고딕"/>
        </w:rPr>
        <w:t>1. 물질명(국문/영문) 또는 CAS 번호 입력</w:t>
      </w:r>
    </w:p>
    <w:p>
      <w:r>
        <w:rPr>
          <w:rFonts w:ascii="맑은 고딕" w:hAnsi="맑은 고딕" w:eastAsia="맑은 고딕" w:cs="맑은 고딕"/>
        </w:rPr>
        <w:t>2. 검색 결과 기반으로 대상 물질 선택</w:t>
      </w:r>
    </w:p>
    <w:p>
      <w:r>
        <w:rPr>
          <w:rFonts w:ascii="맑은 고딕" w:hAnsi="맑은 고딕" w:eastAsia="맑은 고딕" w:cs="맑은 고딕"/>
        </w:rPr>
        <w:t>3. 선택 물질의 MSDS 상세 조회로 진입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4.2 상세 조회 단계</w:t>
      </w:r>
    </w:p>
    <w:p/>
    <w:p>
      <w:r>
        <w:rPr>
          <w:rFonts w:ascii="맑은 고딕" w:hAnsi="맑은 고딕" w:eastAsia="맑은 고딕" w:cs="맑은 고딕"/>
        </w:rPr>
        <w:t>1. MSDS 주요 섹션을 구조화해 조회 가능하게 구성</w:t>
      </w:r>
    </w:p>
    <w:p>
      <w:r>
        <w:rPr>
          <w:rFonts w:ascii="맑은 고딕" w:hAnsi="맑은 고딕" w:eastAsia="맑은 고딕" w:cs="맑은 고딕"/>
        </w:rPr>
        <w:t>2. 위험/취급/보호 관련 핵심 정보를 빠르게 확인 가능하게 배치</w:t>
      </w:r>
    </w:p>
    <w:p>
      <w:r>
        <w:rPr>
          <w:rFonts w:ascii="맑은 고딕" w:hAnsi="맑은 고딕" w:eastAsia="맑은 고딕" w:cs="맑은 고딕"/>
        </w:rPr>
        <w:t>3. 원본 정보 의미를 유지하면서 가독성 중심 UI로 제공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4.3 연계 활용 단계</w:t>
      </w:r>
    </w:p>
    <w:p/>
    <w:p>
      <w:r>
        <w:rPr>
          <w:rFonts w:ascii="맑은 고딕" w:hAnsi="맑은 고딕" w:eastAsia="맑은 고딕" w:cs="맑은 고딕"/>
        </w:rPr>
        <w:t>1. MSDS 확인 후 동일 키워드로 특허 조회 연결</w:t>
      </w:r>
    </w:p>
    <w:p>
      <w:r>
        <w:rPr>
          <w:rFonts w:ascii="맑은 고딕" w:hAnsi="맑은 고딕" w:eastAsia="맑은 고딕" w:cs="맑은 고딕"/>
        </w:rPr>
        <w:t>2. 시장/무역 정보 조회로 후속 검토 연결</w:t>
      </w:r>
    </w:p>
    <w:p>
      <w:r>
        <w:rPr>
          <w:rFonts w:ascii="맑은 고딕" w:hAnsi="맑은 고딕" w:eastAsia="맑은 고딕" w:cs="맑은 고딕"/>
        </w:rPr>
        <w:t>3. 의약품 관련 성분 교차 확인까지 동일 흐름에서 수행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5. 실제 활용 시나리오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5.1 신규 원료 도입 전 사전 검토</w:t>
      </w:r>
    </w:p>
    <w:p/>
    <w:p>
      <w:r>
        <w:rPr>
          <w:rFonts w:ascii="맑은 고딕" w:hAnsi="맑은 고딕" w:eastAsia="맑은 고딕" w:cs="맑은 고딕"/>
        </w:rPr>
        <w:t>1. 물질 검색 후 MSDS 주요 섹션 확인</w:t>
      </w:r>
    </w:p>
    <w:p>
      <w:r>
        <w:rPr>
          <w:rFonts w:ascii="맑은 고딕" w:hAnsi="맑은 고딕" w:eastAsia="맑은 고딕" w:cs="맑은 고딕"/>
        </w:rPr>
        <w:t>2. 취급/보관/보호구 관련 항목 점검</w:t>
      </w:r>
    </w:p>
    <w:p>
      <w:r>
        <w:rPr>
          <w:rFonts w:ascii="맑은 고딕" w:hAnsi="맑은 고딕" w:eastAsia="맑은 고딕" w:cs="맑은 고딕"/>
        </w:rPr>
        <w:t>3. 작업 절차(SOP) 업데이트 근거로 활용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5.2 해외 진출 사전 검토</w:t>
      </w:r>
    </w:p>
    <w:p/>
    <w:p>
      <w:r>
        <w:rPr>
          <w:rFonts w:ascii="맑은 고딕" w:hAnsi="맑은 고딕" w:eastAsia="맑은 고딕" w:cs="맑은 고딕"/>
        </w:rPr>
        <w:t>1. MSDS 기반 위험/분류 확인</w:t>
      </w:r>
    </w:p>
    <w:p>
      <w:r>
        <w:rPr>
          <w:rFonts w:ascii="맑은 고딕" w:hAnsi="맑은 고딕" w:eastAsia="맑은 고딕" w:cs="맑은 고딕"/>
        </w:rPr>
        <w:t>2. 무역/시장 정보 조회로 국가별 이슈 확인</w:t>
      </w:r>
    </w:p>
    <w:p>
      <w:r>
        <w:rPr>
          <w:rFonts w:ascii="맑은 고딕" w:hAnsi="맑은 고딕" w:eastAsia="맑은 고딕" w:cs="맑은 고딕"/>
        </w:rPr>
        <w:t>3. 특허 검색으로 분쟁 가능성 사전 점검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5.3 의약품 성분 교차 확인</w:t>
      </w:r>
    </w:p>
    <w:p/>
    <w:p>
      <w:r>
        <w:rPr>
          <w:rFonts w:ascii="맑은 고딕" w:hAnsi="맑은 고딕" w:eastAsia="맑은 고딕" w:cs="맑은 고딕"/>
        </w:rPr>
        <w:t>1. 의약품 검색 후 허가/e약은요 확인</w:t>
      </w:r>
    </w:p>
    <w:p>
      <w:r>
        <w:rPr>
          <w:rFonts w:ascii="맑은 고딕" w:hAnsi="맑은 고딕" w:eastAsia="맑은 고딕" w:cs="맑은 고딕"/>
        </w:rPr>
        <w:t>2. 연관 특허/시장 데이터 추가 조회</w:t>
      </w:r>
    </w:p>
    <w:p>
      <w:r>
        <w:rPr>
          <w:rFonts w:ascii="맑은 고딕" w:hAnsi="맑은 고딕" w:eastAsia="맑은 고딕" w:cs="맑은 고딕"/>
        </w:rPr>
        <w:t>3. 성분 중심 종합 검토에 활용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6. 연계 기능(확장 활용)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기능 영역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연계 내용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사용자 효익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특허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KIPRIS 검색/상세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기술/권리 이슈 사전 파악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무역/시장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국가/시장 정보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시장 진입 검토 속도 향상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의약품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허가 + e약은요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성분 관련 정보 교차 검토</w:t>
            </w:r>
          </w:p>
        </w:tc>
      </w:tr>
    </w:tbl>
    <w:p/>
    <w:p/>
    <w:p>
      <w:pPr>
        <w:pStyle w:val="Heading2"/>
      </w:pPr>
      <w:r>
        <w:rPr>
          <w:rFonts w:ascii="맑은 고딕" w:hAnsi="맑은 고딕" w:eastAsia="맑은 고딕" w:cs="맑은 고딕"/>
        </w:rPr>
        <w:t>7. 종합 검증 결과</w:t>
      </w:r>
    </w:p>
    <w:p/>
    <w:p>
      <w:r>
        <w:rPr>
          <w:rFonts w:ascii="맑은 고딕" w:hAnsi="맑은 고딕" w:eastAsia="맑은 고딕" w:cs="맑은 고딕"/>
        </w:rPr>
        <w:t>자동화된 검증 체계로 핵심 항목 점검 완료했으며, 전 항목 PASS 확인됨.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검증 항목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결과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Backend API 테스트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pytest 9 passed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KIPRIS 실연동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검색/상세 조회 모두 정상 응답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Frontend 코드 품질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npm run lint 통과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Frontend 빌드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npm run build 통과</w:t>
            </w:r>
          </w:p>
        </w:tc>
      </w:tr>
    </w:tbl>
    <w:p/>
    <w:p/>
    <w:p>
      <w:r>
        <w:rPr>
          <w:rFonts w:ascii="맑은 고딕" w:hAnsi="맑은 고딕" w:eastAsia="맑은 고딕" w:cs="맑은 고딕"/>
        </w:rPr>
        <w:t>KIPRIS 실연동 확인 응답(예시):</w:t>
      </w:r>
    </w:p>
    <w:p/>
    <w:p>
      <w:r>
        <w:rPr>
          <w:rFonts w:ascii="맑은 고딕" w:hAnsi="맑은 고딕" w:eastAsia="맑은 고딕" w:cs="맑은 고딕"/>
        </w:rPr>
        <w:t>1. 검색: query=benzene, total=10, returned=5</w:t>
      </w:r>
    </w:p>
    <w:p>
      <w:r>
        <w:rPr>
          <w:rFonts w:ascii="맑은 고딕" w:hAnsi="맑은 고딕" w:eastAsia="맑은 고딕" w:cs="맑은 고딕"/>
        </w:rPr>
        <w:t>2. 상세: applicationNumber=10-2015-0140961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8. 별첨: 시스템 구동 화면 및 검증 결과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8.1 화면 증빙 목록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확인 포인트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홈 검색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docs/screenshots/01_home_search.png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MSDS 중심 통합 검색 진입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화학물질 상세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docs/screenshots/02_chemical_detail_msds.png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MSDS 상세 조회 화면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특허 검색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docs/screenshots/03_patents_search.png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KIPRIS 연동 결과 화면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무역/시장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docs/screenshots/04_trade_search.png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시장/무역 정보 조회 화면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의약품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docs/screenshots/05_drugs_search.png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허가/e약은요 통합 조회 화면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API 문서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docs/screenshots/06_api_docs.png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API 문서 접근 확인</w:t>
            </w:r>
          </w:p>
        </w:tc>
      </w:tr>
    </w:tbl>
    <w:p/>
    <w:p/>
    <w:p>
      <w:pPr>
        <w:pStyle w:val="Heading3"/>
      </w:pPr>
      <w:r>
        <w:rPr>
          <w:rFonts w:ascii="맑은 고딕" w:hAnsi="맑은 고딕" w:eastAsia="맑은 고딕" w:cs="맑은 고딕"/>
        </w:rPr>
        <w:t>8.2 이미지 본문</w:t>
      </w:r>
    </w:p>
    <w:p/>
    <w:p>
      <w:pPr>
        <w:pStyle w:val="Heading4"/>
      </w:pPr>
      <w:r>
        <w:rPr>
          <w:rFonts w:ascii="맑은 고딕" w:hAnsi="맑은 고딕" w:eastAsia="맑은 고딕" w:cs="맑은 고딕"/>
        </w:rPr>
        <w:t>8.2.1 홈 검색</w:t>
      </w:r>
    </w:p>
    <w:p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4788131" cy="731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_se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8131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4"/>
      </w:pPr>
      <w:r>
        <w:rPr>
          <w:rFonts w:ascii="맑은 고딕" w:hAnsi="맑은 고딕" w:eastAsia="맑은 고딕" w:cs="맑은 고딕"/>
        </w:rPr>
        <w:t>8.2.2 화학물질 상세</w:t>
      </w:r>
    </w:p>
    <w:p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4788131" cy="731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hemical_detail_ms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8131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4"/>
      </w:pPr>
      <w:r>
        <w:rPr>
          <w:rFonts w:ascii="맑은 고딕" w:hAnsi="맑은 고딕" w:eastAsia="맑은 고딕" w:cs="맑은 고딕"/>
        </w:rPr>
        <w:t>8.2.3 특허 검색</w:t>
      </w:r>
    </w:p>
    <w:p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4788131" cy="7315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atents_se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8131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4"/>
      </w:pPr>
      <w:r>
        <w:rPr>
          <w:rFonts w:ascii="맑은 고딕" w:hAnsi="맑은 고딕" w:eastAsia="맑은 고딕" w:cs="맑은 고딕"/>
        </w:rPr>
        <w:t>8.2.4 무역/시장</w:t>
      </w:r>
    </w:p>
    <w:p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4788131" cy="7315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de_se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8131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4"/>
      </w:pPr>
      <w:r>
        <w:rPr>
          <w:rFonts w:ascii="맑은 고딕" w:hAnsi="맑은 고딕" w:eastAsia="맑은 고딕" w:cs="맑은 고딕"/>
        </w:rPr>
        <w:t>8.2.5 의약품 검색</w:t>
      </w:r>
    </w:p>
    <w:p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4788131" cy="7315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rugs_sear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8131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4"/>
      </w:pPr>
      <w:r>
        <w:rPr>
          <w:rFonts w:ascii="맑은 고딕" w:hAnsi="맑은 고딕" w:eastAsia="맑은 고딕" w:cs="맑은 고딕"/>
        </w:rPr>
        <w:t>8.2.6 API 문서</w:t>
      </w:r>
    </w:p>
    <w:p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4788131" cy="7315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pi_do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8131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9. 운영기관 관점 기대효과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관점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구체적 효과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활용 방안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MSDS API 활용 모범사례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단순 조회를 넘어 실무 흐름 통합 사례 제시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타 기관 확산/교육 자료로 활용 가능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공공데이터 융합 모델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MSDS 중심 다중 API 연계 아키텍처 검증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유사 도메인 확장 적용 참고 가능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행정 효율 개선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민원/문의 대응 시간 단축 가능성 제시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내부 업무 프로세스 개선 참고 가능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재현성 확보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자동 검증 체계 기반으로 동일 결과 재현 가능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지속적 활용사례 업데이트 가능</w:t>
            </w:r>
          </w:p>
        </w:tc>
      </w:tr>
    </w:tbl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